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48979" w14:textId="77777777" w:rsidR="001708B8" w:rsidRDefault="001708B8" w:rsidP="001708B8">
      <w:pPr>
        <w:jc w:val="center"/>
      </w:pPr>
      <w:bookmarkStart w:id="0" w:name="_GoBack"/>
      <w:bookmarkEnd w:id="0"/>
    </w:p>
    <w:p w14:paraId="562ABBA0" w14:textId="77777777" w:rsidR="001708B8" w:rsidRDefault="001708B8" w:rsidP="001708B8">
      <w:pPr>
        <w:jc w:val="center"/>
      </w:pPr>
    </w:p>
    <w:p w14:paraId="406CCCB4" w14:textId="77777777" w:rsidR="001708B8" w:rsidRDefault="001708B8" w:rsidP="001708B8">
      <w:pPr>
        <w:jc w:val="center"/>
      </w:pPr>
    </w:p>
    <w:p w14:paraId="28F5FE97" w14:textId="77777777" w:rsidR="001708B8" w:rsidRDefault="001708B8" w:rsidP="001708B8">
      <w:pPr>
        <w:jc w:val="center"/>
      </w:pPr>
    </w:p>
    <w:p w14:paraId="0034C199" w14:textId="77777777" w:rsidR="001708B8" w:rsidRDefault="001708B8" w:rsidP="001708B8">
      <w:pPr>
        <w:jc w:val="center"/>
      </w:pPr>
    </w:p>
    <w:p w14:paraId="02F3BCCA" w14:textId="77777777" w:rsidR="001708B8" w:rsidRDefault="001708B8" w:rsidP="001708B8">
      <w:pPr>
        <w:jc w:val="center"/>
      </w:pPr>
      <w:r>
        <w:rPr>
          <w:rFonts w:ascii="Times New Roman"/>
          <w:noProof/>
          <w:sz w:val="20"/>
        </w:rPr>
        <w:drawing>
          <wp:inline distT="0" distB="0" distL="0" distR="0" wp14:anchorId="4B817317" wp14:editId="40291A17">
            <wp:extent cx="3683000" cy="2321108"/>
            <wp:effectExtent l="0" t="0" r="0" b="3175"/>
            <wp:docPr id="2"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descr="A logo for a company&#10;&#10;Description automatically generated"/>
                    <pic:cNvPicPr/>
                  </pic:nvPicPr>
                  <pic:blipFill>
                    <a:blip r:embed="rId11" cstate="print"/>
                    <a:stretch>
                      <a:fillRect/>
                    </a:stretch>
                  </pic:blipFill>
                  <pic:spPr>
                    <a:xfrm>
                      <a:off x="0" y="0"/>
                      <a:ext cx="3688024" cy="2324274"/>
                    </a:xfrm>
                    <a:prstGeom prst="rect">
                      <a:avLst/>
                    </a:prstGeom>
                  </pic:spPr>
                </pic:pic>
              </a:graphicData>
            </a:graphic>
          </wp:inline>
        </w:drawing>
      </w:r>
    </w:p>
    <w:p w14:paraId="5B9E3952" w14:textId="77777777" w:rsidR="001708B8" w:rsidRDefault="001708B8" w:rsidP="001708B8">
      <w:pPr>
        <w:jc w:val="center"/>
      </w:pPr>
    </w:p>
    <w:p w14:paraId="6009DFE2" w14:textId="43A04B6C" w:rsidR="009345B0" w:rsidRPr="009345B0" w:rsidRDefault="000305BF" w:rsidP="009345B0">
      <w:pPr>
        <w:spacing w:after="0" w:line="240" w:lineRule="auto"/>
        <w:jc w:val="center"/>
        <w:rPr>
          <w:b/>
          <w:bCs/>
          <w:color w:val="44546A" w:themeColor="text2"/>
          <w:sz w:val="52"/>
          <w:szCs w:val="52"/>
        </w:rPr>
      </w:pPr>
      <w:r>
        <w:rPr>
          <w:b/>
          <w:bCs/>
          <w:color w:val="44546A" w:themeColor="text2"/>
          <w:sz w:val="52"/>
          <w:szCs w:val="52"/>
        </w:rPr>
        <w:t>ADMISSIONS AND CONTINUED OCCUPANCY POLICY</w:t>
      </w:r>
    </w:p>
    <w:p w14:paraId="75DECA99" w14:textId="77777777" w:rsidR="001708B8" w:rsidRDefault="001708B8" w:rsidP="001708B8">
      <w:pPr>
        <w:jc w:val="center"/>
        <w:rPr>
          <w:b/>
          <w:bCs/>
          <w:color w:val="44546A" w:themeColor="text2"/>
          <w:sz w:val="56"/>
          <w:szCs w:val="56"/>
        </w:rPr>
      </w:pPr>
    </w:p>
    <w:p w14:paraId="4D174FB8" w14:textId="5F12FC50" w:rsidR="000305BF" w:rsidRPr="00F77349" w:rsidRDefault="000305BF" w:rsidP="000305BF">
      <w:pPr>
        <w:spacing w:before="323"/>
        <w:ind w:left="467" w:right="407"/>
        <w:jc w:val="center"/>
        <w:rPr>
          <w:b/>
          <w:i/>
          <w:sz w:val="28"/>
          <w:szCs w:val="40"/>
        </w:rPr>
      </w:pPr>
      <w:bookmarkStart w:id="1" w:name="_Hlk173222573"/>
      <w:r>
        <w:rPr>
          <w:b/>
          <w:i/>
          <w:sz w:val="28"/>
          <w:szCs w:val="40"/>
        </w:rPr>
        <w:t xml:space="preserve">DRAFT DATE: </w:t>
      </w:r>
      <w:r w:rsidR="00185C24">
        <w:rPr>
          <w:b/>
          <w:i/>
          <w:sz w:val="28"/>
          <w:szCs w:val="40"/>
        </w:rPr>
        <w:t xml:space="preserve">June </w:t>
      </w:r>
      <w:r w:rsidR="002F61BC">
        <w:rPr>
          <w:b/>
          <w:i/>
          <w:sz w:val="28"/>
          <w:szCs w:val="40"/>
        </w:rPr>
        <w:t>2025</w:t>
      </w:r>
      <w:r>
        <w:rPr>
          <w:b/>
          <w:i/>
          <w:sz w:val="28"/>
          <w:szCs w:val="40"/>
        </w:rPr>
        <w:tab/>
      </w:r>
    </w:p>
    <w:p w14:paraId="531F0211" w14:textId="347C3E5C" w:rsidR="000305BF" w:rsidRDefault="000305BF" w:rsidP="001708B8">
      <w:pPr>
        <w:spacing w:before="323"/>
        <w:ind w:left="467" w:right="407"/>
        <w:jc w:val="center"/>
        <w:rPr>
          <w:b/>
          <w:i/>
          <w:sz w:val="28"/>
          <w:szCs w:val="40"/>
        </w:rPr>
      </w:pPr>
      <w:r>
        <w:rPr>
          <w:b/>
          <w:i/>
          <w:sz w:val="28"/>
          <w:szCs w:val="40"/>
        </w:rPr>
        <w:t>Proposed Effective Date: 0</w:t>
      </w:r>
      <w:r w:rsidR="002F61BC">
        <w:rPr>
          <w:b/>
          <w:i/>
          <w:sz w:val="28"/>
          <w:szCs w:val="40"/>
        </w:rPr>
        <w:t>7</w:t>
      </w:r>
      <w:r>
        <w:rPr>
          <w:b/>
          <w:i/>
          <w:sz w:val="28"/>
          <w:szCs w:val="40"/>
        </w:rPr>
        <w:t>/01/2025</w:t>
      </w:r>
    </w:p>
    <w:bookmarkEnd w:id="1"/>
    <w:p w14:paraId="7F0F4631" w14:textId="5A60EADD" w:rsidR="001708B8" w:rsidRDefault="001708B8" w:rsidP="001708B8">
      <w:pPr>
        <w:spacing w:before="323"/>
        <w:ind w:left="467" w:right="407"/>
        <w:jc w:val="center"/>
        <w:rPr>
          <w:b/>
          <w:i/>
          <w:sz w:val="28"/>
          <w:szCs w:val="40"/>
        </w:rPr>
      </w:pPr>
      <w:r w:rsidRPr="00F77349">
        <w:rPr>
          <w:b/>
          <w:i/>
          <w:sz w:val="28"/>
          <w:szCs w:val="40"/>
        </w:rPr>
        <w:t>As approved by the Board of Commissioners</w:t>
      </w:r>
      <w:r w:rsidR="000305BF">
        <w:rPr>
          <w:b/>
          <w:i/>
          <w:sz w:val="28"/>
          <w:szCs w:val="40"/>
        </w:rPr>
        <w:t>:</w:t>
      </w:r>
      <w:r w:rsidRPr="00F77349">
        <w:rPr>
          <w:b/>
          <w:i/>
          <w:sz w:val="28"/>
          <w:szCs w:val="40"/>
        </w:rPr>
        <w:t xml:space="preserve"> MM/DD/YYYY</w:t>
      </w:r>
    </w:p>
    <w:p w14:paraId="0804B453" w14:textId="77777777" w:rsidR="001708B8" w:rsidRDefault="001708B8" w:rsidP="001708B8">
      <w:pPr>
        <w:jc w:val="center"/>
        <w:sectPr w:rsidR="001708B8" w:rsidSect="00EE2233">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7A2F85C2" w14:textId="77777777" w:rsidR="000F1F62" w:rsidRDefault="00F77349" w:rsidP="00AD20A4">
      <w:pPr>
        <w:pStyle w:val="TOC1"/>
      </w:pPr>
      <w:r w:rsidRPr="00CD708C">
        <w:lastRenderedPageBreak/>
        <w:t>TABLE OF CONTENTS</w:t>
      </w:r>
    </w:p>
    <w:sdt>
      <w:sdtPr>
        <w:rPr>
          <w:rFonts w:ascii="Arial" w:eastAsiaTheme="minorHAnsi" w:hAnsi="Arial" w:cstheme="minorBidi"/>
          <w:caps w:val="0"/>
          <w:color w:val="auto"/>
          <w:kern w:val="2"/>
          <w:sz w:val="22"/>
          <w:szCs w:val="22"/>
          <w14:ligatures w14:val="standardContextual"/>
        </w:rPr>
        <w:id w:val="2073536479"/>
        <w:docPartObj>
          <w:docPartGallery w:val="Table of Contents"/>
          <w:docPartUnique/>
        </w:docPartObj>
      </w:sdtPr>
      <w:sdtEndPr>
        <w:rPr>
          <w:b/>
          <w:bCs/>
          <w:noProof/>
        </w:rPr>
      </w:sdtEndPr>
      <w:sdtContent>
        <w:p w14:paraId="78B8238B" w14:textId="1753A418" w:rsidR="00844675" w:rsidRPr="00AD20A4" w:rsidRDefault="00844675">
          <w:pPr>
            <w:pStyle w:val="TOCHeading"/>
            <w:rPr>
              <w:sz w:val="16"/>
              <w:szCs w:val="16"/>
            </w:rPr>
          </w:pPr>
        </w:p>
        <w:p w14:paraId="78738842" w14:textId="5C8BD69D" w:rsidR="00844675" w:rsidRDefault="00844675" w:rsidP="00AD20A4">
          <w:pPr>
            <w:pStyle w:val="TOC1"/>
            <w:rPr>
              <w:rFonts w:asciiTheme="minorHAnsi" w:eastAsiaTheme="minorEastAsia" w:hAnsiTheme="minorHAnsi"/>
              <w:noProof/>
              <w:color w:val="auto"/>
              <w:szCs w:val="24"/>
            </w:rPr>
          </w:pPr>
          <w:r>
            <w:fldChar w:fldCharType="begin"/>
          </w:r>
          <w:r>
            <w:instrText xml:space="preserve"> TOC \h \z \u \t "Heading 1,1,Heading 2,2,Heading 7,1" </w:instrText>
          </w:r>
          <w:r>
            <w:fldChar w:fldCharType="separate"/>
          </w:r>
          <w:hyperlink w:anchor="_Toc200376878" w:history="1">
            <w:r w:rsidRPr="00F5198F">
              <w:rPr>
                <w:rStyle w:val="Hyperlink"/>
                <w:noProof/>
                <w:lang w:bidi="en-US"/>
              </w:rPr>
              <w:t>CHAPTER 1: OVERVIEW OF THE PROGRAM AND ACOP</w:t>
            </w:r>
            <w:r>
              <w:rPr>
                <w:noProof/>
                <w:webHidden/>
              </w:rPr>
              <w:tab/>
            </w:r>
            <w:r>
              <w:rPr>
                <w:noProof/>
                <w:webHidden/>
              </w:rPr>
              <w:fldChar w:fldCharType="begin"/>
            </w:r>
            <w:r>
              <w:rPr>
                <w:noProof/>
                <w:webHidden/>
              </w:rPr>
              <w:instrText xml:space="preserve"> PAGEREF _Toc200376878 \h </w:instrText>
            </w:r>
            <w:r>
              <w:rPr>
                <w:noProof/>
                <w:webHidden/>
              </w:rPr>
            </w:r>
            <w:r>
              <w:rPr>
                <w:noProof/>
                <w:webHidden/>
              </w:rPr>
              <w:fldChar w:fldCharType="separate"/>
            </w:r>
            <w:r>
              <w:rPr>
                <w:noProof/>
                <w:webHidden/>
              </w:rPr>
              <w:t>1</w:t>
            </w:r>
            <w:r>
              <w:rPr>
                <w:noProof/>
                <w:webHidden/>
              </w:rPr>
              <w:fldChar w:fldCharType="end"/>
            </w:r>
          </w:hyperlink>
        </w:p>
        <w:p w14:paraId="033F478A" w14:textId="722E5DD9" w:rsidR="00844675" w:rsidRDefault="003C3A0E">
          <w:pPr>
            <w:pStyle w:val="TOC2"/>
            <w:rPr>
              <w:rFonts w:asciiTheme="minorHAnsi" w:eastAsiaTheme="minorEastAsia" w:hAnsiTheme="minorHAnsi"/>
              <w:noProof/>
              <w:sz w:val="24"/>
              <w:szCs w:val="24"/>
            </w:rPr>
          </w:pPr>
          <w:hyperlink w:anchor="_Toc200376879" w:history="1">
            <w:r w:rsidR="00844675" w:rsidRPr="00F5198F">
              <w:rPr>
                <w:rStyle w:val="Hyperlink"/>
                <w:noProof/>
              </w:rPr>
              <w:t>1.1</w:t>
            </w:r>
            <w:r w:rsidR="00844675">
              <w:rPr>
                <w:rFonts w:asciiTheme="minorHAnsi" w:eastAsiaTheme="minorEastAsia" w:hAnsiTheme="minorHAnsi"/>
                <w:noProof/>
                <w:sz w:val="24"/>
                <w:szCs w:val="24"/>
              </w:rPr>
              <w:tab/>
            </w:r>
            <w:r w:rsidR="00844675" w:rsidRPr="00F5198F">
              <w:rPr>
                <w:rStyle w:val="Hyperlink"/>
                <w:noProof/>
              </w:rPr>
              <w:t>Introduction</w:t>
            </w:r>
            <w:r w:rsidR="00844675">
              <w:rPr>
                <w:noProof/>
                <w:webHidden/>
              </w:rPr>
              <w:tab/>
            </w:r>
            <w:r w:rsidR="00844675">
              <w:rPr>
                <w:noProof/>
                <w:webHidden/>
              </w:rPr>
              <w:fldChar w:fldCharType="begin"/>
            </w:r>
            <w:r w:rsidR="00844675">
              <w:rPr>
                <w:noProof/>
                <w:webHidden/>
              </w:rPr>
              <w:instrText xml:space="preserve"> PAGEREF _Toc200376879 \h </w:instrText>
            </w:r>
            <w:r w:rsidR="00844675">
              <w:rPr>
                <w:noProof/>
                <w:webHidden/>
              </w:rPr>
            </w:r>
            <w:r w:rsidR="00844675">
              <w:rPr>
                <w:noProof/>
                <w:webHidden/>
              </w:rPr>
              <w:fldChar w:fldCharType="separate"/>
            </w:r>
            <w:r w:rsidR="00844675">
              <w:rPr>
                <w:noProof/>
                <w:webHidden/>
              </w:rPr>
              <w:t>1</w:t>
            </w:r>
            <w:r w:rsidR="00844675">
              <w:rPr>
                <w:noProof/>
                <w:webHidden/>
              </w:rPr>
              <w:fldChar w:fldCharType="end"/>
            </w:r>
          </w:hyperlink>
        </w:p>
        <w:p w14:paraId="2DA81A7A" w14:textId="010679C7" w:rsidR="00844675" w:rsidRDefault="003C3A0E">
          <w:pPr>
            <w:pStyle w:val="TOC2"/>
            <w:rPr>
              <w:rFonts w:asciiTheme="minorHAnsi" w:eastAsiaTheme="minorEastAsia" w:hAnsiTheme="minorHAnsi"/>
              <w:noProof/>
              <w:sz w:val="24"/>
              <w:szCs w:val="24"/>
            </w:rPr>
          </w:pPr>
          <w:hyperlink w:anchor="_Toc200376880" w:history="1">
            <w:r w:rsidR="00844675" w:rsidRPr="00F5198F">
              <w:rPr>
                <w:rStyle w:val="Hyperlink"/>
                <w:noProof/>
              </w:rPr>
              <w:t>1.2</w:t>
            </w:r>
            <w:r w:rsidR="00844675">
              <w:rPr>
                <w:rFonts w:asciiTheme="minorHAnsi" w:eastAsiaTheme="minorEastAsia" w:hAnsiTheme="minorHAnsi"/>
                <w:noProof/>
                <w:sz w:val="24"/>
                <w:szCs w:val="24"/>
              </w:rPr>
              <w:tab/>
            </w:r>
            <w:r w:rsidR="00844675" w:rsidRPr="00F5198F">
              <w:rPr>
                <w:rStyle w:val="Hyperlink"/>
                <w:noProof/>
              </w:rPr>
              <w:t>Organization and Structure of HHA</w:t>
            </w:r>
            <w:r w:rsidR="00844675">
              <w:rPr>
                <w:noProof/>
                <w:webHidden/>
              </w:rPr>
              <w:tab/>
            </w:r>
            <w:r w:rsidR="00844675">
              <w:rPr>
                <w:noProof/>
                <w:webHidden/>
              </w:rPr>
              <w:fldChar w:fldCharType="begin"/>
            </w:r>
            <w:r w:rsidR="00844675">
              <w:rPr>
                <w:noProof/>
                <w:webHidden/>
              </w:rPr>
              <w:instrText xml:space="preserve"> PAGEREF _Toc200376880 \h </w:instrText>
            </w:r>
            <w:r w:rsidR="00844675">
              <w:rPr>
                <w:noProof/>
                <w:webHidden/>
              </w:rPr>
            </w:r>
            <w:r w:rsidR="00844675">
              <w:rPr>
                <w:noProof/>
                <w:webHidden/>
              </w:rPr>
              <w:fldChar w:fldCharType="separate"/>
            </w:r>
            <w:r w:rsidR="00844675">
              <w:rPr>
                <w:noProof/>
                <w:webHidden/>
              </w:rPr>
              <w:t>1</w:t>
            </w:r>
            <w:r w:rsidR="00844675">
              <w:rPr>
                <w:noProof/>
                <w:webHidden/>
              </w:rPr>
              <w:fldChar w:fldCharType="end"/>
            </w:r>
          </w:hyperlink>
        </w:p>
        <w:p w14:paraId="250C8DA5" w14:textId="26AA9EE5" w:rsidR="00844675" w:rsidRDefault="003C3A0E">
          <w:pPr>
            <w:pStyle w:val="TOC2"/>
            <w:rPr>
              <w:rFonts w:asciiTheme="minorHAnsi" w:eastAsiaTheme="minorEastAsia" w:hAnsiTheme="minorHAnsi"/>
              <w:noProof/>
              <w:sz w:val="24"/>
              <w:szCs w:val="24"/>
            </w:rPr>
          </w:pPr>
          <w:hyperlink w:anchor="_Toc200376881" w:history="1">
            <w:r w:rsidR="00844675" w:rsidRPr="00F5198F">
              <w:rPr>
                <w:rStyle w:val="Hyperlink"/>
                <w:noProof/>
              </w:rPr>
              <w:t>1.3</w:t>
            </w:r>
            <w:r w:rsidR="00844675">
              <w:rPr>
                <w:rFonts w:asciiTheme="minorHAnsi" w:eastAsiaTheme="minorEastAsia" w:hAnsiTheme="minorHAnsi"/>
                <w:noProof/>
                <w:sz w:val="24"/>
                <w:szCs w:val="24"/>
              </w:rPr>
              <w:tab/>
            </w:r>
            <w:r w:rsidR="00844675" w:rsidRPr="00F5198F">
              <w:rPr>
                <w:rStyle w:val="Hyperlink"/>
                <w:noProof/>
              </w:rPr>
              <w:t>HHA’s Mission</w:t>
            </w:r>
            <w:r w:rsidR="00844675">
              <w:rPr>
                <w:noProof/>
                <w:webHidden/>
              </w:rPr>
              <w:tab/>
            </w:r>
            <w:r w:rsidR="00844675">
              <w:rPr>
                <w:noProof/>
                <w:webHidden/>
              </w:rPr>
              <w:fldChar w:fldCharType="begin"/>
            </w:r>
            <w:r w:rsidR="00844675">
              <w:rPr>
                <w:noProof/>
                <w:webHidden/>
              </w:rPr>
              <w:instrText xml:space="preserve"> PAGEREF _Toc200376881 \h </w:instrText>
            </w:r>
            <w:r w:rsidR="00844675">
              <w:rPr>
                <w:noProof/>
                <w:webHidden/>
              </w:rPr>
            </w:r>
            <w:r w:rsidR="00844675">
              <w:rPr>
                <w:noProof/>
                <w:webHidden/>
              </w:rPr>
              <w:fldChar w:fldCharType="separate"/>
            </w:r>
            <w:r w:rsidR="00844675">
              <w:rPr>
                <w:noProof/>
                <w:webHidden/>
              </w:rPr>
              <w:t>1</w:t>
            </w:r>
            <w:r w:rsidR="00844675">
              <w:rPr>
                <w:noProof/>
                <w:webHidden/>
              </w:rPr>
              <w:fldChar w:fldCharType="end"/>
            </w:r>
          </w:hyperlink>
        </w:p>
        <w:p w14:paraId="6DA2BCD1" w14:textId="2E6E45C1" w:rsidR="00844675" w:rsidRDefault="003C3A0E">
          <w:pPr>
            <w:pStyle w:val="TOC2"/>
            <w:rPr>
              <w:rFonts w:asciiTheme="minorHAnsi" w:eastAsiaTheme="minorEastAsia" w:hAnsiTheme="minorHAnsi"/>
              <w:noProof/>
              <w:sz w:val="24"/>
              <w:szCs w:val="24"/>
            </w:rPr>
          </w:pPr>
          <w:hyperlink w:anchor="_Toc200376882" w:history="1">
            <w:r w:rsidR="00844675" w:rsidRPr="00F5198F">
              <w:rPr>
                <w:rStyle w:val="Hyperlink"/>
                <w:noProof/>
              </w:rPr>
              <w:t>1.4</w:t>
            </w:r>
            <w:r w:rsidR="00844675">
              <w:rPr>
                <w:rFonts w:asciiTheme="minorHAnsi" w:eastAsiaTheme="minorEastAsia" w:hAnsiTheme="minorHAnsi"/>
                <w:noProof/>
                <w:sz w:val="24"/>
                <w:szCs w:val="24"/>
              </w:rPr>
              <w:tab/>
            </w:r>
            <w:r w:rsidR="00844675" w:rsidRPr="00F5198F">
              <w:rPr>
                <w:rStyle w:val="Hyperlink"/>
                <w:noProof/>
              </w:rPr>
              <w:t>Overview and Purpose of the ACOP</w:t>
            </w:r>
            <w:r w:rsidR="00844675">
              <w:rPr>
                <w:noProof/>
                <w:webHidden/>
              </w:rPr>
              <w:tab/>
            </w:r>
            <w:r w:rsidR="00844675">
              <w:rPr>
                <w:noProof/>
                <w:webHidden/>
              </w:rPr>
              <w:fldChar w:fldCharType="begin"/>
            </w:r>
            <w:r w:rsidR="00844675">
              <w:rPr>
                <w:noProof/>
                <w:webHidden/>
              </w:rPr>
              <w:instrText xml:space="preserve"> PAGEREF _Toc200376882 \h </w:instrText>
            </w:r>
            <w:r w:rsidR="00844675">
              <w:rPr>
                <w:noProof/>
                <w:webHidden/>
              </w:rPr>
            </w:r>
            <w:r w:rsidR="00844675">
              <w:rPr>
                <w:noProof/>
                <w:webHidden/>
              </w:rPr>
              <w:fldChar w:fldCharType="separate"/>
            </w:r>
            <w:r w:rsidR="00844675">
              <w:rPr>
                <w:noProof/>
                <w:webHidden/>
              </w:rPr>
              <w:t>1</w:t>
            </w:r>
            <w:r w:rsidR="00844675">
              <w:rPr>
                <w:noProof/>
                <w:webHidden/>
              </w:rPr>
              <w:fldChar w:fldCharType="end"/>
            </w:r>
          </w:hyperlink>
        </w:p>
        <w:p w14:paraId="1732A1E1" w14:textId="03B130DF" w:rsidR="00844675" w:rsidRDefault="003C3A0E">
          <w:pPr>
            <w:pStyle w:val="TOC2"/>
            <w:rPr>
              <w:rFonts w:asciiTheme="minorHAnsi" w:eastAsiaTheme="minorEastAsia" w:hAnsiTheme="minorHAnsi"/>
              <w:noProof/>
              <w:sz w:val="24"/>
              <w:szCs w:val="24"/>
            </w:rPr>
          </w:pPr>
          <w:hyperlink w:anchor="_Toc200376883" w:history="1">
            <w:r w:rsidR="00844675" w:rsidRPr="00F5198F">
              <w:rPr>
                <w:rStyle w:val="Hyperlink"/>
                <w:noProof/>
              </w:rPr>
              <w:t>1.5</w:t>
            </w:r>
            <w:r w:rsidR="00844675">
              <w:rPr>
                <w:rFonts w:asciiTheme="minorHAnsi" w:eastAsiaTheme="minorEastAsia" w:hAnsiTheme="minorHAnsi"/>
                <w:noProof/>
                <w:sz w:val="24"/>
                <w:szCs w:val="24"/>
              </w:rPr>
              <w:tab/>
            </w:r>
            <w:r w:rsidR="00844675" w:rsidRPr="00F5198F">
              <w:rPr>
                <w:rStyle w:val="Hyperlink"/>
                <w:noProof/>
              </w:rPr>
              <w:t>Updating and Revising the ACOP</w:t>
            </w:r>
            <w:r w:rsidR="00844675">
              <w:rPr>
                <w:noProof/>
                <w:webHidden/>
              </w:rPr>
              <w:tab/>
            </w:r>
            <w:r w:rsidR="00844675">
              <w:rPr>
                <w:noProof/>
                <w:webHidden/>
              </w:rPr>
              <w:fldChar w:fldCharType="begin"/>
            </w:r>
            <w:r w:rsidR="00844675">
              <w:rPr>
                <w:noProof/>
                <w:webHidden/>
              </w:rPr>
              <w:instrText xml:space="preserve"> PAGEREF _Toc200376883 \h </w:instrText>
            </w:r>
            <w:r w:rsidR="00844675">
              <w:rPr>
                <w:noProof/>
                <w:webHidden/>
              </w:rPr>
            </w:r>
            <w:r w:rsidR="00844675">
              <w:rPr>
                <w:noProof/>
                <w:webHidden/>
              </w:rPr>
              <w:fldChar w:fldCharType="separate"/>
            </w:r>
            <w:r w:rsidR="00844675">
              <w:rPr>
                <w:noProof/>
                <w:webHidden/>
              </w:rPr>
              <w:t>2</w:t>
            </w:r>
            <w:r w:rsidR="00844675">
              <w:rPr>
                <w:noProof/>
                <w:webHidden/>
              </w:rPr>
              <w:fldChar w:fldCharType="end"/>
            </w:r>
          </w:hyperlink>
        </w:p>
        <w:p w14:paraId="0C78E346" w14:textId="5861F469" w:rsidR="00844675" w:rsidRDefault="003C3A0E">
          <w:pPr>
            <w:pStyle w:val="TOC2"/>
            <w:rPr>
              <w:rFonts w:asciiTheme="minorHAnsi" w:eastAsiaTheme="minorEastAsia" w:hAnsiTheme="minorHAnsi"/>
              <w:noProof/>
              <w:sz w:val="24"/>
              <w:szCs w:val="24"/>
            </w:rPr>
          </w:pPr>
          <w:hyperlink w:anchor="_Toc200376884" w:history="1">
            <w:r w:rsidR="00844675" w:rsidRPr="00F5198F">
              <w:rPr>
                <w:rStyle w:val="Hyperlink"/>
                <w:noProof/>
              </w:rPr>
              <w:t>1.6</w:t>
            </w:r>
            <w:r w:rsidR="00844675">
              <w:rPr>
                <w:rFonts w:asciiTheme="minorHAnsi" w:eastAsiaTheme="minorEastAsia" w:hAnsiTheme="minorHAnsi"/>
                <w:noProof/>
                <w:sz w:val="24"/>
                <w:szCs w:val="24"/>
              </w:rPr>
              <w:tab/>
            </w:r>
            <w:r w:rsidR="00844675" w:rsidRPr="00F5198F">
              <w:rPr>
                <w:rStyle w:val="Hyperlink"/>
                <w:noProof/>
              </w:rPr>
              <w:t>Regulatory and Statutory Waivers</w:t>
            </w:r>
            <w:r w:rsidR="00844675">
              <w:rPr>
                <w:noProof/>
                <w:webHidden/>
              </w:rPr>
              <w:tab/>
            </w:r>
            <w:r w:rsidR="00844675">
              <w:rPr>
                <w:noProof/>
                <w:webHidden/>
              </w:rPr>
              <w:fldChar w:fldCharType="begin"/>
            </w:r>
            <w:r w:rsidR="00844675">
              <w:rPr>
                <w:noProof/>
                <w:webHidden/>
              </w:rPr>
              <w:instrText xml:space="preserve"> PAGEREF _Toc200376884 \h </w:instrText>
            </w:r>
            <w:r w:rsidR="00844675">
              <w:rPr>
                <w:noProof/>
                <w:webHidden/>
              </w:rPr>
            </w:r>
            <w:r w:rsidR="00844675">
              <w:rPr>
                <w:noProof/>
                <w:webHidden/>
              </w:rPr>
              <w:fldChar w:fldCharType="separate"/>
            </w:r>
            <w:r w:rsidR="00844675">
              <w:rPr>
                <w:noProof/>
                <w:webHidden/>
              </w:rPr>
              <w:t>2</w:t>
            </w:r>
            <w:r w:rsidR="00844675">
              <w:rPr>
                <w:noProof/>
                <w:webHidden/>
              </w:rPr>
              <w:fldChar w:fldCharType="end"/>
            </w:r>
          </w:hyperlink>
        </w:p>
        <w:p w14:paraId="14B3A031" w14:textId="76F2B0DE" w:rsidR="00844675" w:rsidRDefault="003C3A0E">
          <w:pPr>
            <w:pStyle w:val="TOC2"/>
            <w:rPr>
              <w:rFonts w:asciiTheme="minorHAnsi" w:eastAsiaTheme="minorEastAsia" w:hAnsiTheme="minorHAnsi"/>
              <w:noProof/>
              <w:sz w:val="24"/>
              <w:szCs w:val="24"/>
            </w:rPr>
          </w:pPr>
          <w:hyperlink w:anchor="_Toc200376885" w:history="1">
            <w:r w:rsidR="00844675" w:rsidRPr="00F5198F">
              <w:rPr>
                <w:rStyle w:val="Hyperlink"/>
                <w:noProof/>
              </w:rPr>
              <w:t>1.7</w:t>
            </w:r>
            <w:r w:rsidR="00844675">
              <w:rPr>
                <w:rFonts w:asciiTheme="minorHAnsi" w:eastAsiaTheme="minorEastAsia" w:hAnsiTheme="minorHAnsi"/>
                <w:noProof/>
                <w:sz w:val="24"/>
                <w:szCs w:val="24"/>
              </w:rPr>
              <w:tab/>
            </w:r>
            <w:r w:rsidR="00844675" w:rsidRPr="00F5198F">
              <w:rPr>
                <w:rStyle w:val="Hyperlink"/>
                <w:noProof/>
              </w:rPr>
              <w:t>Moving to Work (MTW) Designation</w:t>
            </w:r>
            <w:r w:rsidR="00844675">
              <w:rPr>
                <w:noProof/>
                <w:webHidden/>
              </w:rPr>
              <w:tab/>
            </w:r>
            <w:r w:rsidR="00844675">
              <w:rPr>
                <w:noProof/>
                <w:webHidden/>
              </w:rPr>
              <w:fldChar w:fldCharType="begin"/>
            </w:r>
            <w:r w:rsidR="00844675">
              <w:rPr>
                <w:noProof/>
                <w:webHidden/>
              </w:rPr>
              <w:instrText xml:space="preserve"> PAGEREF _Toc200376885 \h </w:instrText>
            </w:r>
            <w:r w:rsidR="00844675">
              <w:rPr>
                <w:noProof/>
                <w:webHidden/>
              </w:rPr>
            </w:r>
            <w:r w:rsidR="00844675">
              <w:rPr>
                <w:noProof/>
                <w:webHidden/>
              </w:rPr>
              <w:fldChar w:fldCharType="separate"/>
            </w:r>
            <w:r w:rsidR="00844675">
              <w:rPr>
                <w:noProof/>
                <w:webHidden/>
              </w:rPr>
              <w:t>2</w:t>
            </w:r>
            <w:r w:rsidR="00844675">
              <w:rPr>
                <w:noProof/>
                <w:webHidden/>
              </w:rPr>
              <w:fldChar w:fldCharType="end"/>
            </w:r>
          </w:hyperlink>
        </w:p>
        <w:p w14:paraId="4A152E46" w14:textId="392EA557" w:rsidR="00844675" w:rsidRDefault="003C3A0E">
          <w:pPr>
            <w:pStyle w:val="TOC2"/>
            <w:rPr>
              <w:rFonts w:asciiTheme="minorHAnsi" w:eastAsiaTheme="minorEastAsia" w:hAnsiTheme="minorHAnsi"/>
              <w:noProof/>
              <w:sz w:val="24"/>
              <w:szCs w:val="24"/>
            </w:rPr>
          </w:pPr>
          <w:hyperlink w:anchor="_Toc200376886" w:history="1">
            <w:r w:rsidR="00844675" w:rsidRPr="00F5198F">
              <w:rPr>
                <w:rStyle w:val="Hyperlink"/>
                <w:noProof/>
              </w:rPr>
              <w:t>1.8</w:t>
            </w:r>
            <w:r w:rsidR="00844675">
              <w:rPr>
                <w:rFonts w:asciiTheme="minorHAnsi" w:eastAsiaTheme="minorEastAsia" w:hAnsiTheme="minorHAnsi"/>
                <w:noProof/>
                <w:sz w:val="24"/>
                <w:szCs w:val="24"/>
              </w:rPr>
              <w:tab/>
            </w:r>
            <w:r w:rsidR="00844675" w:rsidRPr="00F5198F">
              <w:rPr>
                <w:rStyle w:val="Hyperlink"/>
                <w:noProof/>
              </w:rPr>
              <w:t>Housing Opportunity Through Modernization Act (HOTMA) of 2016</w:t>
            </w:r>
            <w:r w:rsidR="00844675">
              <w:rPr>
                <w:noProof/>
                <w:webHidden/>
              </w:rPr>
              <w:tab/>
            </w:r>
            <w:r w:rsidR="00844675">
              <w:rPr>
                <w:noProof/>
                <w:webHidden/>
              </w:rPr>
              <w:fldChar w:fldCharType="begin"/>
            </w:r>
            <w:r w:rsidR="00844675">
              <w:rPr>
                <w:noProof/>
                <w:webHidden/>
              </w:rPr>
              <w:instrText xml:space="preserve"> PAGEREF _Toc200376886 \h </w:instrText>
            </w:r>
            <w:r w:rsidR="00844675">
              <w:rPr>
                <w:noProof/>
                <w:webHidden/>
              </w:rPr>
            </w:r>
            <w:r w:rsidR="00844675">
              <w:rPr>
                <w:noProof/>
                <w:webHidden/>
              </w:rPr>
              <w:fldChar w:fldCharType="separate"/>
            </w:r>
            <w:r w:rsidR="00844675">
              <w:rPr>
                <w:noProof/>
                <w:webHidden/>
              </w:rPr>
              <w:t>3</w:t>
            </w:r>
            <w:r w:rsidR="00844675">
              <w:rPr>
                <w:noProof/>
                <w:webHidden/>
              </w:rPr>
              <w:fldChar w:fldCharType="end"/>
            </w:r>
          </w:hyperlink>
        </w:p>
        <w:p w14:paraId="299D0F4B" w14:textId="3AA256DB" w:rsidR="00844675" w:rsidRDefault="003C3A0E" w:rsidP="00AD20A4">
          <w:pPr>
            <w:pStyle w:val="TOC1"/>
            <w:rPr>
              <w:rFonts w:asciiTheme="minorHAnsi" w:eastAsiaTheme="minorEastAsia" w:hAnsiTheme="minorHAnsi"/>
              <w:noProof/>
              <w:color w:val="auto"/>
              <w:szCs w:val="24"/>
            </w:rPr>
          </w:pPr>
          <w:hyperlink w:anchor="_Toc200376887" w:history="1">
            <w:r w:rsidR="00844675" w:rsidRPr="00F5198F">
              <w:rPr>
                <w:rStyle w:val="Hyperlink"/>
                <w:noProof/>
                <w:lang w:bidi="en-US"/>
              </w:rPr>
              <w:t>CHAPTER 2: MOVING TO WORK (MTW) PROGRAM</w:t>
            </w:r>
            <w:r w:rsidR="00844675">
              <w:rPr>
                <w:noProof/>
                <w:webHidden/>
              </w:rPr>
              <w:tab/>
            </w:r>
            <w:r w:rsidR="00844675">
              <w:rPr>
                <w:noProof/>
                <w:webHidden/>
              </w:rPr>
              <w:fldChar w:fldCharType="begin"/>
            </w:r>
            <w:r w:rsidR="00844675">
              <w:rPr>
                <w:noProof/>
                <w:webHidden/>
              </w:rPr>
              <w:instrText xml:space="preserve"> PAGEREF _Toc200376887 \h </w:instrText>
            </w:r>
            <w:r w:rsidR="00844675">
              <w:rPr>
                <w:noProof/>
                <w:webHidden/>
              </w:rPr>
            </w:r>
            <w:r w:rsidR="00844675">
              <w:rPr>
                <w:noProof/>
                <w:webHidden/>
              </w:rPr>
              <w:fldChar w:fldCharType="separate"/>
            </w:r>
            <w:r w:rsidR="00844675">
              <w:rPr>
                <w:noProof/>
                <w:webHidden/>
              </w:rPr>
              <w:t>1</w:t>
            </w:r>
            <w:r w:rsidR="00844675">
              <w:rPr>
                <w:noProof/>
                <w:webHidden/>
              </w:rPr>
              <w:fldChar w:fldCharType="end"/>
            </w:r>
          </w:hyperlink>
        </w:p>
        <w:p w14:paraId="09607E40" w14:textId="4DACEF60" w:rsidR="00844675" w:rsidRDefault="003C3A0E">
          <w:pPr>
            <w:pStyle w:val="TOC2"/>
            <w:rPr>
              <w:rFonts w:asciiTheme="minorHAnsi" w:eastAsiaTheme="minorEastAsia" w:hAnsiTheme="minorHAnsi"/>
              <w:noProof/>
              <w:sz w:val="24"/>
              <w:szCs w:val="24"/>
            </w:rPr>
          </w:pPr>
          <w:hyperlink w:anchor="_Toc200376888" w:history="1">
            <w:r w:rsidR="00844675" w:rsidRPr="00F5198F">
              <w:rPr>
                <w:rStyle w:val="Hyperlink"/>
                <w:noProof/>
              </w:rPr>
              <w:t>2.1</w:t>
            </w:r>
            <w:r w:rsidR="00844675">
              <w:rPr>
                <w:rFonts w:asciiTheme="minorHAnsi" w:eastAsiaTheme="minorEastAsia" w:hAnsiTheme="minorHAnsi"/>
                <w:noProof/>
                <w:sz w:val="24"/>
                <w:szCs w:val="24"/>
              </w:rPr>
              <w:tab/>
            </w:r>
            <w:r w:rsidR="00844675" w:rsidRPr="00F5198F">
              <w:rPr>
                <w:rStyle w:val="Hyperlink"/>
                <w:noProof/>
              </w:rPr>
              <w:t>Chart of MTW Policies</w:t>
            </w:r>
            <w:r w:rsidR="00844675">
              <w:rPr>
                <w:noProof/>
                <w:webHidden/>
              </w:rPr>
              <w:tab/>
            </w:r>
            <w:r w:rsidR="00844675">
              <w:rPr>
                <w:noProof/>
                <w:webHidden/>
              </w:rPr>
              <w:fldChar w:fldCharType="begin"/>
            </w:r>
            <w:r w:rsidR="00844675">
              <w:rPr>
                <w:noProof/>
                <w:webHidden/>
              </w:rPr>
              <w:instrText xml:space="preserve"> PAGEREF _Toc200376888 \h </w:instrText>
            </w:r>
            <w:r w:rsidR="00844675">
              <w:rPr>
                <w:noProof/>
                <w:webHidden/>
              </w:rPr>
            </w:r>
            <w:r w:rsidR="00844675">
              <w:rPr>
                <w:noProof/>
                <w:webHidden/>
              </w:rPr>
              <w:fldChar w:fldCharType="separate"/>
            </w:r>
            <w:r w:rsidR="00844675">
              <w:rPr>
                <w:noProof/>
                <w:webHidden/>
              </w:rPr>
              <w:t>1</w:t>
            </w:r>
            <w:r w:rsidR="00844675">
              <w:rPr>
                <w:noProof/>
                <w:webHidden/>
              </w:rPr>
              <w:fldChar w:fldCharType="end"/>
            </w:r>
          </w:hyperlink>
        </w:p>
        <w:p w14:paraId="55D81419" w14:textId="791B9D85" w:rsidR="00844675" w:rsidRDefault="003C3A0E">
          <w:pPr>
            <w:pStyle w:val="TOC2"/>
            <w:rPr>
              <w:rFonts w:asciiTheme="minorHAnsi" w:eastAsiaTheme="minorEastAsia" w:hAnsiTheme="minorHAnsi"/>
              <w:noProof/>
              <w:sz w:val="24"/>
              <w:szCs w:val="24"/>
            </w:rPr>
          </w:pPr>
          <w:hyperlink w:anchor="_Toc200376889" w:history="1">
            <w:r w:rsidR="00844675" w:rsidRPr="00F5198F">
              <w:rPr>
                <w:rStyle w:val="Hyperlink"/>
                <w:noProof/>
              </w:rPr>
              <w:t>2.2</w:t>
            </w:r>
            <w:r w:rsidR="00844675">
              <w:rPr>
                <w:rFonts w:asciiTheme="minorHAnsi" w:eastAsiaTheme="minorEastAsia" w:hAnsiTheme="minorHAnsi"/>
                <w:noProof/>
                <w:sz w:val="24"/>
                <w:szCs w:val="24"/>
              </w:rPr>
              <w:tab/>
            </w:r>
            <w:r w:rsidR="00844675" w:rsidRPr="00F5198F">
              <w:rPr>
                <w:rStyle w:val="Hyperlink"/>
                <w:noProof/>
              </w:rPr>
              <w:t>MTW Tiered Rent Policy</w:t>
            </w:r>
            <w:r w:rsidR="00844675">
              <w:rPr>
                <w:noProof/>
                <w:webHidden/>
              </w:rPr>
              <w:tab/>
            </w:r>
            <w:r w:rsidR="00844675">
              <w:rPr>
                <w:noProof/>
                <w:webHidden/>
              </w:rPr>
              <w:fldChar w:fldCharType="begin"/>
            </w:r>
            <w:r w:rsidR="00844675">
              <w:rPr>
                <w:noProof/>
                <w:webHidden/>
              </w:rPr>
              <w:instrText xml:space="preserve"> PAGEREF _Toc200376889 \h </w:instrText>
            </w:r>
            <w:r w:rsidR="00844675">
              <w:rPr>
                <w:noProof/>
                <w:webHidden/>
              </w:rPr>
            </w:r>
            <w:r w:rsidR="00844675">
              <w:rPr>
                <w:noProof/>
                <w:webHidden/>
              </w:rPr>
              <w:fldChar w:fldCharType="separate"/>
            </w:r>
            <w:r w:rsidR="00844675">
              <w:rPr>
                <w:noProof/>
                <w:webHidden/>
              </w:rPr>
              <w:t>2</w:t>
            </w:r>
            <w:r w:rsidR="00844675">
              <w:rPr>
                <w:noProof/>
                <w:webHidden/>
              </w:rPr>
              <w:fldChar w:fldCharType="end"/>
            </w:r>
          </w:hyperlink>
        </w:p>
        <w:p w14:paraId="5D87DB6C" w14:textId="73509A19" w:rsidR="00844675" w:rsidRDefault="003C3A0E" w:rsidP="00AD20A4">
          <w:pPr>
            <w:pStyle w:val="TOC1"/>
            <w:rPr>
              <w:rFonts w:asciiTheme="minorHAnsi" w:eastAsiaTheme="minorEastAsia" w:hAnsiTheme="minorHAnsi"/>
              <w:noProof/>
              <w:color w:val="auto"/>
              <w:szCs w:val="24"/>
            </w:rPr>
          </w:pPr>
          <w:hyperlink w:anchor="_Toc200376890" w:history="1">
            <w:r w:rsidR="00844675" w:rsidRPr="00F5198F">
              <w:rPr>
                <w:rStyle w:val="Hyperlink"/>
                <w:noProof/>
                <w:lang w:bidi="en-US"/>
              </w:rPr>
              <w:t>CHAPTER 3: FAIR HOUSING AND EQUAL OPPORTUNITY</w:t>
            </w:r>
            <w:r w:rsidR="00844675">
              <w:rPr>
                <w:noProof/>
                <w:webHidden/>
              </w:rPr>
              <w:tab/>
            </w:r>
            <w:r w:rsidR="00844675">
              <w:rPr>
                <w:noProof/>
                <w:webHidden/>
              </w:rPr>
              <w:fldChar w:fldCharType="begin"/>
            </w:r>
            <w:r w:rsidR="00844675">
              <w:rPr>
                <w:noProof/>
                <w:webHidden/>
              </w:rPr>
              <w:instrText xml:space="preserve"> PAGEREF _Toc200376890 \h </w:instrText>
            </w:r>
            <w:r w:rsidR="00844675">
              <w:rPr>
                <w:noProof/>
                <w:webHidden/>
              </w:rPr>
            </w:r>
            <w:r w:rsidR="00844675">
              <w:rPr>
                <w:noProof/>
                <w:webHidden/>
              </w:rPr>
              <w:fldChar w:fldCharType="separate"/>
            </w:r>
            <w:r w:rsidR="00844675">
              <w:rPr>
                <w:noProof/>
                <w:webHidden/>
              </w:rPr>
              <w:t>4</w:t>
            </w:r>
            <w:r w:rsidR="00844675">
              <w:rPr>
                <w:noProof/>
                <w:webHidden/>
              </w:rPr>
              <w:fldChar w:fldCharType="end"/>
            </w:r>
          </w:hyperlink>
        </w:p>
        <w:p w14:paraId="3FF99DFE" w14:textId="5E3A3293" w:rsidR="00844675" w:rsidRDefault="003C3A0E">
          <w:pPr>
            <w:pStyle w:val="TOC2"/>
            <w:rPr>
              <w:rFonts w:asciiTheme="minorHAnsi" w:eastAsiaTheme="minorEastAsia" w:hAnsiTheme="minorHAnsi"/>
              <w:noProof/>
              <w:sz w:val="24"/>
              <w:szCs w:val="24"/>
            </w:rPr>
          </w:pPr>
          <w:hyperlink w:anchor="_Toc200376891" w:history="1">
            <w:r w:rsidR="00844675" w:rsidRPr="00F5198F">
              <w:rPr>
                <w:rStyle w:val="Hyperlink"/>
                <w:noProof/>
              </w:rPr>
              <w:t>3.1</w:t>
            </w:r>
            <w:r w:rsidR="00844675">
              <w:rPr>
                <w:rFonts w:asciiTheme="minorHAnsi" w:eastAsiaTheme="minorEastAsia" w:hAnsiTheme="minorHAnsi"/>
                <w:noProof/>
                <w:sz w:val="24"/>
                <w:szCs w:val="24"/>
              </w:rPr>
              <w:tab/>
            </w:r>
            <w:r w:rsidR="00844675" w:rsidRPr="00F5198F">
              <w:rPr>
                <w:rStyle w:val="Hyperlink"/>
                <w:noProof/>
              </w:rPr>
              <w:t>Overview</w:t>
            </w:r>
            <w:r w:rsidR="00844675">
              <w:rPr>
                <w:noProof/>
                <w:webHidden/>
              </w:rPr>
              <w:tab/>
            </w:r>
            <w:r w:rsidR="00844675">
              <w:rPr>
                <w:noProof/>
                <w:webHidden/>
              </w:rPr>
              <w:fldChar w:fldCharType="begin"/>
            </w:r>
            <w:r w:rsidR="00844675">
              <w:rPr>
                <w:noProof/>
                <w:webHidden/>
              </w:rPr>
              <w:instrText xml:space="preserve"> PAGEREF _Toc200376891 \h </w:instrText>
            </w:r>
            <w:r w:rsidR="00844675">
              <w:rPr>
                <w:noProof/>
                <w:webHidden/>
              </w:rPr>
            </w:r>
            <w:r w:rsidR="00844675">
              <w:rPr>
                <w:noProof/>
                <w:webHidden/>
              </w:rPr>
              <w:fldChar w:fldCharType="separate"/>
            </w:r>
            <w:r w:rsidR="00844675">
              <w:rPr>
                <w:noProof/>
                <w:webHidden/>
              </w:rPr>
              <w:t>4</w:t>
            </w:r>
            <w:r w:rsidR="00844675">
              <w:rPr>
                <w:noProof/>
                <w:webHidden/>
              </w:rPr>
              <w:fldChar w:fldCharType="end"/>
            </w:r>
          </w:hyperlink>
        </w:p>
        <w:p w14:paraId="662EF85B" w14:textId="64FC989B" w:rsidR="00844675" w:rsidRDefault="003C3A0E">
          <w:pPr>
            <w:pStyle w:val="TOC2"/>
            <w:rPr>
              <w:rFonts w:asciiTheme="minorHAnsi" w:eastAsiaTheme="minorEastAsia" w:hAnsiTheme="minorHAnsi"/>
              <w:noProof/>
              <w:sz w:val="24"/>
              <w:szCs w:val="24"/>
            </w:rPr>
          </w:pPr>
          <w:hyperlink w:anchor="_Toc200376892" w:history="1">
            <w:r w:rsidR="00844675" w:rsidRPr="00F5198F">
              <w:rPr>
                <w:rStyle w:val="Hyperlink"/>
                <w:noProof/>
              </w:rPr>
              <w:t>3.2</w:t>
            </w:r>
            <w:r w:rsidR="00844675">
              <w:rPr>
                <w:rFonts w:asciiTheme="minorHAnsi" w:eastAsiaTheme="minorEastAsia" w:hAnsiTheme="minorHAnsi"/>
                <w:noProof/>
                <w:sz w:val="24"/>
                <w:szCs w:val="24"/>
              </w:rPr>
              <w:tab/>
            </w:r>
            <w:r w:rsidR="00844675" w:rsidRPr="00F5198F">
              <w:rPr>
                <w:rStyle w:val="Hyperlink"/>
                <w:noProof/>
              </w:rPr>
              <w:t>Non-Discrimination</w:t>
            </w:r>
            <w:r w:rsidR="00844675">
              <w:rPr>
                <w:noProof/>
                <w:webHidden/>
              </w:rPr>
              <w:tab/>
            </w:r>
            <w:r w:rsidR="00844675">
              <w:rPr>
                <w:noProof/>
                <w:webHidden/>
              </w:rPr>
              <w:fldChar w:fldCharType="begin"/>
            </w:r>
            <w:r w:rsidR="00844675">
              <w:rPr>
                <w:noProof/>
                <w:webHidden/>
              </w:rPr>
              <w:instrText xml:space="preserve"> PAGEREF _Toc200376892 \h </w:instrText>
            </w:r>
            <w:r w:rsidR="00844675">
              <w:rPr>
                <w:noProof/>
                <w:webHidden/>
              </w:rPr>
            </w:r>
            <w:r w:rsidR="00844675">
              <w:rPr>
                <w:noProof/>
                <w:webHidden/>
              </w:rPr>
              <w:fldChar w:fldCharType="separate"/>
            </w:r>
            <w:r w:rsidR="00844675">
              <w:rPr>
                <w:noProof/>
                <w:webHidden/>
              </w:rPr>
              <w:t>4</w:t>
            </w:r>
            <w:r w:rsidR="00844675">
              <w:rPr>
                <w:noProof/>
                <w:webHidden/>
              </w:rPr>
              <w:fldChar w:fldCharType="end"/>
            </w:r>
          </w:hyperlink>
        </w:p>
        <w:p w14:paraId="32FAA828" w14:textId="058AE79D" w:rsidR="00844675" w:rsidRDefault="003C3A0E">
          <w:pPr>
            <w:pStyle w:val="TOC2"/>
            <w:rPr>
              <w:rFonts w:asciiTheme="minorHAnsi" w:eastAsiaTheme="minorEastAsia" w:hAnsiTheme="minorHAnsi"/>
              <w:noProof/>
              <w:sz w:val="24"/>
              <w:szCs w:val="24"/>
            </w:rPr>
          </w:pPr>
          <w:hyperlink w:anchor="_Toc200376893" w:history="1">
            <w:r w:rsidR="00844675" w:rsidRPr="00F5198F">
              <w:rPr>
                <w:rStyle w:val="Hyperlink"/>
                <w:noProof/>
              </w:rPr>
              <w:t>3.3</w:t>
            </w:r>
            <w:r w:rsidR="00844675">
              <w:rPr>
                <w:rFonts w:asciiTheme="minorHAnsi" w:eastAsiaTheme="minorEastAsia" w:hAnsiTheme="minorHAnsi"/>
                <w:noProof/>
                <w:sz w:val="24"/>
                <w:szCs w:val="24"/>
              </w:rPr>
              <w:tab/>
            </w:r>
            <w:r w:rsidR="00844675" w:rsidRPr="00F5198F">
              <w:rPr>
                <w:rStyle w:val="Hyperlink"/>
                <w:noProof/>
              </w:rPr>
              <w:t>Policies Related to Persons with Disabilities</w:t>
            </w:r>
            <w:r w:rsidR="00844675">
              <w:rPr>
                <w:noProof/>
                <w:webHidden/>
              </w:rPr>
              <w:tab/>
            </w:r>
            <w:r w:rsidR="00844675">
              <w:rPr>
                <w:noProof/>
                <w:webHidden/>
              </w:rPr>
              <w:fldChar w:fldCharType="begin"/>
            </w:r>
            <w:r w:rsidR="00844675">
              <w:rPr>
                <w:noProof/>
                <w:webHidden/>
              </w:rPr>
              <w:instrText xml:space="preserve"> PAGEREF _Toc200376893 \h </w:instrText>
            </w:r>
            <w:r w:rsidR="00844675">
              <w:rPr>
                <w:noProof/>
                <w:webHidden/>
              </w:rPr>
            </w:r>
            <w:r w:rsidR="00844675">
              <w:rPr>
                <w:noProof/>
                <w:webHidden/>
              </w:rPr>
              <w:fldChar w:fldCharType="separate"/>
            </w:r>
            <w:r w:rsidR="00844675">
              <w:rPr>
                <w:noProof/>
                <w:webHidden/>
              </w:rPr>
              <w:t>5</w:t>
            </w:r>
            <w:r w:rsidR="00844675">
              <w:rPr>
                <w:noProof/>
                <w:webHidden/>
              </w:rPr>
              <w:fldChar w:fldCharType="end"/>
            </w:r>
          </w:hyperlink>
        </w:p>
        <w:p w14:paraId="5511CBFD" w14:textId="1518BFF1" w:rsidR="00844675" w:rsidRDefault="003C3A0E">
          <w:pPr>
            <w:pStyle w:val="TOC2"/>
            <w:rPr>
              <w:rFonts w:asciiTheme="minorHAnsi" w:eastAsiaTheme="minorEastAsia" w:hAnsiTheme="minorHAnsi"/>
              <w:noProof/>
              <w:sz w:val="24"/>
              <w:szCs w:val="24"/>
            </w:rPr>
          </w:pPr>
          <w:hyperlink w:anchor="_Toc200376894" w:history="1">
            <w:r w:rsidR="00844675" w:rsidRPr="00F5198F">
              <w:rPr>
                <w:rStyle w:val="Hyperlink"/>
                <w:noProof/>
              </w:rPr>
              <w:t>3.4</w:t>
            </w:r>
            <w:r w:rsidR="00844675">
              <w:rPr>
                <w:rFonts w:asciiTheme="minorHAnsi" w:eastAsiaTheme="minorEastAsia" w:hAnsiTheme="minorHAnsi"/>
                <w:noProof/>
                <w:sz w:val="24"/>
                <w:szCs w:val="24"/>
              </w:rPr>
              <w:tab/>
            </w:r>
            <w:r w:rsidR="00844675" w:rsidRPr="00F5198F">
              <w:rPr>
                <w:rStyle w:val="Hyperlink"/>
                <w:noProof/>
              </w:rPr>
              <w:t>Improving Access to Services for Persons with Limited English Proficiency (LEP)</w:t>
            </w:r>
            <w:r w:rsidR="00844675">
              <w:rPr>
                <w:noProof/>
                <w:webHidden/>
              </w:rPr>
              <w:tab/>
            </w:r>
            <w:r w:rsidR="00844675">
              <w:rPr>
                <w:noProof/>
                <w:webHidden/>
              </w:rPr>
              <w:fldChar w:fldCharType="begin"/>
            </w:r>
            <w:r w:rsidR="00844675">
              <w:rPr>
                <w:noProof/>
                <w:webHidden/>
              </w:rPr>
              <w:instrText xml:space="preserve"> PAGEREF _Toc200376894 \h </w:instrText>
            </w:r>
            <w:r w:rsidR="00844675">
              <w:rPr>
                <w:noProof/>
                <w:webHidden/>
              </w:rPr>
            </w:r>
            <w:r w:rsidR="00844675">
              <w:rPr>
                <w:noProof/>
                <w:webHidden/>
              </w:rPr>
              <w:fldChar w:fldCharType="separate"/>
            </w:r>
            <w:r w:rsidR="00844675">
              <w:rPr>
                <w:noProof/>
                <w:webHidden/>
              </w:rPr>
              <w:t>8</w:t>
            </w:r>
            <w:r w:rsidR="00844675">
              <w:rPr>
                <w:noProof/>
                <w:webHidden/>
              </w:rPr>
              <w:fldChar w:fldCharType="end"/>
            </w:r>
          </w:hyperlink>
        </w:p>
        <w:p w14:paraId="26CB915D" w14:textId="111E43C5" w:rsidR="00844675" w:rsidRDefault="003C3A0E">
          <w:pPr>
            <w:pStyle w:val="TOC2"/>
            <w:rPr>
              <w:rFonts w:asciiTheme="minorHAnsi" w:eastAsiaTheme="minorEastAsia" w:hAnsiTheme="minorHAnsi"/>
              <w:noProof/>
              <w:sz w:val="24"/>
              <w:szCs w:val="24"/>
            </w:rPr>
          </w:pPr>
          <w:hyperlink w:anchor="_Toc200376895" w:history="1">
            <w:r w:rsidR="00844675" w:rsidRPr="00F5198F">
              <w:rPr>
                <w:rStyle w:val="Hyperlink"/>
                <w:noProof/>
              </w:rPr>
              <w:t>3.5</w:t>
            </w:r>
            <w:r w:rsidR="00844675">
              <w:rPr>
                <w:rFonts w:asciiTheme="minorHAnsi" w:eastAsiaTheme="minorEastAsia" w:hAnsiTheme="minorHAnsi"/>
                <w:noProof/>
                <w:sz w:val="24"/>
                <w:szCs w:val="24"/>
              </w:rPr>
              <w:tab/>
            </w:r>
            <w:r w:rsidR="00844675" w:rsidRPr="00F5198F">
              <w:rPr>
                <w:rStyle w:val="Hyperlink"/>
                <w:noProof/>
              </w:rPr>
              <w:t>Violence Against Women Act Protections</w:t>
            </w:r>
            <w:r w:rsidR="00844675">
              <w:rPr>
                <w:noProof/>
                <w:webHidden/>
              </w:rPr>
              <w:tab/>
            </w:r>
            <w:r w:rsidR="00844675">
              <w:rPr>
                <w:noProof/>
                <w:webHidden/>
              </w:rPr>
              <w:fldChar w:fldCharType="begin"/>
            </w:r>
            <w:r w:rsidR="00844675">
              <w:rPr>
                <w:noProof/>
                <w:webHidden/>
              </w:rPr>
              <w:instrText xml:space="preserve"> PAGEREF _Toc200376895 \h </w:instrText>
            </w:r>
            <w:r w:rsidR="00844675">
              <w:rPr>
                <w:noProof/>
                <w:webHidden/>
              </w:rPr>
            </w:r>
            <w:r w:rsidR="00844675">
              <w:rPr>
                <w:noProof/>
                <w:webHidden/>
              </w:rPr>
              <w:fldChar w:fldCharType="separate"/>
            </w:r>
            <w:r w:rsidR="00844675">
              <w:rPr>
                <w:noProof/>
                <w:webHidden/>
              </w:rPr>
              <w:t>9</w:t>
            </w:r>
            <w:r w:rsidR="00844675">
              <w:rPr>
                <w:noProof/>
                <w:webHidden/>
              </w:rPr>
              <w:fldChar w:fldCharType="end"/>
            </w:r>
          </w:hyperlink>
        </w:p>
        <w:p w14:paraId="6A945833" w14:textId="04B2B50D" w:rsidR="00844675" w:rsidRDefault="003C3A0E" w:rsidP="00AD20A4">
          <w:pPr>
            <w:pStyle w:val="TOC1"/>
            <w:rPr>
              <w:rFonts w:asciiTheme="minorHAnsi" w:eastAsiaTheme="minorEastAsia" w:hAnsiTheme="minorHAnsi"/>
              <w:noProof/>
              <w:color w:val="auto"/>
              <w:szCs w:val="24"/>
            </w:rPr>
          </w:pPr>
          <w:hyperlink w:anchor="_Toc200376896" w:history="1">
            <w:r w:rsidR="00844675" w:rsidRPr="00F5198F">
              <w:rPr>
                <w:rStyle w:val="Hyperlink"/>
                <w:noProof/>
                <w:lang w:bidi="en-US"/>
              </w:rPr>
              <w:t>CHAPTER 4: APPLICATIONS, WAITING LIST AND TENANT SELECTION</w:t>
            </w:r>
            <w:r w:rsidR="00844675">
              <w:rPr>
                <w:noProof/>
                <w:webHidden/>
              </w:rPr>
              <w:tab/>
            </w:r>
            <w:r w:rsidR="00844675">
              <w:rPr>
                <w:noProof/>
                <w:webHidden/>
              </w:rPr>
              <w:fldChar w:fldCharType="begin"/>
            </w:r>
            <w:r w:rsidR="00844675">
              <w:rPr>
                <w:noProof/>
                <w:webHidden/>
              </w:rPr>
              <w:instrText xml:space="preserve"> PAGEREF _Toc200376896 \h </w:instrText>
            </w:r>
            <w:r w:rsidR="00844675">
              <w:rPr>
                <w:noProof/>
                <w:webHidden/>
              </w:rPr>
            </w:r>
            <w:r w:rsidR="00844675">
              <w:rPr>
                <w:noProof/>
                <w:webHidden/>
              </w:rPr>
              <w:fldChar w:fldCharType="separate"/>
            </w:r>
            <w:r w:rsidR="00844675">
              <w:rPr>
                <w:noProof/>
                <w:webHidden/>
              </w:rPr>
              <w:t>10</w:t>
            </w:r>
            <w:r w:rsidR="00844675">
              <w:rPr>
                <w:noProof/>
                <w:webHidden/>
              </w:rPr>
              <w:fldChar w:fldCharType="end"/>
            </w:r>
          </w:hyperlink>
        </w:p>
        <w:p w14:paraId="58089E4D" w14:textId="4438C103" w:rsidR="00844675" w:rsidRDefault="003C3A0E">
          <w:pPr>
            <w:pStyle w:val="TOC2"/>
            <w:rPr>
              <w:rFonts w:asciiTheme="minorHAnsi" w:eastAsiaTheme="minorEastAsia" w:hAnsiTheme="minorHAnsi"/>
              <w:noProof/>
              <w:sz w:val="24"/>
              <w:szCs w:val="24"/>
            </w:rPr>
          </w:pPr>
          <w:hyperlink w:anchor="_Toc200376897" w:history="1">
            <w:r w:rsidR="00844675" w:rsidRPr="00F5198F">
              <w:rPr>
                <w:rStyle w:val="Hyperlink"/>
                <w:noProof/>
              </w:rPr>
              <w:t>4.1</w:t>
            </w:r>
            <w:r w:rsidR="00844675">
              <w:rPr>
                <w:rFonts w:asciiTheme="minorHAnsi" w:eastAsiaTheme="minorEastAsia" w:hAnsiTheme="minorHAnsi"/>
                <w:noProof/>
                <w:sz w:val="24"/>
                <w:szCs w:val="24"/>
              </w:rPr>
              <w:tab/>
            </w:r>
            <w:r w:rsidR="00844675" w:rsidRPr="00F5198F">
              <w:rPr>
                <w:rStyle w:val="Hyperlink"/>
                <w:noProof/>
              </w:rPr>
              <w:t>Overview</w:t>
            </w:r>
            <w:r w:rsidR="00844675">
              <w:rPr>
                <w:noProof/>
                <w:webHidden/>
              </w:rPr>
              <w:tab/>
            </w:r>
            <w:r w:rsidR="00844675">
              <w:rPr>
                <w:noProof/>
                <w:webHidden/>
              </w:rPr>
              <w:fldChar w:fldCharType="begin"/>
            </w:r>
            <w:r w:rsidR="00844675">
              <w:rPr>
                <w:noProof/>
                <w:webHidden/>
              </w:rPr>
              <w:instrText xml:space="preserve"> PAGEREF _Toc200376897 \h </w:instrText>
            </w:r>
            <w:r w:rsidR="00844675">
              <w:rPr>
                <w:noProof/>
                <w:webHidden/>
              </w:rPr>
            </w:r>
            <w:r w:rsidR="00844675">
              <w:rPr>
                <w:noProof/>
                <w:webHidden/>
              </w:rPr>
              <w:fldChar w:fldCharType="separate"/>
            </w:r>
            <w:r w:rsidR="00844675">
              <w:rPr>
                <w:noProof/>
                <w:webHidden/>
              </w:rPr>
              <w:t>10</w:t>
            </w:r>
            <w:r w:rsidR="00844675">
              <w:rPr>
                <w:noProof/>
                <w:webHidden/>
              </w:rPr>
              <w:fldChar w:fldCharType="end"/>
            </w:r>
          </w:hyperlink>
        </w:p>
        <w:p w14:paraId="5DADE0E3" w14:textId="60BB05B7" w:rsidR="00844675" w:rsidRDefault="003C3A0E">
          <w:pPr>
            <w:pStyle w:val="TOC2"/>
            <w:rPr>
              <w:rFonts w:asciiTheme="minorHAnsi" w:eastAsiaTheme="minorEastAsia" w:hAnsiTheme="minorHAnsi"/>
              <w:noProof/>
              <w:sz w:val="24"/>
              <w:szCs w:val="24"/>
            </w:rPr>
          </w:pPr>
          <w:hyperlink w:anchor="_Toc200376898" w:history="1">
            <w:r w:rsidR="00844675" w:rsidRPr="00F5198F">
              <w:rPr>
                <w:rStyle w:val="Hyperlink"/>
                <w:noProof/>
              </w:rPr>
              <w:t>4.2</w:t>
            </w:r>
            <w:r w:rsidR="00844675">
              <w:rPr>
                <w:rFonts w:asciiTheme="minorHAnsi" w:eastAsiaTheme="minorEastAsia" w:hAnsiTheme="minorHAnsi"/>
                <w:noProof/>
                <w:sz w:val="24"/>
                <w:szCs w:val="24"/>
              </w:rPr>
              <w:tab/>
            </w:r>
            <w:r w:rsidR="00844675" w:rsidRPr="00F5198F">
              <w:rPr>
                <w:rStyle w:val="Hyperlink"/>
                <w:noProof/>
              </w:rPr>
              <w:t>Applying for Assistance</w:t>
            </w:r>
            <w:r w:rsidR="00844675">
              <w:rPr>
                <w:noProof/>
                <w:webHidden/>
              </w:rPr>
              <w:tab/>
            </w:r>
            <w:r w:rsidR="00844675">
              <w:rPr>
                <w:noProof/>
                <w:webHidden/>
              </w:rPr>
              <w:fldChar w:fldCharType="begin"/>
            </w:r>
            <w:r w:rsidR="00844675">
              <w:rPr>
                <w:noProof/>
                <w:webHidden/>
              </w:rPr>
              <w:instrText xml:space="preserve"> PAGEREF _Toc200376898 \h </w:instrText>
            </w:r>
            <w:r w:rsidR="00844675">
              <w:rPr>
                <w:noProof/>
                <w:webHidden/>
              </w:rPr>
            </w:r>
            <w:r w:rsidR="00844675">
              <w:rPr>
                <w:noProof/>
                <w:webHidden/>
              </w:rPr>
              <w:fldChar w:fldCharType="separate"/>
            </w:r>
            <w:r w:rsidR="00844675">
              <w:rPr>
                <w:noProof/>
                <w:webHidden/>
              </w:rPr>
              <w:t>10</w:t>
            </w:r>
            <w:r w:rsidR="00844675">
              <w:rPr>
                <w:noProof/>
                <w:webHidden/>
              </w:rPr>
              <w:fldChar w:fldCharType="end"/>
            </w:r>
          </w:hyperlink>
        </w:p>
        <w:p w14:paraId="72995A66" w14:textId="34E2A83C" w:rsidR="00844675" w:rsidRDefault="003C3A0E">
          <w:pPr>
            <w:pStyle w:val="TOC2"/>
            <w:rPr>
              <w:rFonts w:asciiTheme="minorHAnsi" w:eastAsiaTheme="minorEastAsia" w:hAnsiTheme="minorHAnsi"/>
              <w:noProof/>
              <w:sz w:val="24"/>
              <w:szCs w:val="24"/>
            </w:rPr>
          </w:pPr>
          <w:hyperlink w:anchor="_Toc200376899" w:history="1">
            <w:r w:rsidR="00844675" w:rsidRPr="00F5198F">
              <w:rPr>
                <w:rStyle w:val="Hyperlink"/>
                <w:noProof/>
              </w:rPr>
              <w:t>4.3</w:t>
            </w:r>
            <w:r w:rsidR="00844675">
              <w:rPr>
                <w:rFonts w:asciiTheme="minorHAnsi" w:eastAsiaTheme="minorEastAsia" w:hAnsiTheme="minorHAnsi"/>
                <w:noProof/>
                <w:sz w:val="24"/>
                <w:szCs w:val="24"/>
              </w:rPr>
              <w:tab/>
            </w:r>
            <w:r w:rsidR="00844675" w:rsidRPr="00F5198F">
              <w:rPr>
                <w:rStyle w:val="Hyperlink"/>
                <w:noProof/>
              </w:rPr>
              <w:t>Placement on the Waiting List</w:t>
            </w:r>
            <w:r w:rsidR="00844675">
              <w:rPr>
                <w:noProof/>
                <w:webHidden/>
              </w:rPr>
              <w:tab/>
            </w:r>
            <w:r w:rsidR="00844675">
              <w:rPr>
                <w:noProof/>
                <w:webHidden/>
              </w:rPr>
              <w:fldChar w:fldCharType="begin"/>
            </w:r>
            <w:r w:rsidR="00844675">
              <w:rPr>
                <w:noProof/>
                <w:webHidden/>
              </w:rPr>
              <w:instrText xml:space="preserve"> PAGEREF _Toc200376899 \h </w:instrText>
            </w:r>
            <w:r w:rsidR="00844675">
              <w:rPr>
                <w:noProof/>
                <w:webHidden/>
              </w:rPr>
            </w:r>
            <w:r w:rsidR="00844675">
              <w:rPr>
                <w:noProof/>
                <w:webHidden/>
              </w:rPr>
              <w:fldChar w:fldCharType="separate"/>
            </w:r>
            <w:r w:rsidR="00844675">
              <w:rPr>
                <w:noProof/>
                <w:webHidden/>
              </w:rPr>
              <w:t>11</w:t>
            </w:r>
            <w:r w:rsidR="00844675">
              <w:rPr>
                <w:noProof/>
                <w:webHidden/>
              </w:rPr>
              <w:fldChar w:fldCharType="end"/>
            </w:r>
          </w:hyperlink>
        </w:p>
        <w:p w14:paraId="002DF784" w14:textId="64F94D82" w:rsidR="00844675" w:rsidRDefault="003C3A0E">
          <w:pPr>
            <w:pStyle w:val="TOC2"/>
            <w:rPr>
              <w:rFonts w:asciiTheme="minorHAnsi" w:eastAsiaTheme="minorEastAsia" w:hAnsiTheme="minorHAnsi"/>
              <w:noProof/>
              <w:sz w:val="24"/>
              <w:szCs w:val="24"/>
            </w:rPr>
          </w:pPr>
          <w:hyperlink w:anchor="_Toc200376900" w:history="1">
            <w:r w:rsidR="00844675" w:rsidRPr="00F5198F">
              <w:rPr>
                <w:rStyle w:val="Hyperlink"/>
                <w:noProof/>
              </w:rPr>
              <w:t>4.4</w:t>
            </w:r>
            <w:r w:rsidR="00844675">
              <w:rPr>
                <w:rFonts w:asciiTheme="minorHAnsi" w:eastAsiaTheme="minorEastAsia" w:hAnsiTheme="minorHAnsi"/>
                <w:noProof/>
                <w:sz w:val="24"/>
                <w:szCs w:val="24"/>
              </w:rPr>
              <w:tab/>
            </w:r>
            <w:r w:rsidR="00844675" w:rsidRPr="00F5198F">
              <w:rPr>
                <w:rStyle w:val="Hyperlink"/>
                <w:noProof/>
              </w:rPr>
              <w:t>Organization of the Waiting List</w:t>
            </w:r>
            <w:r w:rsidR="00844675">
              <w:rPr>
                <w:noProof/>
                <w:webHidden/>
              </w:rPr>
              <w:tab/>
            </w:r>
            <w:r w:rsidR="00844675">
              <w:rPr>
                <w:noProof/>
                <w:webHidden/>
              </w:rPr>
              <w:fldChar w:fldCharType="begin"/>
            </w:r>
            <w:r w:rsidR="00844675">
              <w:rPr>
                <w:noProof/>
                <w:webHidden/>
              </w:rPr>
              <w:instrText xml:space="preserve"> PAGEREF _Toc200376900 \h </w:instrText>
            </w:r>
            <w:r w:rsidR="00844675">
              <w:rPr>
                <w:noProof/>
                <w:webHidden/>
              </w:rPr>
            </w:r>
            <w:r w:rsidR="00844675">
              <w:rPr>
                <w:noProof/>
                <w:webHidden/>
              </w:rPr>
              <w:fldChar w:fldCharType="separate"/>
            </w:r>
            <w:r w:rsidR="00844675">
              <w:rPr>
                <w:noProof/>
                <w:webHidden/>
              </w:rPr>
              <w:t>11</w:t>
            </w:r>
            <w:r w:rsidR="00844675">
              <w:rPr>
                <w:noProof/>
                <w:webHidden/>
              </w:rPr>
              <w:fldChar w:fldCharType="end"/>
            </w:r>
          </w:hyperlink>
        </w:p>
        <w:p w14:paraId="7E7D2B30" w14:textId="0CBD5FEF" w:rsidR="00844675" w:rsidRDefault="003C3A0E">
          <w:pPr>
            <w:pStyle w:val="TOC2"/>
            <w:rPr>
              <w:rFonts w:asciiTheme="minorHAnsi" w:eastAsiaTheme="minorEastAsia" w:hAnsiTheme="minorHAnsi"/>
              <w:noProof/>
              <w:sz w:val="24"/>
              <w:szCs w:val="24"/>
            </w:rPr>
          </w:pPr>
          <w:hyperlink w:anchor="_Toc200376901" w:history="1">
            <w:r w:rsidR="00844675" w:rsidRPr="00F5198F">
              <w:rPr>
                <w:rStyle w:val="Hyperlink"/>
                <w:noProof/>
              </w:rPr>
              <w:t>4.5</w:t>
            </w:r>
            <w:r w:rsidR="00844675">
              <w:rPr>
                <w:rFonts w:asciiTheme="minorHAnsi" w:eastAsiaTheme="minorEastAsia" w:hAnsiTheme="minorHAnsi"/>
                <w:noProof/>
                <w:sz w:val="24"/>
                <w:szCs w:val="24"/>
              </w:rPr>
              <w:tab/>
            </w:r>
            <w:r w:rsidR="00844675" w:rsidRPr="00F5198F">
              <w:rPr>
                <w:rStyle w:val="Hyperlink"/>
                <w:noProof/>
              </w:rPr>
              <w:t>Opening the Waiting List</w:t>
            </w:r>
            <w:r w:rsidR="00844675">
              <w:rPr>
                <w:noProof/>
                <w:webHidden/>
              </w:rPr>
              <w:tab/>
            </w:r>
            <w:r w:rsidR="00844675">
              <w:rPr>
                <w:noProof/>
                <w:webHidden/>
              </w:rPr>
              <w:fldChar w:fldCharType="begin"/>
            </w:r>
            <w:r w:rsidR="00844675">
              <w:rPr>
                <w:noProof/>
                <w:webHidden/>
              </w:rPr>
              <w:instrText xml:space="preserve"> PAGEREF _Toc200376901 \h </w:instrText>
            </w:r>
            <w:r w:rsidR="00844675">
              <w:rPr>
                <w:noProof/>
                <w:webHidden/>
              </w:rPr>
            </w:r>
            <w:r w:rsidR="00844675">
              <w:rPr>
                <w:noProof/>
                <w:webHidden/>
              </w:rPr>
              <w:fldChar w:fldCharType="separate"/>
            </w:r>
            <w:r w:rsidR="00844675">
              <w:rPr>
                <w:noProof/>
                <w:webHidden/>
              </w:rPr>
              <w:t>12</w:t>
            </w:r>
            <w:r w:rsidR="00844675">
              <w:rPr>
                <w:noProof/>
                <w:webHidden/>
              </w:rPr>
              <w:fldChar w:fldCharType="end"/>
            </w:r>
          </w:hyperlink>
        </w:p>
        <w:p w14:paraId="22EEBF09" w14:textId="62B24928" w:rsidR="00844675" w:rsidRDefault="003C3A0E">
          <w:pPr>
            <w:pStyle w:val="TOC2"/>
            <w:rPr>
              <w:rFonts w:asciiTheme="minorHAnsi" w:eastAsiaTheme="minorEastAsia" w:hAnsiTheme="minorHAnsi"/>
              <w:noProof/>
              <w:sz w:val="24"/>
              <w:szCs w:val="24"/>
            </w:rPr>
          </w:pPr>
          <w:hyperlink w:anchor="_Toc200376902" w:history="1">
            <w:r w:rsidR="00844675" w:rsidRPr="00F5198F">
              <w:rPr>
                <w:rStyle w:val="Hyperlink"/>
                <w:noProof/>
              </w:rPr>
              <w:t>4.6</w:t>
            </w:r>
            <w:r w:rsidR="00844675">
              <w:rPr>
                <w:rFonts w:asciiTheme="minorHAnsi" w:eastAsiaTheme="minorEastAsia" w:hAnsiTheme="minorHAnsi"/>
                <w:noProof/>
                <w:sz w:val="24"/>
                <w:szCs w:val="24"/>
              </w:rPr>
              <w:tab/>
            </w:r>
            <w:r w:rsidR="00844675" w:rsidRPr="00F5198F">
              <w:rPr>
                <w:rStyle w:val="Hyperlink"/>
                <w:noProof/>
              </w:rPr>
              <w:t>Closing the Waiting List</w:t>
            </w:r>
            <w:r w:rsidR="00844675">
              <w:rPr>
                <w:noProof/>
                <w:webHidden/>
              </w:rPr>
              <w:tab/>
            </w:r>
            <w:r w:rsidR="00844675">
              <w:rPr>
                <w:noProof/>
                <w:webHidden/>
              </w:rPr>
              <w:fldChar w:fldCharType="begin"/>
            </w:r>
            <w:r w:rsidR="00844675">
              <w:rPr>
                <w:noProof/>
                <w:webHidden/>
              </w:rPr>
              <w:instrText xml:space="preserve"> PAGEREF _Toc200376902 \h </w:instrText>
            </w:r>
            <w:r w:rsidR="00844675">
              <w:rPr>
                <w:noProof/>
                <w:webHidden/>
              </w:rPr>
            </w:r>
            <w:r w:rsidR="00844675">
              <w:rPr>
                <w:noProof/>
                <w:webHidden/>
              </w:rPr>
              <w:fldChar w:fldCharType="separate"/>
            </w:r>
            <w:r w:rsidR="00844675">
              <w:rPr>
                <w:noProof/>
                <w:webHidden/>
              </w:rPr>
              <w:t>12</w:t>
            </w:r>
            <w:r w:rsidR="00844675">
              <w:rPr>
                <w:noProof/>
                <w:webHidden/>
              </w:rPr>
              <w:fldChar w:fldCharType="end"/>
            </w:r>
          </w:hyperlink>
        </w:p>
        <w:p w14:paraId="3C238207" w14:textId="54BDF655" w:rsidR="00844675" w:rsidRDefault="003C3A0E">
          <w:pPr>
            <w:pStyle w:val="TOC2"/>
            <w:rPr>
              <w:rFonts w:asciiTheme="minorHAnsi" w:eastAsiaTheme="minorEastAsia" w:hAnsiTheme="minorHAnsi"/>
              <w:noProof/>
              <w:sz w:val="24"/>
              <w:szCs w:val="24"/>
            </w:rPr>
          </w:pPr>
          <w:hyperlink w:anchor="_Toc200376903" w:history="1">
            <w:r w:rsidR="00844675" w:rsidRPr="00F5198F">
              <w:rPr>
                <w:rStyle w:val="Hyperlink"/>
                <w:noProof/>
              </w:rPr>
              <w:t>4.7</w:t>
            </w:r>
            <w:r w:rsidR="00844675">
              <w:rPr>
                <w:rFonts w:asciiTheme="minorHAnsi" w:eastAsiaTheme="minorEastAsia" w:hAnsiTheme="minorHAnsi"/>
                <w:noProof/>
                <w:sz w:val="24"/>
                <w:szCs w:val="24"/>
              </w:rPr>
              <w:tab/>
            </w:r>
            <w:r w:rsidR="00844675" w:rsidRPr="00F5198F">
              <w:rPr>
                <w:rStyle w:val="Hyperlink"/>
                <w:noProof/>
              </w:rPr>
              <w:t>Family Outreach</w:t>
            </w:r>
            <w:r w:rsidR="00844675">
              <w:rPr>
                <w:noProof/>
                <w:webHidden/>
              </w:rPr>
              <w:tab/>
            </w:r>
            <w:r w:rsidR="00844675">
              <w:rPr>
                <w:noProof/>
                <w:webHidden/>
              </w:rPr>
              <w:fldChar w:fldCharType="begin"/>
            </w:r>
            <w:r w:rsidR="00844675">
              <w:rPr>
                <w:noProof/>
                <w:webHidden/>
              </w:rPr>
              <w:instrText xml:space="preserve"> PAGEREF _Toc200376903 \h </w:instrText>
            </w:r>
            <w:r w:rsidR="00844675">
              <w:rPr>
                <w:noProof/>
                <w:webHidden/>
              </w:rPr>
            </w:r>
            <w:r w:rsidR="00844675">
              <w:rPr>
                <w:noProof/>
                <w:webHidden/>
              </w:rPr>
              <w:fldChar w:fldCharType="separate"/>
            </w:r>
            <w:r w:rsidR="00844675">
              <w:rPr>
                <w:noProof/>
                <w:webHidden/>
              </w:rPr>
              <w:t>12</w:t>
            </w:r>
            <w:r w:rsidR="00844675">
              <w:rPr>
                <w:noProof/>
                <w:webHidden/>
              </w:rPr>
              <w:fldChar w:fldCharType="end"/>
            </w:r>
          </w:hyperlink>
        </w:p>
        <w:p w14:paraId="39402481" w14:textId="1586D9F6" w:rsidR="00844675" w:rsidRDefault="003C3A0E">
          <w:pPr>
            <w:pStyle w:val="TOC2"/>
            <w:rPr>
              <w:rFonts w:asciiTheme="minorHAnsi" w:eastAsiaTheme="minorEastAsia" w:hAnsiTheme="minorHAnsi"/>
              <w:noProof/>
              <w:sz w:val="24"/>
              <w:szCs w:val="24"/>
            </w:rPr>
          </w:pPr>
          <w:hyperlink w:anchor="_Toc200376904" w:history="1">
            <w:r w:rsidR="00844675" w:rsidRPr="00F5198F">
              <w:rPr>
                <w:rStyle w:val="Hyperlink"/>
                <w:noProof/>
              </w:rPr>
              <w:t>4.8</w:t>
            </w:r>
            <w:r w:rsidR="00844675">
              <w:rPr>
                <w:rFonts w:asciiTheme="minorHAnsi" w:eastAsiaTheme="minorEastAsia" w:hAnsiTheme="minorHAnsi"/>
                <w:noProof/>
                <w:sz w:val="24"/>
                <w:szCs w:val="24"/>
              </w:rPr>
              <w:tab/>
            </w:r>
            <w:r w:rsidR="00844675" w:rsidRPr="00F5198F">
              <w:rPr>
                <w:rStyle w:val="Hyperlink"/>
                <w:noProof/>
              </w:rPr>
              <w:t>Reporting Changes in Family Circumstances</w:t>
            </w:r>
            <w:r w:rsidR="00844675">
              <w:rPr>
                <w:noProof/>
                <w:webHidden/>
              </w:rPr>
              <w:tab/>
            </w:r>
            <w:r w:rsidR="00844675">
              <w:rPr>
                <w:noProof/>
                <w:webHidden/>
              </w:rPr>
              <w:fldChar w:fldCharType="begin"/>
            </w:r>
            <w:r w:rsidR="00844675">
              <w:rPr>
                <w:noProof/>
                <w:webHidden/>
              </w:rPr>
              <w:instrText xml:space="preserve"> PAGEREF _Toc200376904 \h </w:instrText>
            </w:r>
            <w:r w:rsidR="00844675">
              <w:rPr>
                <w:noProof/>
                <w:webHidden/>
              </w:rPr>
            </w:r>
            <w:r w:rsidR="00844675">
              <w:rPr>
                <w:noProof/>
                <w:webHidden/>
              </w:rPr>
              <w:fldChar w:fldCharType="separate"/>
            </w:r>
            <w:r w:rsidR="00844675">
              <w:rPr>
                <w:noProof/>
                <w:webHidden/>
              </w:rPr>
              <w:t>12</w:t>
            </w:r>
            <w:r w:rsidR="00844675">
              <w:rPr>
                <w:noProof/>
                <w:webHidden/>
              </w:rPr>
              <w:fldChar w:fldCharType="end"/>
            </w:r>
          </w:hyperlink>
        </w:p>
        <w:p w14:paraId="6CC53A28" w14:textId="35758C31" w:rsidR="00844675" w:rsidRDefault="003C3A0E">
          <w:pPr>
            <w:pStyle w:val="TOC2"/>
            <w:rPr>
              <w:rFonts w:asciiTheme="minorHAnsi" w:eastAsiaTheme="minorEastAsia" w:hAnsiTheme="minorHAnsi"/>
              <w:noProof/>
              <w:sz w:val="24"/>
              <w:szCs w:val="24"/>
            </w:rPr>
          </w:pPr>
          <w:hyperlink w:anchor="_Toc200376905" w:history="1">
            <w:r w:rsidR="00844675" w:rsidRPr="00F5198F">
              <w:rPr>
                <w:rStyle w:val="Hyperlink"/>
                <w:noProof/>
              </w:rPr>
              <w:t>4.9</w:t>
            </w:r>
            <w:r w:rsidR="00844675">
              <w:rPr>
                <w:rFonts w:asciiTheme="minorHAnsi" w:eastAsiaTheme="minorEastAsia" w:hAnsiTheme="minorHAnsi"/>
                <w:noProof/>
                <w:sz w:val="24"/>
                <w:szCs w:val="24"/>
              </w:rPr>
              <w:tab/>
            </w:r>
            <w:r w:rsidR="00844675" w:rsidRPr="00F5198F">
              <w:rPr>
                <w:rStyle w:val="Hyperlink"/>
                <w:noProof/>
              </w:rPr>
              <w:t>Updating the Waiting List</w:t>
            </w:r>
            <w:r w:rsidR="00844675">
              <w:rPr>
                <w:noProof/>
                <w:webHidden/>
              </w:rPr>
              <w:tab/>
            </w:r>
            <w:r w:rsidR="00844675">
              <w:rPr>
                <w:noProof/>
                <w:webHidden/>
              </w:rPr>
              <w:fldChar w:fldCharType="begin"/>
            </w:r>
            <w:r w:rsidR="00844675">
              <w:rPr>
                <w:noProof/>
                <w:webHidden/>
              </w:rPr>
              <w:instrText xml:space="preserve"> PAGEREF _Toc200376905 \h </w:instrText>
            </w:r>
            <w:r w:rsidR="00844675">
              <w:rPr>
                <w:noProof/>
                <w:webHidden/>
              </w:rPr>
            </w:r>
            <w:r w:rsidR="00844675">
              <w:rPr>
                <w:noProof/>
                <w:webHidden/>
              </w:rPr>
              <w:fldChar w:fldCharType="separate"/>
            </w:r>
            <w:r w:rsidR="00844675">
              <w:rPr>
                <w:noProof/>
                <w:webHidden/>
              </w:rPr>
              <w:t>13</w:t>
            </w:r>
            <w:r w:rsidR="00844675">
              <w:rPr>
                <w:noProof/>
                <w:webHidden/>
              </w:rPr>
              <w:fldChar w:fldCharType="end"/>
            </w:r>
          </w:hyperlink>
        </w:p>
        <w:p w14:paraId="655513CE" w14:textId="2406B9AB" w:rsidR="00844675" w:rsidRDefault="003C3A0E">
          <w:pPr>
            <w:pStyle w:val="TOC2"/>
            <w:rPr>
              <w:rFonts w:asciiTheme="minorHAnsi" w:eastAsiaTheme="minorEastAsia" w:hAnsiTheme="minorHAnsi"/>
              <w:noProof/>
              <w:sz w:val="24"/>
              <w:szCs w:val="24"/>
            </w:rPr>
          </w:pPr>
          <w:hyperlink w:anchor="_Toc200376906" w:history="1">
            <w:r w:rsidR="00844675" w:rsidRPr="00F5198F">
              <w:rPr>
                <w:rStyle w:val="Hyperlink"/>
                <w:noProof/>
              </w:rPr>
              <w:t>4.10</w:t>
            </w:r>
            <w:r w:rsidR="00844675">
              <w:rPr>
                <w:rFonts w:asciiTheme="minorHAnsi" w:eastAsiaTheme="minorEastAsia" w:hAnsiTheme="minorHAnsi"/>
                <w:noProof/>
                <w:sz w:val="24"/>
                <w:szCs w:val="24"/>
              </w:rPr>
              <w:tab/>
            </w:r>
            <w:r w:rsidR="00844675" w:rsidRPr="00F5198F">
              <w:rPr>
                <w:rStyle w:val="Hyperlink"/>
                <w:noProof/>
              </w:rPr>
              <w:t>Withdrawals and Removals from the Waiting List</w:t>
            </w:r>
            <w:r w:rsidR="00844675">
              <w:rPr>
                <w:noProof/>
                <w:webHidden/>
              </w:rPr>
              <w:tab/>
            </w:r>
            <w:r w:rsidR="00844675">
              <w:rPr>
                <w:noProof/>
                <w:webHidden/>
              </w:rPr>
              <w:fldChar w:fldCharType="begin"/>
            </w:r>
            <w:r w:rsidR="00844675">
              <w:rPr>
                <w:noProof/>
                <w:webHidden/>
              </w:rPr>
              <w:instrText xml:space="preserve"> PAGEREF _Toc200376906 \h </w:instrText>
            </w:r>
            <w:r w:rsidR="00844675">
              <w:rPr>
                <w:noProof/>
                <w:webHidden/>
              </w:rPr>
            </w:r>
            <w:r w:rsidR="00844675">
              <w:rPr>
                <w:noProof/>
                <w:webHidden/>
              </w:rPr>
              <w:fldChar w:fldCharType="separate"/>
            </w:r>
            <w:r w:rsidR="00844675">
              <w:rPr>
                <w:noProof/>
                <w:webHidden/>
              </w:rPr>
              <w:t>13</w:t>
            </w:r>
            <w:r w:rsidR="00844675">
              <w:rPr>
                <w:noProof/>
                <w:webHidden/>
              </w:rPr>
              <w:fldChar w:fldCharType="end"/>
            </w:r>
          </w:hyperlink>
        </w:p>
        <w:p w14:paraId="0BE5A8AB" w14:textId="73A4F48E" w:rsidR="00844675" w:rsidRDefault="003C3A0E">
          <w:pPr>
            <w:pStyle w:val="TOC2"/>
            <w:rPr>
              <w:rFonts w:asciiTheme="minorHAnsi" w:eastAsiaTheme="minorEastAsia" w:hAnsiTheme="minorHAnsi"/>
              <w:noProof/>
              <w:sz w:val="24"/>
              <w:szCs w:val="24"/>
            </w:rPr>
          </w:pPr>
          <w:hyperlink w:anchor="_Toc200376907" w:history="1">
            <w:r w:rsidR="00844675" w:rsidRPr="00F5198F">
              <w:rPr>
                <w:rStyle w:val="Hyperlink"/>
                <w:noProof/>
              </w:rPr>
              <w:t>4.11</w:t>
            </w:r>
            <w:r w:rsidR="00844675">
              <w:rPr>
                <w:rFonts w:asciiTheme="minorHAnsi" w:eastAsiaTheme="minorEastAsia" w:hAnsiTheme="minorHAnsi"/>
                <w:noProof/>
                <w:sz w:val="24"/>
                <w:szCs w:val="24"/>
              </w:rPr>
              <w:tab/>
            </w:r>
            <w:r w:rsidR="00844675" w:rsidRPr="00F5198F">
              <w:rPr>
                <w:rStyle w:val="Hyperlink"/>
                <w:noProof/>
              </w:rPr>
              <w:t>Income Targeting</w:t>
            </w:r>
            <w:r w:rsidR="00844675">
              <w:rPr>
                <w:noProof/>
                <w:webHidden/>
              </w:rPr>
              <w:tab/>
            </w:r>
            <w:r w:rsidR="00844675">
              <w:rPr>
                <w:noProof/>
                <w:webHidden/>
              </w:rPr>
              <w:fldChar w:fldCharType="begin"/>
            </w:r>
            <w:r w:rsidR="00844675">
              <w:rPr>
                <w:noProof/>
                <w:webHidden/>
              </w:rPr>
              <w:instrText xml:space="preserve"> PAGEREF _Toc200376907 \h </w:instrText>
            </w:r>
            <w:r w:rsidR="00844675">
              <w:rPr>
                <w:noProof/>
                <w:webHidden/>
              </w:rPr>
            </w:r>
            <w:r w:rsidR="00844675">
              <w:rPr>
                <w:noProof/>
                <w:webHidden/>
              </w:rPr>
              <w:fldChar w:fldCharType="separate"/>
            </w:r>
            <w:r w:rsidR="00844675">
              <w:rPr>
                <w:noProof/>
                <w:webHidden/>
              </w:rPr>
              <w:t>14</w:t>
            </w:r>
            <w:r w:rsidR="00844675">
              <w:rPr>
                <w:noProof/>
                <w:webHidden/>
              </w:rPr>
              <w:fldChar w:fldCharType="end"/>
            </w:r>
          </w:hyperlink>
        </w:p>
        <w:p w14:paraId="04847201" w14:textId="2D1E3E26" w:rsidR="00844675" w:rsidRDefault="003C3A0E">
          <w:pPr>
            <w:pStyle w:val="TOC2"/>
            <w:rPr>
              <w:rFonts w:asciiTheme="minorHAnsi" w:eastAsiaTheme="minorEastAsia" w:hAnsiTheme="minorHAnsi"/>
              <w:noProof/>
              <w:sz w:val="24"/>
              <w:szCs w:val="24"/>
            </w:rPr>
          </w:pPr>
          <w:hyperlink w:anchor="_Toc200376908" w:history="1">
            <w:r w:rsidR="00844675" w:rsidRPr="00F5198F">
              <w:rPr>
                <w:rStyle w:val="Hyperlink"/>
                <w:noProof/>
              </w:rPr>
              <w:t>4.12</w:t>
            </w:r>
            <w:r w:rsidR="00844675">
              <w:rPr>
                <w:rFonts w:asciiTheme="minorHAnsi" w:eastAsiaTheme="minorEastAsia" w:hAnsiTheme="minorHAnsi"/>
                <w:noProof/>
                <w:sz w:val="24"/>
                <w:szCs w:val="24"/>
              </w:rPr>
              <w:tab/>
            </w:r>
            <w:r w:rsidR="00844675" w:rsidRPr="00F5198F">
              <w:rPr>
                <w:rStyle w:val="Hyperlink"/>
                <w:noProof/>
              </w:rPr>
              <w:t>Deconcentration of Poverty and Income Mixing</w:t>
            </w:r>
            <w:r w:rsidR="00844675">
              <w:rPr>
                <w:noProof/>
                <w:webHidden/>
              </w:rPr>
              <w:tab/>
            </w:r>
            <w:r w:rsidR="00844675">
              <w:rPr>
                <w:noProof/>
                <w:webHidden/>
              </w:rPr>
              <w:fldChar w:fldCharType="begin"/>
            </w:r>
            <w:r w:rsidR="00844675">
              <w:rPr>
                <w:noProof/>
                <w:webHidden/>
              </w:rPr>
              <w:instrText xml:space="preserve"> PAGEREF _Toc200376908 \h </w:instrText>
            </w:r>
            <w:r w:rsidR="00844675">
              <w:rPr>
                <w:noProof/>
                <w:webHidden/>
              </w:rPr>
            </w:r>
            <w:r w:rsidR="00844675">
              <w:rPr>
                <w:noProof/>
                <w:webHidden/>
              </w:rPr>
              <w:fldChar w:fldCharType="separate"/>
            </w:r>
            <w:r w:rsidR="00844675">
              <w:rPr>
                <w:noProof/>
                <w:webHidden/>
              </w:rPr>
              <w:t>14</w:t>
            </w:r>
            <w:r w:rsidR="00844675">
              <w:rPr>
                <w:noProof/>
                <w:webHidden/>
              </w:rPr>
              <w:fldChar w:fldCharType="end"/>
            </w:r>
          </w:hyperlink>
        </w:p>
        <w:p w14:paraId="68164795" w14:textId="330EA3DE" w:rsidR="00844675" w:rsidRDefault="003C3A0E">
          <w:pPr>
            <w:pStyle w:val="TOC2"/>
            <w:rPr>
              <w:rFonts w:asciiTheme="minorHAnsi" w:eastAsiaTheme="minorEastAsia" w:hAnsiTheme="minorHAnsi"/>
              <w:noProof/>
              <w:sz w:val="24"/>
              <w:szCs w:val="24"/>
            </w:rPr>
          </w:pPr>
          <w:hyperlink w:anchor="_Toc200376909" w:history="1">
            <w:r w:rsidR="00844675" w:rsidRPr="00F5198F">
              <w:rPr>
                <w:rStyle w:val="Hyperlink"/>
                <w:noProof/>
              </w:rPr>
              <w:t>4.13</w:t>
            </w:r>
            <w:r w:rsidR="00844675">
              <w:rPr>
                <w:rFonts w:asciiTheme="minorHAnsi" w:eastAsiaTheme="minorEastAsia" w:hAnsiTheme="minorHAnsi"/>
                <w:noProof/>
                <w:sz w:val="24"/>
                <w:szCs w:val="24"/>
              </w:rPr>
              <w:tab/>
            </w:r>
            <w:r w:rsidR="00844675" w:rsidRPr="00F5198F">
              <w:rPr>
                <w:rStyle w:val="Hyperlink"/>
                <w:noProof/>
              </w:rPr>
              <w:t>Selection Method</w:t>
            </w:r>
            <w:r w:rsidR="00844675">
              <w:rPr>
                <w:noProof/>
                <w:webHidden/>
              </w:rPr>
              <w:tab/>
            </w:r>
            <w:r w:rsidR="00844675">
              <w:rPr>
                <w:noProof/>
                <w:webHidden/>
              </w:rPr>
              <w:fldChar w:fldCharType="begin"/>
            </w:r>
            <w:r w:rsidR="00844675">
              <w:rPr>
                <w:noProof/>
                <w:webHidden/>
              </w:rPr>
              <w:instrText xml:space="preserve"> PAGEREF _Toc200376909 \h </w:instrText>
            </w:r>
            <w:r w:rsidR="00844675">
              <w:rPr>
                <w:noProof/>
                <w:webHidden/>
              </w:rPr>
            </w:r>
            <w:r w:rsidR="00844675">
              <w:rPr>
                <w:noProof/>
                <w:webHidden/>
              </w:rPr>
              <w:fldChar w:fldCharType="separate"/>
            </w:r>
            <w:r w:rsidR="00844675">
              <w:rPr>
                <w:noProof/>
                <w:webHidden/>
              </w:rPr>
              <w:t>15</w:t>
            </w:r>
            <w:r w:rsidR="00844675">
              <w:rPr>
                <w:noProof/>
                <w:webHidden/>
              </w:rPr>
              <w:fldChar w:fldCharType="end"/>
            </w:r>
          </w:hyperlink>
        </w:p>
        <w:p w14:paraId="39C51A50" w14:textId="51581A0D" w:rsidR="00844675" w:rsidRDefault="003C3A0E">
          <w:pPr>
            <w:pStyle w:val="TOC2"/>
            <w:rPr>
              <w:rFonts w:asciiTheme="minorHAnsi" w:eastAsiaTheme="minorEastAsia" w:hAnsiTheme="minorHAnsi"/>
              <w:noProof/>
              <w:sz w:val="24"/>
              <w:szCs w:val="24"/>
            </w:rPr>
          </w:pPr>
          <w:hyperlink w:anchor="_Toc200376910" w:history="1">
            <w:r w:rsidR="00844675" w:rsidRPr="00F5198F">
              <w:rPr>
                <w:rStyle w:val="Hyperlink"/>
                <w:noProof/>
              </w:rPr>
              <w:t>4.14</w:t>
            </w:r>
            <w:r w:rsidR="00844675">
              <w:rPr>
                <w:rFonts w:asciiTheme="minorHAnsi" w:eastAsiaTheme="minorEastAsia" w:hAnsiTheme="minorHAnsi"/>
                <w:noProof/>
                <w:sz w:val="24"/>
                <w:szCs w:val="24"/>
              </w:rPr>
              <w:tab/>
            </w:r>
            <w:r w:rsidR="00844675" w:rsidRPr="00F5198F">
              <w:rPr>
                <w:rStyle w:val="Hyperlink"/>
                <w:noProof/>
              </w:rPr>
              <w:t>Local Preferences</w:t>
            </w:r>
            <w:r w:rsidR="00844675">
              <w:rPr>
                <w:noProof/>
                <w:webHidden/>
              </w:rPr>
              <w:tab/>
            </w:r>
            <w:r w:rsidR="00844675">
              <w:rPr>
                <w:noProof/>
                <w:webHidden/>
              </w:rPr>
              <w:fldChar w:fldCharType="begin"/>
            </w:r>
            <w:r w:rsidR="00844675">
              <w:rPr>
                <w:noProof/>
                <w:webHidden/>
              </w:rPr>
              <w:instrText xml:space="preserve"> PAGEREF _Toc200376910 \h </w:instrText>
            </w:r>
            <w:r w:rsidR="00844675">
              <w:rPr>
                <w:noProof/>
                <w:webHidden/>
              </w:rPr>
            </w:r>
            <w:r w:rsidR="00844675">
              <w:rPr>
                <w:noProof/>
                <w:webHidden/>
              </w:rPr>
              <w:fldChar w:fldCharType="separate"/>
            </w:r>
            <w:r w:rsidR="00844675">
              <w:rPr>
                <w:noProof/>
                <w:webHidden/>
              </w:rPr>
              <w:t>15</w:t>
            </w:r>
            <w:r w:rsidR="00844675">
              <w:rPr>
                <w:noProof/>
                <w:webHidden/>
              </w:rPr>
              <w:fldChar w:fldCharType="end"/>
            </w:r>
          </w:hyperlink>
        </w:p>
        <w:p w14:paraId="598F3A37" w14:textId="741A0A19" w:rsidR="00844675" w:rsidRDefault="003C3A0E">
          <w:pPr>
            <w:pStyle w:val="TOC2"/>
            <w:rPr>
              <w:rFonts w:asciiTheme="minorHAnsi" w:eastAsiaTheme="minorEastAsia" w:hAnsiTheme="minorHAnsi"/>
              <w:noProof/>
              <w:sz w:val="24"/>
              <w:szCs w:val="24"/>
            </w:rPr>
          </w:pPr>
          <w:hyperlink w:anchor="_Toc200376911" w:history="1">
            <w:r w:rsidR="00844675" w:rsidRPr="00F5198F">
              <w:rPr>
                <w:rStyle w:val="Hyperlink"/>
                <w:noProof/>
              </w:rPr>
              <w:t>4.15</w:t>
            </w:r>
            <w:r w:rsidR="00844675">
              <w:rPr>
                <w:rFonts w:asciiTheme="minorHAnsi" w:eastAsiaTheme="minorEastAsia" w:hAnsiTheme="minorHAnsi"/>
                <w:noProof/>
                <w:sz w:val="24"/>
                <w:szCs w:val="24"/>
              </w:rPr>
              <w:tab/>
            </w:r>
            <w:r w:rsidR="00844675" w:rsidRPr="00F5198F">
              <w:rPr>
                <w:rStyle w:val="Hyperlink"/>
                <w:noProof/>
              </w:rPr>
              <w:t>Special Admissions for Continually Assisted Families</w:t>
            </w:r>
            <w:r w:rsidR="00844675">
              <w:rPr>
                <w:noProof/>
                <w:webHidden/>
              </w:rPr>
              <w:tab/>
            </w:r>
            <w:r w:rsidR="00844675">
              <w:rPr>
                <w:noProof/>
                <w:webHidden/>
              </w:rPr>
              <w:fldChar w:fldCharType="begin"/>
            </w:r>
            <w:r w:rsidR="00844675">
              <w:rPr>
                <w:noProof/>
                <w:webHidden/>
              </w:rPr>
              <w:instrText xml:space="preserve"> PAGEREF _Toc200376911 \h </w:instrText>
            </w:r>
            <w:r w:rsidR="00844675">
              <w:rPr>
                <w:noProof/>
                <w:webHidden/>
              </w:rPr>
            </w:r>
            <w:r w:rsidR="00844675">
              <w:rPr>
                <w:noProof/>
                <w:webHidden/>
              </w:rPr>
              <w:fldChar w:fldCharType="separate"/>
            </w:r>
            <w:r w:rsidR="00844675">
              <w:rPr>
                <w:noProof/>
                <w:webHidden/>
              </w:rPr>
              <w:t>18</w:t>
            </w:r>
            <w:r w:rsidR="00844675">
              <w:rPr>
                <w:noProof/>
                <w:webHidden/>
              </w:rPr>
              <w:fldChar w:fldCharType="end"/>
            </w:r>
          </w:hyperlink>
        </w:p>
        <w:p w14:paraId="66B930F0" w14:textId="4375099D" w:rsidR="00844675" w:rsidRDefault="003C3A0E">
          <w:pPr>
            <w:pStyle w:val="TOC2"/>
            <w:rPr>
              <w:rFonts w:asciiTheme="minorHAnsi" w:eastAsiaTheme="minorEastAsia" w:hAnsiTheme="minorHAnsi"/>
              <w:noProof/>
              <w:sz w:val="24"/>
              <w:szCs w:val="24"/>
            </w:rPr>
          </w:pPr>
          <w:hyperlink w:anchor="_Toc200376912" w:history="1">
            <w:r w:rsidR="00844675" w:rsidRPr="00F5198F">
              <w:rPr>
                <w:rStyle w:val="Hyperlink"/>
                <w:noProof/>
              </w:rPr>
              <w:t>4.16</w:t>
            </w:r>
            <w:r w:rsidR="00844675">
              <w:rPr>
                <w:rFonts w:asciiTheme="minorHAnsi" w:eastAsiaTheme="minorEastAsia" w:hAnsiTheme="minorHAnsi"/>
                <w:noProof/>
                <w:sz w:val="24"/>
                <w:szCs w:val="24"/>
              </w:rPr>
              <w:tab/>
            </w:r>
            <w:r w:rsidR="00844675" w:rsidRPr="00F5198F">
              <w:rPr>
                <w:rStyle w:val="Hyperlink"/>
                <w:noProof/>
              </w:rPr>
              <w:t>Order of Selection</w:t>
            </w:r>
            <w:r w:rsidR="00844675">
              <w:rPr>
                <w:noProof/>
                <w:webHidden/>
              </w:rPr>
              <w:tab/>
            </w:r>
            <w:r w:rsidR="00844675">
              <w:rPr>
                <w:noProof/>
                <w:webHidden/>
              </w:rPr>
              <w:fldChar w:fldCharType="begin"/>
            </w:r>
            <w:r w:rsidR="00844675">
              <w:rPr>
                <w:noProof/>
                <w:webHidden/>
              </w:rPr>
              <w:instrText xml:space="preserve"> PAGEREF _Toc200376912 \h </w:instrText>
            </w:r>
            <w:r w:rsidR="00844675">
              <w:rPr>
                <w:noProof/>
                <w:webHidden/>
              </w:rPr>
            </w:r>
            <w:r w:rsidR="00844675">
              <w:rPr>
                <w:noProof/>
                <w:webHidden/>
              </w:rPr>
              <w:fldChar w:fldCharType="separate"/>
            </w:r>
            <w:r w:rsidR="00844675">
              <w:rPr>
                <w:noProof/>
                <w:webHidden/>
              </w:rPr>
              <w:t>19</w:t>
            </w:r>
            <w:r w:rsidR="00844675">
              <w:rPr>
                <w:noProof/>
                <w:webHidden/>
              </w:rPr>
              <w:fldChar w:fldCharType="end"/>
            </w:r>
          </w:hyperlink>
        </w:p>
        <w:p w14:paraId="699742AC" w14:textId="71D283B1" w:rsidR="00844675" w:rsidRDefault="003C3A0E">
          <w:pPr>
            <w:pStyle w:val="TOC2"/>
            <w:rPr>
              <w:rFonts w:asciiTheme="minorHAnsi" w:eastAsiaTheme="minorEastAsia" w:hAnsiTheme="minorHAnsi"/>
              <w:noProof/>
              <w:sz w:val="24"/>
              <w:szCs w:val="24"/>
            </w:rPr>
          </w:pPr>
          <w:hyperlink w:anchor="_Toc200376913" w:history="1">
            <w:r w:rsidR="00844675" w:rsidRPr="00F5198F">
              <w:rPr>
                <w:rStyle w:val="Hyperlink"/>
                <w:noProof/>
              </w:rPr>
              <w:t>4.17</w:t>
            </w:r>
            <w:r w:rsidR="00844675">
              <w:rPr>
                <w:rFonts w:asciiTheme="minorHAnsi" w:eastAsiaTheme="minorEastAsia" w:hAnsiTheme="minorHAnsi"/>
                <w:noProof/>
                <w:sz w:val="24"/>
                <w:szCs w:val="24"/>
              </w:rPr>
              <w:tab/>
            </w:r>
            <w:r w:rsidR="00844675" w:rsidRPr="00F5198F">
              <w:rPr>
                <w:rStyle w:val="Hyperlink"/>
                <w:noProof/>
              </w:rPr>
              <w:t>Notification of Selection</w:t>
            </w:r>
            <w:r w:rsidR="00844675">
              <w:rPr>
                <w:noProof/>
                <w:webHidden/>
              </w:rPr>
              <w:tab/>
            </w:r>
            <w:r w:rsidR="00844675">
              <w:rPr>
                <w:noProof/>
                <w:webHidden/>
              </w:rPr>
              <w:fldChar w:fldCharType="begin"/>
            </w:r>
            <w:r w:rsidR="00844675">
              <w:rPr>
                <w:noProof/>
                <w:webHidden/>
              </w:rPr>
              <w:instrText xml:space="preserve"> PAGEREF _Toc200376913 \h </w:instrText>
            </w:r>
            <w:r w:rsidR="00844675">
              <w:rPr>
                <w:noProof/>
                <w:webHidden/>
              </w:rPr>
            </w:r>
            <w:r w:rsidR="00844675">
              <w:rPr>
                <w:noProof/>
                <w:webHidden/>
              </w:rPr>
              <w:fldChar w:fldCharType="separate"/>
            </w:r>
            <w:r w:rsidR="00844675">
              <w:rPr>
                <w:noProof/>
                <w:webHidden/>
              </w:rPr>
              <w:t>19</w:t>
            </w:r>
            <w:r w:rsidR="00844675">
              <w:rPr>
                <w:noProof/>
                <w:webHidden/>
              </w:rPr>
              <w:fldChar w:fldCharType="end"/>
            </w:r>
          </w:hyperlink>
        </w:p>
        <w:p w14:paraId="6AE5B85E" w14:textId="5C4E7062" w:rsidR="00844675" w:rsidRDefault="003C3A0E" w:rsidP="00AD20A4">
          <w:pPr>
            <w:pStyle w:val="TOC1"/>
            <w:rPr>
              <w:rFonts w:asciiTheme="minorHAnsi" w:eastAsiaTheme="minorEastAsia" w:hAnsiTheme="minorHAnsi"/>
              <w:noProof/>
              <w:color w:val="auto"/>
              <w:szCs w:val="24"/>
            </w:rPr>
          </w:pPr>
          <w:hyperlink w:anchor="_Toc200376914" w:history="1">
            <w:r w:rsidR="00844675" w:rsidRPr="00F5198F">
              <w:rPr>
                <w:rStyle w:val="Hyperlink"/>
                <w:noProof/>
                <w:lang w:bidi="en-US"/>
              </w:rPr>
              <w:t>CHAPTER 5: ELIGIBILITY</w:t>
            </w:r>
            <w:r w:rsidR="00844675">
              <w:rPr>
                <w:noProof/>
                <w:webHidden/>
              </w:rPr>
              <w:tab/>
            </w:r>
            <w:r w:rsidR="00844675">
              <w:rPr>
                <w:noProof/>
                <w:webHidden/>
              </w:rPr>
              <w:fldChar w:fldCharType="begin"/>
            </w:r>
            <w:r w:rsidR="00844675">
              <w:rPr>
                <w:noProof/>
                <w:webHidden/>
              </w:rPr>
              <w:instrText xml:space="preserve"> PAGEREF _Toc200376914 \h </w:instrText>
            </w:r>
            <w:r w:rsidR="00844675">
              <w:rPr>
                <w:noProof/>
                <w:webHidden/>
              </w:rPr>
            </w:r>
            <w:r w:rsidR="00844675">
              <w:rPr>
                <w:noProof/>
                <w:webHidden/>
              </w:rPr>
              <w:fldChar w:fldCharType="separate"/>
            </w:r>
            <w:r w:rsidR="00844675">
              <w:rPr>
                <w:noProof/>
                <w:webHidden/>
              </w:rPr>
              <w:t>20</w:t>
            </w:r>
            <w:r w:rsidR="00844675">
              <w:rPr>
                <w:noProof/>
                <w:webHidden/>
              </w:rPr>
              <w:fldChar w:fldCharType="end"/>
            </w:r>
          </w:hyperlink>
        </w:p>
        <w:p w14:paraId="09DEDFF8" w14:textId="01691FCC" w:rsidR="00844675" w:rsidRDefault="003C3A0E">
          <w:pPr>
            <w:pStyle w:val="TOC2"/>
            <w:rPr>
              <w:rFonts w:asciiTheme="minorHAnsi" w:eastAsiaTheme="minorEastAsia" w:hAnsiTheme="minorHAnsi"/>
              <w:noProof/>
              <w:sz w:val="24"/>
              <w:szCs w:val="24"/>
            </w:rPr>
          </w:pPr>
          <w:hyperlink w:anchor="_Toc200376915" w:history="1">
            <w:r w:rsidR="00844675" w:rsidRPr="00F5198F">
              <w:rPr>
                <w:rStyle w:val="Hyperlink"/>
                <w:noProof/>
              </w:rPr>
              <w:t>5.1</w:t>
            </w:r>
            <w:r w:rsidR="00844675">
              <w:rPr>
                <w:rFonts w:asciiTheme="minorHAnsi" w:eastAsiaTheme="minorEastAsia" w:hAnsiTheme="minorHAnsi"/>
                <w:noProof/>
                <w:sz w:val="24"/>
                <w:szCs w:val="24"/>
              </w:rPr>
              <w:tab/>
            </w:r>
            <w:r w:rsidR="00844675" w:rsidRPr="00F5198F">
              <w:rPr>
                <w:rStyle w:val="Hyperlink"/>
                <w:noProof/>
              </w:rPr>
              <w:t>Overview</w:t>
            </w:r>
            <w:r w:rsidR="00844675">
              <w:rPr>
                <w:noProof/>
                <w:webHidden/>
              </w:rPr>
              <w:tab/>
            </w:r>
            <w:r w:rsidR="00844675">
              <w:rPr>
                <w:noProof/>
                <w:webHidden/>
              </w:rPr>
              <w:fldChar w:fldCharType="begin"/>
            </w:r>
            <w:r w:rsidR="00844675">
              <w:rPr>
                <w:noProof/>
                <w:webHidden/>
              </w:rPr>
              <w:instrText xml:space="preserve"> PAGEREF _Toc200376915 \h </w:instrText>
            </w:r>
            <w:r w:rsidR="00844675">
              <w:rPr>
                <w:noProof/>
                <w:webHidden/>
              </w:rPr>
            </w:r>
            <w:r w:rsidR="00844675">
              <w:rPr>
                <w:noProof/>
                <w:webHidden/>
              </w:rPr>
              <w:fldChar w:fldCharType="separate"/>
            </w:r>
            <w:r w:rsidR="00844675">
              <w:rPr>
                <w:noProof/>
                <w:webHidden/>
              </w:rPr>
              <w:t>20</w:t>
            </w:r>
            <w:r w:rsidR="00844675">
              <w:rPr>
                <w:noProof/>
                <w:webHidden/>
              </w:rPr>
              <w:fldChar w:fldCharType="end"/>
            </w:r>
          </w:hyperlink>
        </w:p>
        <w:p w14:paraId="4642DD46" w14:textId="3FA2475D" w:rsidR="00844675" w:rsidRDefault="003C3A0E">
          <w:pPr>
            <w:pStyle w:val="TOC2"/>
            <w:rPr>
              <w:rFonts w:asciiTheme="minorHAnsi" w:eastAsiaTheme="minorEastAsia" w:hAnsiTheme="minorHAnsi"/>
              <w:noProof/>
              <w:sz w:val="24"/>
              <w:szCs w:val="24"/>
            </w:rPr>
          </w:pPr>
          <w:hyperlink w:anchor="_Toc200376916" w:history="1">
            <w:r w:rsidR="00844675" w:rsidRPr="00F5198F">
              <w:rPr>
                <w:rStyle w:val="Hyperlink"/>
                <w:noProof/>
              </w:rPr>
              <w:t>5.2</w:t>
            </w:r>
            <w:r w:rsidR="00844675">
              <w:rPr>
                <w:rFonts w:asciiTheme="minorHAnsi" w:eastAsiaTheme="minorEastAsia" w:hAnsiTheme="minorHAnsi"/>
                <w:noProof/>
                <w:sz w:val="24"/>
                <w:szCs w:val="24"/>
              </w:rPr>
              <w:tab/>
            </w:r>
            <w:r w:rsidR="00844675" w:rsidRPr="00F5198F">
              <w:rPr>
                <w:rStyle w:val="Hyperlink"/>
                <w:noProof/>
              </w:rPr>
              <w:t>Qualifying for Admission</w:t>
            </w:r>
            <w:r w:rsidR="00844675">
              <w:rPr>
                <w:noProof/>
                <w:webHidden/>
              </w:rPr>
              <w:tab/>
            </w:r>
            <w:r w:rsidR="00844675">
              <w:rPr>
                <w:noProof/>
                <w:webHidden/>
              </w:rPr>
              <w:fldChar w:fldCharType="begin"/>
            </w:r>
            <w:r w:rsidR="00844675">
              <w:rPr>
                <w:noProof/>
                <w:webHidden/>
              </w:rPr>
              <w:instrText xml:space="preserve"> PAGEREF _Toc200376916 \h </w:instrText>
            </w:r>
            <w:r w:rsidR="00844675">
              <w:rPr>
                <w:noProof/>
                <w:webHidden/>
              </w:rPr>
            </w:r>
            <w:r w:rsidR="00844675">
              <w:rPr>
                <w:noProof/>
                <w:webHidden/>
              </w:rPr>
              <w:fldChar w:fldCharType="separate"/>
            </w:r>
            <w:r w:rsidR="00844675">
              <w:rPr>
                <w:noProof/>
                <w:webHidden/>
              </w:rPr>
              <w:t>20</w:t>
            </w:r>
            <w:r w:rsidR="00844675">
              <w:rPr>
                <w:noProof/>
                <w:webHidden/>
              </w:rPr>
              <w:fldChar w:fldCharType="end"/>
            </w:r>
          </w:hyperlink>
        </w:p>
        <w:p w14:paraId="0E2F9868" w14:textId="298AE6D2" w:rsidR="00844675" w:rsidRDefault="003C3A0E">
          <w:pPr>
            <w:pStyle w:val="TOC2"/>
            <w:rPr>
              <w:rFonts w:asciiTheme="minorHAnsi" w:eastAsiaTheme="minorEastAsia" w:hAnsiTheme="minorHAnsi"/>
              <w:noProof/>
              <w:sz w:val="24"/>
              <w:szCs w:val="24"/>
            </w:rPr>
          </w:pPr>
          <w:hyperlink w:anchor="_Toc200376917" w:history="1">
            <w:r w:rsidR="00844675" w:rsidRPr="00F5198F">
              <w:rPr>
                <w:rStyle w:val="Hyperlink"/>
                <w:noProof/>
              </w:rPr>
              <w:t>5.3</w:t>
            </w:r>
            <w:r w:rsidR="00844675">
              <w:rPr>
                <w:rFonts w:asciiTheme="minorHAnsi" w:eastAsiaTheme="minorEastAsia" w:hAnsiTheme="minorHAnsi"/>
                <w:noProof/>
                <w:sz w:val="24"/>
                <w:szCs w:val="24"/>
              </w:rPr>
              <w:tab/>
            </w:r>
            <w:r w:rsidR="00844675" w:rsidRPr="00F5198F">
              <w:rPr>
                <w:rStyle w:val="Hyperlink"/>
                <w:noProof/>
              </w:rPr>
              <w:t>Definitions</w:t>
            </w:r>
            <w:r w:rsidR="00844675">
              <w:rPr>
                <w:noProof/>
                <w:webHidden/>
              </w:rPr>
              <w:tab/>
            </w:r>
            <w:r w:rsidR="00844675">
              <w:rPr>
                <w:noProof/>
                <w:webHidden/>
              </w:rPr>
              <w:fldChar w:fldCharType="begin"/>
            </w:r>
            <w:r w:rsidR="00844675">
              <w:rPr>
                <w:noProof/>
                <w:webHidden/>
              </w:rPr>
              <w:instrText xml:space="preserve"> PAGEREF _Toc200376917 \h </w:instrText>
            </w:r>
            <w:r w:rsidR="00844675">
              <w:rPr>
                <w:noProof/>
                <w:webHidden/>
              </w:rPr>
            </w:r>
            <w:r w:rsidR="00844675">
              <w:rPr>
                <w:noProof/>
                <w:webHidden/>
              </w:rPr>
              <w:fldChar w:fldCharType="separate"/>
            </w:r>
            <w:r w:rsidR="00844675">
              <w:rPr>
                <w:noProof/>
                <w:webHidden/>
              </w:rPr>
              <w:t>21</w:t>
            </w:r>
            <w:r w:rsidR="00844675">
              <w:rPr>
                <w:noProof/>
                <w:webHidden/>
              </w:rPr>
              <w:fldChar w:fldCharType="end"/>
            </w:r>
          </w:hyperlink>
        </w:p>
        <w:p w14:paraId="52F67651" w14:textId="4D155EA2" w:rsidR="00844675" w:rsidRDefault="003C3A0E">
          <w:pPr>
            <w:pStyle w:val="TOC2"/>
            <w:rPr>
              <w:rFonts w:asciiTheme="minorHAnsi" w:eastAsiaTheme="minorEastAsia" w:hAnsiTheme="minorHAnsi"/>
              <w:noProof/>
              <w:sz w:val="24"/>
              <w:szCs w:val="24"/>
            </w:rPr>
          </w:pPr>
          <w:hyperlink w:anchor="_Toc200376918" w:history="1">
            <w:r w:rsidR="00844675" w:rsidRPr="00F5198F">
              <w:rPr>
                <w:rStyle w:val="Hyperlink"/>
                <w:noProof/>
              </w:rPr>
              <w:t>5.4</w:t>
            </w:r>
            <w:r w:rsidR="00844675">
              <w:rPr>
                <w:rFonts w:asciiTheme="minorHAnsi" w:eastAsiaTheme="minorEastAsia" w:hAnsiTheme="minorHAnsi"/>
                <w:noProof/>
                <w:sz w:val="24"/>
                <w:szCs w:val="24"/>
              </w:rPr>
              <w:tab/>
            </w:r>
            <w:r w:rsidR="00844675" w:rsidRPr="00F5198F">
              <w:rPr>
                <w:rStyle w:val="Hyperlink"/>
                <w:noProof/>
              </w:rPr>
              <w:t>Income Eligibility</w:t>
            </w:r>
            <w:r w:rsidR="00844675">
              <w:rPr>
                <w:noProof/>
                <w:webHidden/>
              </w:rPr>
              <w:tab/>
            </w:r>
            <w:r w:rsidR="00844675">
              <w:rPr>
                <w:noProof/>
                <w:webHidden/>
              </w:rPr>
              <w:fldChar w:fldCharType="begin"/>
            </w:r>
            <w:r w:rsidR="00844675">
              <w:rPr>
                <w:noProof/>
                <w:webHidden/>
              </w:rPr>
              <w:instrText xml:space="preserve"> PAGEREF _Toc200376918 \h </w:instrText>
            </w:r>
            <w:r w:rsidR="00844675">
              <w:rPr>
                <w:noProof/>
                <w:webHidden/>
              </w:rPr>
            </w:r>
            <w:r w:rsidR="00844675">
              <w:rPr>
                <w:noProof/>
                <w:webHidden/>
              </w:rPr>
              <w:fldChar w:fldCharType="separate"/>
            </w:r>
            <w:r w:rsidR="00844675">
              <w:rPr>
                <w:noProof/>
                <w:webHidden/>
              </w:rPr>
              <w:t>26</w:t>
            </w:r>
            <w:r w:rsidR="00844675">
              <w:rPr>
                <w:noProof/>
                <w:webHidden/>
              </w:rPr>
              <w:fldChar w:fldCharType="end"/>
            </w:r>
          </w:hyperlink>
        </w:p>
        <w:p w14:paraId="5425E587" w14:textId="686887C8" w:rsidR="00844675" w:rsidRDefault="003C3A0E">
          <w:pPr>
            <w:pStyle w:val="TOC2"/>
            <w:rPr>
              <w:rFonts w:asciiTheme="minorHAnsi" w:eastAsiaTheme="minorEastAsia" w:hAnsiTheme="minorHAnsi"/>
              <w:noProof/>
              <w:sz w:val="24"/>
              <w:szCs w:val="24"/>
            </w:rPr>
          </w:pPr>
          <w:hyperlink w:anchor="_Toc200376919" w:history="1">
            <w:r w:rsidR="00844675" w:rsidRPr="00F5198F">
              <w:rPr>
                <w:rStyle w:val="Hyperlink"/>
                <w:noProof/>
              </w:rPr>
              <w:t>5.5</w:t>
            </w:r>
            <w:r w:rsidR="00844675">
              <w:rPr>
                <w:rFonts w:asciiTheme="minorHAnsi" w:eastAsiaTheme="minorEastAsia" w:hAnsiTheme="minorHAnsi"/>
                <w:noProof/>
                <w:sz w:val="24"/>
                <w:szCs w:val="24"/>
              </w:rPr>
              <w:tab/>
            </w:r>
            <w:r w:rsidR="00844675" w:rsidRPr="00F5198F">
              <w:rPr>
                <w:rStyle w:val="Hyperlink"/>
                <w:noProof/>
              </w:rPr>
              <w:t>Asset Restrictions</w:t>
            </w:r>
            <w:r w:rsidR="00844675">
              <w:rPr>
                <w:noProof/>
                <w:webHidden/>
              </w:rPr>
              <w:tab/>
            </w:r>
            <w:r w:rsidR="00844675">
              <w:rPr>
                <w:noProof/>
                <w:webHidden/>
              </w:rPr>
              <w:fldChar w:fldCharType="begin"/>
            </w:r>
            <w:r w:rsidR="00844675">
              <w:rPr>
                <w:noProof/>
                <w:webHidden/>
              </w:rPr>
              <w:instrText xml:space="preserve"> PAGEREF _Toc200376919 \h </w:instrText>
            </w:r>
            <w:r w:rsidR="00844675">
              <w:rPr>
                <w:noProof/>
                <w:webHidden/>
              </w:rPr>
            </w:r>
            <w:r w:rsidR="00844675">
              <w:rPr>
                <w:noProof/>
                <w:webHidden/>
              </w:rPr>
              <w:fldChar w:fldCharType="separate"/>
            </w:r>
            <w:r w:rsidR="00844675">
              <w:rPr>
                <w:noProof/>
                <w:webHidden/>
              </w:rPr>
              <w:t>27</w:t>
            </w:r>
            <w:r w:rsidR="00844675">
              <w:rPr>
                <w:noProof/>
                <w:webHidden/>
              </w:rPr>
              <w:fldChar w:fldCharType="end"/>
            </w:r>
          </w:hyperlink>
        </w:p>
        <w:p w14:paraId="4CE35FA8" w14:textId="366B8238" w:rsidR="00844675" w:rsidRDefault="003C3A0E">
          <w:pPr>
            <w:pStyle w:val="TOC2"/>
            <w:rPr>
              <w:rFonts w:asciiTheme="minorHAnsi" w:eastAsiaTheme="minorEastAsia" w:hAnsiTheme="minorHAnsi"/>
              <w:noProof/>
              <w:sz w:val="24"/>
              <w:szCs w:val="24"/>
            </w:rPr>
          </w:pPr>
          <w:hyperlink w:anchor="_Toc200376920" w:history="1">
            <w:r w:rsidR="00844675" w:rsidRPr="00F5198F">
              <w:rPr>
                <w:rStyle w:val="Hyperlink"/>
                <w:noProof/>
              </w:rPr>
              <w:t>5.6</w:t>
            </w:r>
            <w:r w:rsidR="00844675">
              <w:rPr>
                <w:rFonts w:asciiTheme="minorHAnsi" w:eastAsiaTheme="minorEastAsia" w:hAnsiTheme="minorHAnsi"/>
                <w:noProof/>
                <w:sz w:val="24"/>
                <w:szCs w:val="24"/>
              </w:rPr>
              <w:tab/>
            </w:r>
            <w:r w:rsidR="00844675" w:rsidRPr="00F5198F">
              <w:rPr>
                <w:rStyle w:val="Hyperlink"/>
                <w:noProof/>
              </w:rPr>
              <w:t>Citizenship or Eligible Immigration Status</w:t>
            </w:r>
            <w:r w:rsidR="00844675">
              <w:rPr>
                <w:noProof/>
                <w:webHidden/>
              </w:rPr>
              <w:tab/>
            </w:r>
            <w:r w:rsidR="00844675">
              <w:rPr>
                <w:noProof/>
                <w:webHidden/>
              </w:rPr>
              <w:fldChar w:fldCharType="begin"/>
            </w:r>
            <w:r w:rsidR="00844675">
              <w:rPr>
                <w:noProof/>
                <w:webHidden/>
              </w:rPr>
              <w:instrText xml:space="preserve"> PAGEREF _Toc200376920 \h </w:instrText>
            </w:r>
            <w:r w:rsidR="00844675">
              <w:rPr>
                <w:noProof/>
                <w:webHidden/>
              </w:rPr>
            </w:r>
            <w:r w:rsidR="00844675">
              <w:rPr>
                <w:noProof/>
                <w:webHidden/>
              </w:rPr>
              <w:fldChar w:fldCharType="separate"/>
            </w:r>
            <w:r w:rsidR="00844675">
              <w:rPr>
                <w:noProof/>
                <w:webHidden/>
              </w:rPr>
              <w:t>28</w:t>
            </w:r>
            <w:r w:rsidR="00844675">
              <w:rPr>
                <w:noProof/>
                <w:webHidden/>
              </w:rPr>
              <w:fldChar w:fldCharType="end"/>
            </w:r>
          </w:hyperlink>
        </w:p>
        <w:p w14:paraId="49D99449" w14:textId="2FE9BA2E" w:rsidR="00844675" w:rsidRDefault="003C3A0E">
          <w:pPr>
            <w:pStyle w:val="TOC2"/>
            <w:rPr>
              <w:rFonts w:asciiTheme="minorHAnsi" w:eastAsiaTheme="minorEastAsia" w:hAnsiTheme="minorHAnsi"/>
              <w:noProof/>
              <w:sz w:val="24"/>
              <w:szCs w:val="24"/>
            </w:rPr>
          </w:pPr>
          <w:hyperlink w:anchor="_Toc200376921" w:history="1">
            <w:r w:rsidR="00844675" w:rsidRPr="00F5198F">
              <w:rPr>
                <w:rStyle w:val="Hyperlink"/>
                <w:noProof/>
              </w:rPr>
              <w:t>5.7</w:t>
            </w:r>
            <w:r w:rsidR="00844675">
              <w:rPr>
                <w:rFonts w:asciiTheme="minorHAnsi" w:eastAsiaTheme="minorEastAsia" w:hAnsiTheme="minorHAnsi"/>
                <w:noProof/>
                <w:sz w:val="24"/>
                <w:szCs w:val="24"/>
              </w:rPr>
              <w:tab/>
            </w:r>
            <w:r w:rsidR="00844675" w:rsidRPr="00F5198F">
              <w:rPr>
                <w:rStyle w:val="Hyperlink"/>
                <w:noProof/>
              </w:rPr>
              <w:t>Social Security Numbers</w:t>
            </w:r>
            <w:r w:rsidR="00844675">
              <w:rPr>
                <w:noProof/>
                <w:webHidden/>
              </w:rPr>
              <w:tab/>
            </w:r>
            <w:r w:rsidR="00844675">
              <w:rPr>
                <w:noProof/>
                <w:webHidden/>
              </w:rPr>
              <w:fldChar w:fldCharType="begin"/>
            </w:r>
            <w:r w:rsidR="00844675">
              <w:rPr>
                <w:noProof/>
                <w:webHidden/>
              </w:rPr>
              <w:instrText xml:space="preserve"> PAGEREF _Toc200376921 \h </w:instrText>
            </w:r>
            <w:r w:rsidR="00844675">
              <w:rPr>
                <w:noProof/>
                <w:webHidden/>
              </w:rPr>
            </w:r>
            <w:r w:rsidR="00844675">
              <w:rPr>
                <w:noProof/>
                <w:webHidden/>
              </w:rPr>
              <w:fldChar w:fldCharType="separate"/>
            </w:r>
            <w:r w:rsidR="00844675">
              <w:rPr>
                <w:noProof/>
                <w:webHidden/>
              </w:rPr>
              <w:t>30</w:t>
            </w:r>
            <w:r w:rsidR="00844675">
              <w:rPr>
                <w:noProof/>
                <w:webHidden/>
              </w:rPr>
              <w:fldChar w:fldCharType="end"/>
            </w:r>
          </w:hyperlink>
        </w:p>
        <w:p w14:paraId="3B1A8FB5" w14:textId="4F772400" w:rsidR="00844675" w:rsidRDefault="003C3A0E">
          <w:pPr>
            <w:pStyle w:val="TOC2"/>
            <w:rPr>
              <w:rFonts w:asciiTheme="minorHAnsi" w:eastAsiaTheme="minorEastAsia" w:hAnsiTheme="minorHAnsi"/>
              <w:noProof/>
              <w:sz w:val="24"/>
              <w:szCs w:val="24"/>
            </w:rPr>
          </w:pPr>
          <w:hyperlink w:anchor="_Toc200376922" w:history="1">
            <w:r w:rsidR="00844675" w:rsidRPr="00F5198F">
              <w:rPr>
                <w:rStyle w:val="Hyperlink"/>
                <w:noProof/>
              </w:rPr>
              <w:t>5.8</w:t>
            </w:r>
            <w:r w:rsidR="00844675">
              <w:rPr>
                <w:rFonts w:asciiTheme="minorHAnsi" w:eastAsiaTheme="minorEastAsia" w:hAnsiTheme="minorHAnsi"/>
                <w:noProof/>
                <w:sz w:val="24"/>
                <w:szCs w:val="24"/>
              </w:rPr>
              <w:tab/>
            </w:r>
            <w:r w:rsidR="00844675" w:rsidRPr="00F5198F">
              <w:rPr>
                <w:rStyle w:val="Hyperlink"/>
                <w:noProof/>
              </w:rPr>
              <w:t>Photo Identification</w:t>
            </w:r>
            <w:r w:rsidR="00844675">
              <w:rPr>
                <w:noProof/>
                <w:webHidden/>
              </w:rPr>
              <w:tab/>
            </w:r>
            <w:r w:rsidR="00844675">
              <w:rPr>
                <w:noProof/>
                <w:webHidden/>
              </w:rPr>
              <w:fldChar w:fldCharType="begin"/>
            </w:r>
            <w:r w:rsidR="00844675">
              <w:rPr>
                <w:noProof/>
                <w:webHidden/>
              </w:rPr>
              <w:instrText xml:space="preserve"> PAGEREF _Toc200376922 \h </w:instrText>
            </w:r>
            <w:r w:rsidR="00844675">
              <w:rPr>
                <w:noProof/>
                <w:webHidden/>
              </w:rPr>
            </w:r>
            <w:r w:rsidR="00844675">
              <w:rPr>
                <w:noProof/>
                <w:webHidden/>
              </w:rPr>
              <w:fldChar w:fldCharType="separate"/>
            </w:r>
            <w:r w:rsidR="00844675">
              <w:rPr>
                <w:noProof/>
                <w:webHidden/>
              </w:rPr>
              <w:t>30</w:t>
            </w:r>
            <w:r w:rsidR="00844675">
              <w:rPr>
                <w:noProof/>
                <w:webHidden/>
              </w:rPr>
              <w:fldChar w:fldCharType="end"/>
            </w:r>
          </w:hyperlink>
        </w:p>
        <w:p w14:paraId="0507EEC5" w14:textId="0FFBC273" w:rsidR="00844675" w:rsidRDefault="003C3A0E">
          <w:pPr>
            <w:pStyle w:val="TOC2"/>
            <w:rPr>
              <w:rFonts w:asciiTheme="minorHAnsi" w:eastAsiaTheme="minorEastAsia" w:hAnsiTheme="minorHAnsi"/>
              <w:noProof/>
              <w:sz w:val="24"/>
              <w:szCs w:val="24"/>
            </w:rPr>
          </w:pPr>
          <w:hyperlink w:anchor="_Toc200376923" w:history="1">
            <w:r w:rsidR="00844675" w:rsidRPr="00F5198F">
              <w:rPr>
                <w:rStyle w:val="Hyperlink"/>
                <w:noProof/>
              </w:rPr>
              <w:t>5.9</w:t>
            </w:r>
            <w:r w:rsidR="00844675">
              <w:rPr>
                <w:rFonts w:asciiTheme="minorHAnsi" w:eastAsiaTheme="minorEastAsia" w:hAnsiTheme="minorHAnsi"/>
                <w:noProof/>
                <w:sz w:val="24"/>
                <w:szCs w:val="24"/>
              </w:rPr>
              <w:tab/>
            </w:r>
            <w:r w:rsidR="00844675" w:rsidRPr="00F5198F">
              <w:rPr>
                <w:rStyle w:val="Hyperlink"/>
                <w:noProof/>
              </w:rPr>
              <w:t>Other Required Documents</w:t>
            </w:r>
            <w:r w:rsidR="00844675">
              <w:rPr>
                <w:noProof/>
                <w:webHidden/>
              </w:rPr>
              <w:tab/>
            </w:r>
            <w:r w:rsidR="00844675">
              <w:rPr>
                <w:noProof/>
                <w:webHidden/>
              </w:rPr>
              <w:fldChar w:fldCharType="begin"/>
            </w:r>
            <w:r w:rsidR="00844675">
              <w:rPr>
                <w:noProof/>
                <w:webHidden/>
              </w:rPr>
              <w:instrText xml:space="preserve"> PAGEREF _Toc200376923 \h </w:instrText>
            </w:r>
            <w:r w:rsidR="00844675">
              <w:rPr>
                <w:noProof/>
                <w:webHidden/>
              </w:rPr>
            </w:r>
            <w:r w:rsidR="00844675">
              <w:rPr>
                <w:noProof/>
                <w:webHidden/>
              </w:rPr>
              <w:fldChar w:fldCharType="separate"/>
            </w:r>
            <w:r w:rsidR="00844675">
              <w:rPr>
                <w:noProof/>
                <w:webHidden/>
              </w:rPr>
              <w:t>30</w:t>
            </w:r>
            <w:r w:rsidR="00844675">
              <w:rPr>
                <w:noProof/>
                <w:webHidden/>
              </w:rPr>
              <w:fldChar w:fldCharType="end"/>
            </w:r>
          </w:hyperlink>
        </w:p>
        <w:p w14:paraId="1C5FB125" w14:textId="10192B7F" w:rsidR="00844675" w:rsidRDefault="003C3A0E">
          <w:pPr>
            <w:pStyle w:val="TOC2"/>
            <w:rPr>
              <w:rFonts w:asciiTheme="minorHAnsi" w:eastAsiaTheme="minorEastAsia" w:hAnsiTheme="minorHAnsi"/>
              <w:noProof/>
              <w:sz w:val="24"/>
              <w:szCs w:val="24"/>
            </w:rPr>
          </w:pPr>
          <w:hyperlink w:anchor="_Toc200376924" w:history="1">
            <w:r w:rsidR="00844675" w:rsidRPr="00F5198F">
              <w:rPr>
                <w:rStyle w:val="Hyperlink"/>
                <w:noProof/>
              </w:rPr>
              <w:t>5.10</w:t>
            </w:r>
            <w:r w:rsidR="00844675">
              <w:rPr>
                <w:rFonts w:asciiTheme="minorHAnsi" w:eastAsiaTheme="minorEastAsia" w:hAnsiTheme="minorHAnsi"/>
                <w:noProof/>
                <w:sz w:val="24"/>
                <w:szCs w:val="24"/>
              </w:rPr>
              <w:tab/>
            </w:r>
            <w:r w:rsidR="00844675" w:rsidRPr="00F5198F">
              <w:rPr>
                <w:rStyle w:val="Hyperlink"/>
                <w:noProof/>
              </w:rPr>
              <w:t>Family Consent to Release Information</w:t>
            </w:r>
            <w:r w:rsidR="00844675">
              <w:rPr>
                <w:noProof/>
                <w:webHidden/>
              </w:rPr>
              <w:tab/>
            </w:r>
            <w:r w:rsidR="00844675">
              <w:rPr>
                <w:noProof/>
                <w:webHidden/>
              </w:rPr>
              <w:fldChar w:fldCharType="begin"/>
            </w:r>
            <w:r w:rsidR="00844675">
              <w:rPr>
                <w:noProof/>
                <w:webHidden/>
              </w:rPr>
              <w:instrText xml:space="preserve"> PAGEREF _Toc200376924 \h </w:instrText>
            </w:r>
            <w:r w:rsidR="00844675">
              <w:rPr>
                <w:noProof/>
                <w:webHidden/>
              </w:rPr>
            </w:r>
            <w:r w:rsidR="00844675">
              <w:rPr>
                <w:noProof/>
                <w:webHidden/>
              </w:rPr>
              <w:fldChar w:fldCharType="separate"/>
            </w:r>
            <w:r w:rsidR="00844675">
              <w:rPr>
                <w:noProof/>
                <w:webHidden/>
              </w:rPr>
              <w:t>31</w:t>
            </w:r>
            <w:r w:rsidR="00844675">
              <w:rPr>
                <w:noProof/>
                <w:webHidden/>
              </w:rPr>
              <w:fldChar w:fldCharType="end"/>
            </w:r>
          </w:hyperlink>
        </w:p>
        <w:p w14:paraId="1E1B870D" w14:textId="771D5FA8" w:rsidR="00844675" w:rsidRDefault="003C3A0E">
          <w:pPr>
            <w:pStyle w:val="TOC2"/>
            <w:rPr>
              <w:rFonts w:asciiTheme="minorHAnsi" w:eastAsiaTheme="minorEastAsia" w:hAnsiTheme="minorHAnsi"/>
              <w:noProof/>
              <w:sz w:val="24"/>
              <w:szCs w:val="24"/>
            </w:rPr>
          </w:pPr>
          <w:hyperlink w:anchor="_Toc200376925" w:history="1">
            <w:r w:rsidR="00844675" w:rsidRPr="00F5198F">
              <w:rPr>
                <w:rStyle w:val="Hyperlink"/>
                <w:noProof/>
              </w:rPr>
              <w:t>5.11</w:t>
            </w:r>
            <w:r w:rsidR="00844675">
              <w:rPr>
                <w:rFonts w:asciiTheme="minorHAnsi" w:eastAsiaTheme="minorEastAsia" w:hAnsiTheme="minorHAnsi"/>
                <w:noProof/>
                <w:sz w:val="24"/>
                <w:szCs w:val="24"/>
              </w:rPr>
              <w:tab/>
            </w:r>
            <w:r w:rsidR="00844675" w:rsidRPr="00F5198F">
              <w:rPr>
                <w:rStyle w:val="Hyperlink"/>
                <w:noProof/>
              </w:rPr>
              <w:t>Applicant Screening</w:t>
            </w:r>
            <w:r w:rsidR="00844675">
              <w:rPr>
                <w:noProof/>
                <w:webHidden/>
              </w:rPr>
              <w:tab/>
            </w:r>
            <w:r w:rsidR="00844675">
              <w:rPr>
                <w:noProof/>
                <w:webHidden/>
              </w:rPr>
              <w:fldChar w:fldCharType="begin"/>
            </w:r>
            <w:r w:rsidR="00844675">
              <w:rPr>
                <w:noProof/>
                <w:webHidden/>
              </w:rPr>
              <w:instrText xml:space="preserve"> PAGEREF _Toc200376925 \h </w:instrText>
            </w:r>
            <w:r w:rsidR="00844675">
              <w:rPr>
                <w:noProof/>
                <w:webHidden/>
              </w:rPr>
            </w:r>
            <w:r w:rsidR="00844675">
              <w:rPr>
                <w:noProof/>
                <w:webHidden/>
              </w:rPr>
              <w:fldChar w:fldCharType="separate"/>
            </w:r>
            <w:r w:rsidR="00844675">
              <w:rPr>
                <w:noProof/>
                <w:webHidden/>
              </w:rPr>
              <w:t>31</w:t>
            </w:r>
            <w:r w:rsidR="00844675">
              <w:rPr>
                <w:noProof/>
                <w:webHidden/>
              </w:rPr>
              <w:fldChar w:fldCharType="end"/>
            </w:r>
          </w:hyperlink>
        </w:p>
        <w:p w14:paraId="2118B074" w14:textId="3553E7E5" w:rsidR="00844675" w:rsidRDefault="003C3A0E">
          <w:pPr>
            <w:pStyle w:val="TOC2"/>
            <w:rPr>
              <w:rFonts w:asciiTheme="minorHAnsi" w:eastAsiaTheme="minorEastAsia" w:hAnsiTheme="minorHAnsi"/>
              <w:noProof/>
              <w:sz w:val="24"/>
              <w:szCs w:val="24"/>
            </w:rPr>
          </w:pPr>
          <w:hyperlink w:anchor="_Toc200376926" w:history="1">
            <w:r w:rsidR="00844675" w:rsidRPr="00F5198F">
              <w:rPr>
                <w:rStyle w:val="Hyperlink"/>
                <w:noProof/>
              </w:rPr>
              <w:t>5.12</w:t>
            </w:r>
            <w:r w:rsidR="00844675">
              <w:rPr>
                <w:rFonts w:asciiTheme="minorHAnsi" w:eastAsiaTheme="minorEastAsia" w:hAnsiTheme="minorHAnsi"/>
                <w:noProof/>
                <w:sz w:val="24"/>
                <w:szCs w:val="24"/>
              </w:rPr>
              <w:tab/>
            </w:r>
            <w:r w:rsidR="00844675" w:rsidRPr="00F5198F">
              <w:rPr>
                <w:rStyle w:val="Hyperlink"/>
                <w:noProof/>
              </w:rPr>
              <w:t>Denial of Assistance</w:t>
            </w:r>
            <w:r w:rsidR="00844675">
              <w:rPr>
                <w:noProof/>
                <w:webHidden/>
              </w:rPr>
              <w:tab/>
            </w:r>
            <w:r w:rsidR="00844675">
              <w:rPr>
                <w:noProof/>
                <w:webHidden/>
              </w:rPr>
              <w:fldChar w:fldCharType="begin"/>
            </w:r>
            <w:r w:rsidR="00844675">
              <w:rPr>
                <w:noProof/>
                <w:webHidden/>
              </w:rPr>
              <w:instrText xml:space="preserve"> PAGEREF _Toc200376926 \h </w:instrText>
            </w:r>
            <w:r w:rsidR="00844675">
              <w:rPr>
                <w:noProof/>
                <w:webHidden/>
              </w:rPr>
            </w:r>
            <w:r w:rsidR="00844675">
              <w:rPr>
                <w:noProof/>
                <w:webHidden/>
              </w:rPr>
              <w:fldChar w:fldCharType="separate"/>
            </w:r>
            <w:r w:rsidR="00844675">
              <w:rPr>
                <w:noProof/>
                <w:webHidden/>
              </w:rPr>
              <w:t>34</w:t>
            </w:r>
            <w:r w:rsidR="00844675">
              <w:rPr>
                <w:noProof/>
                <w:webHidden/>
              </w:rPr>
              <w:fldChar w:fldCharType="end"/>
            </w:r>
          </w:hyperlink>
        </w:p>
        <w:p w14:paraId="4B36047E" w14:textId="232F3767" w:rsidR="00844675" w:rsidRDefault="003C3A0E">
          <w:pPr>
            <w:pStyle w:val="TOC2"/>
            <w:rPr>
              <w:rFonts w:asciiTheme="minorHAnsi" w:eastAsiaTheme="minorEastAsia" w:hAnsiTheme="minorHAnsi"/>
              <w:noProof/>
              <w:sz w:val="24"/>
              <w:szCs w:val="24"/>
            </w:rPr>
          </w:pPr>
          <w:hyperlink w:anchor="_Toc200376927" w:history="1">
            <w:r w:rsidR="00844675" w:rsidRPr="00F5198F">
              <w:rPr>
                <w:rStyle w:val="Hyperlink"/>
                <w:noProof/>
              </w:rPr>
              <w:t>5.13</w:t>
            </w:r>
            <w:r w:rsidR="00844675">
              <w:rPr>
                <w:rFonts w:asciiTheme="minorHAnsi" w:eastAsiaTheme="minorEastAsia" w:hAnsiTheme="minorHAnsi"/>
                <w:noProof/>
                <w:sz w:val="24"/>
                <w:szCs w:val="24"/>
              </w:rPr>
              <w:tab/>
            </w:r>
            <w:r w:rsidR="00844675" w:rsidRPr="00F5198F">
              <w:rPr>
                <w:rStyle w:val="Hyperlink"/>
                <w:noProof/>
              </w:rPr>
              <w:t>Notice of Determination</w:t>
            </w:r>
            <w:r w:rsidR="00844675">
              <w:rPr>
                <w:noProof/>
                <w:webHidden/>
              </w:rPr>
              <w:tab/>
            </w:r>
            <w:r w:rsidR="00844675">
              <w:rPr>
                <w:noProof/>
                <w:webHidden/>
              </w:rPr>
              <w:fldChar w:fldCharType="begin"/>
            </w:r>
            <w:r w:rsidR="00844675">
              <w:rPr>
                <w:noProof/>
                <w:webHidden/>
              </w:rPr>
              <w:instrText xml:space="preserve"> PAGEREF _Toc200376927 \h </w:instrText>
            </w:r>
            <w:r w:rsidR="00844675">
              <w:rPr>
                <w:noProof/>
                <w:webHidden/>
              </w:rPr>
            </w:r>
            <w:r w:rsidR="00844675">
              <w:rPr>
                <w:noProof/>
                <w:webHidden/>
              </w:rPr>
              <w:fldChar w:fldCharType="separate"/>
            </w:r>
            <w:r w:rsidR="00844675">
              <w:rPr>
                <w:noProof/>
                <w:webHidden/>
              </w:rPr>
              <w:t>38</w:t>
            </w:r>
            <w:r w:rsidR="00844675">
              <w:rPr>
                <w:noProof/>
                <w:webHidden/>
              </w:rPr>
              <w:fldChar w:fldCharType="end"/>
            </w:r>
          </w:hyperlink>
        </w:p>
        <w:p w14:paraId="72573202" w14:textId="27C458FC" w:rsidR="00844675" w:rsidRDefault="003C3A0E" w:rsidP="00AD20A4">
          <w:pPr>
            <w:pStyle w:val="TOC1"/>
            <w:rPr>
              <w:rFonts w:asciiTheme="minorHAnsi" w:eastAsiaTheme="minorEastAsia" w:hAnsiTheme="minorHAnsi"/>
              <w:noProof/>
              <w:color w:val="auto"/>
              <w:szCs w:val="24"/>
            </w:rPr>
          </w:pPr>
          <w:hyperlink w:anchor="_Toc200376928" w:history="1">
            <w:r w:rsidR="00844675" w:rsidRPr="00F5198F">
              <w:rPr>
                <w:rStyle w:val="Hyperlink"/>
                <w:noProof/>
                <w:lang w:bidi="en-US"/>
              </w:rPr>
              <w:t>CHAPTER 6: OCCUPANCY STANDARDS AND UNIT OFFERS</w:t>
            </w:r>
            <w:r w:rsidR="00844675">
              <w:rPr>
                <w:noProof/>
                <w:webHidden/>
              </w:rPr>
              <w:tab/>
            </w:r>
            <w:r w:rsidR="00844675">
              <w:rPr>
                <w:noProof/>
                <w:webHidden/>
              </w:rPr>
              <w:fldChar w:fldCharType="begin"/>
            </w:r>
            <w:r w:rsidR="00844675">
              <w:rPr>
                <w:noProof/>
                <w:webHidden/>
              </w:rPr>
              <w:instrText xml:space="preserve"> PAGEREF _Toc200376928 \h </w:instrText>
            </w:r>
            <w:r w:rsidR="00844675">
              <w:rPr>
                <w:noProof/>
                <w:webHidden/>
              </w:rPr>
            </w:r>
            <w:r w:rsidR="00844675">
              <w:rPr>
                <w:noProof/>
                <w:webHidden/>
              </w:rPr>
              <w:fldChar w:fldCharType="separate"/>
            </w:r>
            <w:r w:rsidR="00844675">
              <w:rPr>
                <w:noProof/>
                <w:webHidden/>
              </w:rPr>
              <w:t>39</w:t>
            </w:r>
            <w:r w:rsidR="00844675">
              <w:rPr>
                <w:noProof/>
                <w:webHidden/>
              </w:rPr>
              <w:fldChar w:fldCharType="end"/>
            </w:r>
          </w:hyperlink>
        </w:p>
        <w:p w14:paraId="16266792" w14:textId="51EE76AD" w:rsidR="00844675" w:rsidRDefault="003C3A0E">
          <w:pPr>
            <w:pStyle w:val="TOC2"/>
            <w:rPr>
              <w:rFonts w:asciiTheme="minorHAnsi" w:eastAsiaTheme="minorEastAsia" w:hAnsiTheme="minorHAnsi"/>
              <w:noProof/>
              <w:sz w:val="24"/>
              <w:szCs w:val="24"/>
            </w:rPr>
          </w:pPr>
          <w:hyperlink w:anchor="_Toc200376929" w:history="1">
            <w:r w:rsidR="00844675" w:rsidRPr="00F5198F">
              <w:rPr>
                <w:rStyle w:val="Hyperlink"/>
                <w:noProof/>
              </w:rPr>
              <w:t>6.1</w:t>
            </w:r>
            <w:r w:rsidR="00844675">
              <w:rPr>
                <w:rFonts w:asciiTheme="minorHAnsi" w:eastAsiaTheme="minorEastAsia" w:hAnsiTheme="minorHAnsi"/>
                <w:noProof/>
                <w:sz w:val="24"/>
                <w:szCs w:val="24"/>
              </w:rPr>
              <w:tab/>
            </w:r>
            <w:r w:rsidR="00844675" w:rsidRPr="00F5198F">
              <w:rPr>
                <w:rStyle w:val="Hyperlink"/>
                <w:noProof/>
              </w:rPr>
              <w:t>Overview</w:t>
            </w:r>
            <w:r w:rsidR="00844675">
              <w:rPr>
                <w:noProof/>
                <w:webHidden/>
              </w:rPr>
              <w:tab/>
            </w:r>
            <w:r w:rsidR="00844675">
              <w:rPr>
                <w:noProof/>
                <w:webHidden/>
              </w:rPr>
              <w:fldChar w:fldCharType="begin"/>
            </w:r>
            <w:r w:rsidR="00844675">
              <w:rPr>
                <w:noProof/>
                <w:webHidden/>
              </w:rPr>
              <w:instrText xml:space="preserve"> PAGEREF _Toc200376929 \h </w:instrText>
            </w:r>
            <w:r w:rsidR="00844675">
              <w:rPr>
                <w:noProof/>
                <w:webHidden/>
              </w:rPr>
            </w:r>
            <w:r w:rsidR="00844675">
              <w:rPr>
                <w:noProof/>
                <w:webHidden/>
              </w:rPr>
              <w:fldChar w:fldCharType="separate"/>
            </w:r>
            <w:r w:rsidR="00844675">
              <w:rPr>
                <w:noProof/>
                <w:webHidden/>
              </w:rPr>
              <w:t>39</w:t>
            </w:r>
            <w:r w:rsidR="00844675">
              <w:rPr>
                <w:noProof/>
                <w:webHidden/>
              </w:rPr>
              <w:fldChar w:fldCharType="end"/>
            </w:r>
          </w:hyperlink>
        </w:p>
        <w:p w14:paraId="5A6014CB" w14:textId="264CF65A" w:rsidR="00844675" w:rsidRDefault="003C3A0E">
          <w:pPr>
            <w:pStyle w:val="TOC2"/>
            <w:rPr>
              <w:rFonts w:asciiTheme="minorHAnsi" w:eastAsiaTheme="minorEastAsia" w:hAnsiTheme="minorHAnsi"/>
              <w:noProof/>
              <w:sz w:val="24"/>
              <w:szCs w:val="24"/>
            </w:rPr>
          </w:pPr>
          <w:hyperlink w:anchor="_Toc200376930" w:history="1">
            <w:r w:rsidR="00844675" w:rsidRPr="00F5198F">
              <w:rPr>
                <w:rStyle w:val="Hyperlink"/>
                <w:noProof/>
              </w:rPr>
              <w:t>6.2</w:t>
            </w:r>
            <w:r w:rsidR="00844675">
              <w:rPr>
                <w:rFonts w:asciiTheme="minorHAnsi" w:eastAsiaTheme="minorEastAsia" w:hAnsiTheme="minorHAnsi"/>
                <w:noProof/>
                <w:sz w:val="24"/>
                <w:szCs w:val="24"/>
              </w:rPr>
              <w:tab/>
            </w:r>
            <w:r w:rsidR="00844675" w:rsidRPr="00F5198F">
              <w:rPr>
                <w:rStyle w:val="Hyperlink"/>
                <w:noProof/>
              </w:rPr>
              <w:t>Minimum and Maximum Persons in a Unit</w:t>
            </w:r>
            <w:r w:rsidR="00844675">
              <w:rPr>
                <w:noProof/>
                <w:webHidden/>
              </w:rPr>
              <w:tab/>
            </w:r>
            <w:r w:rsidR="00844675">
              <w:rPr>
                <w:noProof/>
                <w:webHidden/>
              </w:rPr>
              <w:fldChar w:fldCharType="begin"/>
            </w:r>
            <w:r w:rsidR="00844675">
              <w:rPr>
                <w:noProof/>
                <w:webHidden/>
              </w:rPr>
              <w:instrText xml:space="preserve"> PAGEREF _Toc200376930 \h </w:instrText>
            </w:r>
            <w:r w:rsidR="00844675">
              <w:rPr>
                <w:noProof/>
                <w:webHidden/>
              </w:rPr>
            </w:r>
            <w:r w:rsidR="00844675">
              <w:rPr>
                <w:noProof/>
                <w:webHidden/>
              </w:rPr>
              <w:fldChar w:fldCharType="separate"/>
            </w:r>
            <w:r w:rsidR="00844675">
              <w:rPr>
                <w:noProof/>
                <w:webHidden/>
              </w:rPr>
              <w:t>39</w:t>
            </w:r>
            <w:r w:rsidR="00844675">
              <w:rPr>
                <w:noProof/>
                <w:webHidden/>
              </w:rPr>
              <w:fldChar w:fldCharType="end"/>
            </w:r>
          </w:hyperlink>
        </w:p>
        <w:p w14:paraId="330A97E6" w14:textId="468DEAF7" w:rsidR="00844675" w:rsidRDefault="003C3A0E">
          <w:pPr>
            <w:pStyle w:val="TOC2"/>
            <w:rPr>
              <w:rFonts w:asciiTheme="minorHAnsi" w:eastAsiaTheme="minorEastAsia" w:hAnsiTheme="minorHAnsi"/>
              <w:noProof/>
              <w:sz w:val="24"/>
              <w:szCs w:val="24"/>
            </w:rPr>
          </w:pPr>
          <w:hyperlink w:anchor="_Toc200376931" w:history="1">
            <w:r w:rsidR="00844675" w:rsidRPr="00F5198F">
              <w:rPr>
                <w:rStyle w:val="Hyperlink"/>
                <w:noProof/>
              </w:rPr>
              <w:t>6.3</w:t>
            </w:r>
            <w:r w:rsidR="00844675">
              <w:rPr>
                <w:rFonts w:asciiTheme="minorHAnsi" w:eastAsiaTheme="minorEastAsia" w:hAnsiTheme="minorHAnsi"/>
                <w:noProof/>
                <w:sz w:val="24"/>
                <w:szCs w:val="24"/>
              </w:rPr>
              <w:tab/>
            </w:r>
            <w:r w:rsidR="00844675" w:rsidRPr="00F5198F">
              <w:rPr>
                <w:rStyle w:val="Hyperlink"/>
                <w:noProof/>
              </w:rPr>
              <w:t>Determining Family Unit Size</w:t>
            </w:r>
            <w:r w:rsidR="00844675">
              <w:rPr>
                <w:noProof/>
                <w:webHidden/>
              </w:rPr>
              <w:tab/>
            </w:r>
            <w:r w:rsidR="00844675">
              <w:rPr>
                <w:noProof/>
                <w:webHidden/>
              </w:rPr>
              <w:fldChar w:fldCharType="begin"/>
            </w:r>
            <w:r w:rsidR="00844675">
              <w:rPr>
                <w:noProof/>
                <w:webHidden/>
              </w:rPr>
              <w:instrText xml:space="preserve"> PAGEREF _Toc200376931 \h </w:instrText>
            </w:r>
            <w:r w:rsidR="00844675">
              <w:rPr>
                <w:noProof/>
                <w:webHidden/>
              </w:rPr>
            </w:r>
            <w:r w:rsidR="00844675">
              <w:rPr>
                <w:noProof/>
                <w:webHidden/>
              </w:rPr>
              <w:fldChar w:fldCharType="separate"/>
            </w:r>
            <w:r w:rsidR="00844675">
              <w:rPr>
                <w:noProof/>
                <w:webHidden/>
              </w:rPr>
              <w:t>39</w:t>
            </w:r>
            <w:r w:rsidR="00844675">
              <w:rPr>
                <w:noProof/>
                <w:webHidden/>
              </w:rPr>
              <w:fldChar w:fldCharType="end"/>
            </w:r>
          </w:hyperlink>
        </w:p>
        <w:p w14:paraId="38721877" w14:textId="231D42A5" w:rsidR="00844675" w:rsidRDefault="003C3A0E">
          <w:pPr>
            <w:pStyle w:val="TOC2"/>
            <w:rPr>
              <w:rFonts w:asciiTheme="minorHAnsi" w:eastAsiaTheme="minorEastAsia" w:hAnsiTheme="minorHAnsi"/>
              <w:noProof/>
              <w:sz w:val="24"/>
              <w:szCs w:val="24"/>
            </w:rPr>
          </w:pPr>
          <w:hyperlink w:anchor="_Toc200376932" w:history="1">
            <w:r w:rsidR="00844675" w:rsidRPr="00F5198F">
              <w:rPr>
                <w:rStyle w:val="Hyperlink"/>
                <w:noProof/>
              </w:rPr>
              <w:t>6.4</w:t>
            </w:r>
            <w:r w:rsidR="00844675">
              <w:rPr>
                <w:rFonts w:asciiTheme="minorHAnsi" w:eastAsiaTheme="minorEastAsia" w:hAnsiTheme="minorHAnsi"/>
                <w:noProof/>
                <w:sz w:val="24"/>
                <w:szCs w:val="24"/>
              </w:rPr>
              <w:tab/>
            </w:r>
            <w:r w:rsidR="00844675" w:rsidRPr="00F5198F">
              <w:rPr>
                <w:rStyle w:val="Hyperlink"/>
                <w:noProof/>
              </w:rPr>
              <w:t>Exceptions to the Occupancy Standards</w:t>
            </w:r>
            <w:r w:rsidR="00844675">
              <w:rPr>
                <w:noProof/>
                <w:webHidden/>
              </w:rPr>
              <w:tab/>
            </w:r>
            <w:r w:rsidR="00844675">
              <w:rPr>
                <w:noProof/>
                <w:webHidden/>
              </w:rPr>
              <w:fldChar w:fldCharType="begin"/>
            </w:r>
            <w:r w:rsidR="00844675">
              <w:rPr>
                <w:noProof/>
                <w:webHidden/>
              </w:rPr>
              <w:instrText xml:space="preserve"> PAGEREF _Toc200376932 \h </w:instrText>
            </w:r>
            <w:r w:rsidR="00844675">
              <w:rPr>
                <w:noProof/>
                <w:webHidden/>
              </w:rPr>
            </w:r>
            <w:r w:rsidR="00844675">
              <w:rPr>
                <w:noProof/>
                <w:webHidden/>
              </w:rPr>
              <w:fldChar w:fldCharType="separate"/>
            </w:r>
            <w:r w:rsidR="00844675">
              <w:rPr>
                <w:noProof/>
                <w:webHidden/>
              </w:rPr>
              <w:t>41</w:t>
            </w:r>
            <w:r w:rsidR="00844675">
              <w:rPr>
                <w:noProof/>
                <w:webHidden/>
              </w:rPr>
              <w:fldChar w:fldCharType="end"/>
            </w:r>
          </w:hyperlink>
        </w:p>
        <w:p w14:paraId="0C2152C4" w14:textId="73C9552C" w:rsidR="00844675" w:rsidRDefault="003C3A0E">
          <w:pPr>
            <w:pStyle w:val="TOC2"/>
            <w:rPr>
              <w:rFonts w:asciiTheme="minorHAnsi" w:eastAsiaTheme="minorEastAsia" w:hAnsiTheme="minorHAnsi"/>
              <w:noProof/>
              <w:sz w:val="24"/>
              <w:szCs w:val="24"/>
            </w:rPr>
          </w:pPr>
          <w:hyperlink w:anchor="_Toc200376933" w:history="1">
            <w:r w:rsidR="00844675" w:rsidRPr="00F5198F">
              <w:rPr>
                <w:rStyle w:val="Hyperlink"/>
                <w:noProof/>
              </w:rPr>
              <w:t>6.5</w:t>
            </w:r>
            <w:r w:rsidR="00844675">
              <w:rPr>
                <w:rFonts w:asciiTheme="minorHAnsi" w:eastAsiaTheme="minorEastAsia" w:hAnsiTheme="minorHAnsi"/>
                <w:noProof/>
                <w:sz w:val="24"/>
                <w:szCs w:val="24"/>
              </w:rPr>
              <w:tab/>
            </w:r>
            <w:r w:rsidR="00844675" w:rsidRPr="00F5198F">
              <w:rPr>
                <w:rStyle w:val="Hyperlink"/>
                <w:noProof/>
              </w:rPr>
              <w:t>Temporarily and Permanently Absent Family Members</w:t>
            </w:r>
            <w:r w:rsidR="00844675">
              <w:rPr>
                <w:noProof/>
                <w:webHidden/>
              </w:rPr>
              <w:tab/>
            </w:r>
            <w:r w:rsidR="00844675">
              <w:rPr>
                <w:noProof/>
                <w:webHidden/>
              </w:rPr>
              <w:fldChar w:fldCharType="begin"/>
            </w:r>
            <w:r w:rsidR="00844675">
              <w:rPr>
                <w:noProof/>
                <w:webHidden/>
              </w:rPr>
              <w:instrText xml:space="preserve"> PAGEREF _Toc200376933 \h </w:instrText>
            </w:r>
            <w:r w:rsidR="00844675">
              <w:rPr>
                <w:noProof/>
                <w:webHidden/>
              </w:rPr>
            </w:r>
            <w:r w:rsidR="00844675">
              <w:rPr>
                <w:noProof/>
                <w:webHidden/>
              </w:rPr>
              <w:fldChar w:fldCharType="separate"/>
            </w:r>
            <w:r w:rsidR="00844675">
              <w:rPr>
                <w:noProof/>
                <w:webHidden/>
              </w:rPr>
              <w:t>41</w:t>
            </w:r>
            <w:r w:rsidR="00844675">
              <w:rPr>
                <w:noProof/>
                <w:webHidden/>
              </w:rPr>
              <w:fldChar w:fldCharType="end"/>
            </w:r>
          </w:hyperlink>
        </w:p>
        <w:p w14:paraId="7570F241" w14:textId="50830499" w:rsidR="00844675" w:rsidRDefault="003C3A0E">
          <w:pPr>
            <w:pStyle w:val="TOC2"/>
            <w:rPr>
              <w:rFonts w:asciiTheme="minorHAnsi" w:eastAsiaTheme="minorEastAsia" w:hAnsiTheme="minorHAnsi"/>
              <w:noProof/>
              <w:sz w:val="24"/>
              <w:szCs w:val="24"/>
            </w:rPr>
          </w:pPr>
          <w:hyperlink w:anchor="_Toc200376934" w:history="1">
            <w:r w:rsidR="00844675" w:rsidRPr="00F5198F">
              <w:rPr>
                <w:rStyle w:val="Hyperlink"/>
                <w:noProof/>
              </w:rPr>
              <w:t>6.6</w:t>
            </w:r>
            <w:r w:rsidR="00844675">
              <w:rPr>
                <w:rFonts w:asciiTheme="minorHAnsi" w:eastAsiaTheme="minorEastAsia" w:hAnsiTheme="minorHAnsi"/>
                <w:noProof/>
                <w:sz w:val="24"/>
                <w:szCs w:val="24"/>
              </w:rPr>
              <w:tab/>
            </w:r>
            <w:r w:rsidR="00844675" w:rsidRPr="00F5198F">
              <w:rPr>
                <w:rStyle w:val="Hyperlink"/>
                <w:noProof/>
              </w:rPr>
              <w:t>Unit Offers</w:t>
            </w:r>
            <w:r w:rsidR="00844675">
              <w:rPr>
                <w:noProof/>
                <w:webHidden/>
              </w:rPr>
              <w:tab/>
            </w:r>
            <w:r w:rsidR="00844675">
              <w:rPr>
                <w:noProof/>
                <w:webHidden/>
              </w:rPr>
              <w:fldChar w:fldCharType="begin"/>
            </w:r>
            <w:r w:rsidR="00844675">
              <w:rPr>
                <w:noProof/>
                <w:webHidden/>
              </w:rPr>
              <w:instrText xml:space="preserve"> PAGEREF _Toc200376934 \h </w:instrText>
            </w:r>
            <w:r w:rsidR="00844675">
              <w:rPr>
                <w:noProof/>
                <w:webHidden/>
              </w:rPr>
            </w:r>
            <w:r w:rsidR="00844675">
              <w:rPr>
                <w:noProof/>
                <w:webHidden/>
              </w:rPr>
              <w:fldChar w:fldCharType="separate"/>
            </w:r>
            <w:r w:rsidR="00844675">
              <w:rPr>
                <w:noProof/>
                <w:webHidden/>
              </w:rPr>
              <w:t>42</w:t>
            </w:r>
            <w:r w:rsidR="00844675">
              <w:rPr>
                <w:noProof/>
                <w:webHidden/>
              </w:rPr>
              <w:fldChar w:fldCharType="end"/>
            </w:r>
          </w:hyperlink>
        </w:p>
        <w:p w14:paraId="090AABA4" w14:textId="363E6FF7" w:rsidR="00844675" w:rsidRDefault="003C3A0E">
          <w:pPr>
            <w:pStyle w:val="TOC2"/>
            <w:rPr>
              <w:rFonts w:asciiTheme="minorHAnsi" w:eastAsiaTheme="minorEastAsia" w:hAnsiTheme="minorHAnsi"/>
              <w:noProof/>
              <w:sz w:val="24"/>
              <w:szCs w:val="24"/>
            </w:rPr>
          </w:pPr>
          <w:hyperlink w:anchor="_Toc200376935" w:history="1">
            <w:r w:rsidR="00844675" w:rsidRPr="00F5198F">
              <w:rPr>
                <w:rStyle w:val="Hyperlink"/>
                <w:noProof/>
              </w:rPr>
              <w:t>6.7</w:t>
            </w:r>
            <w:r w:rsidR="00844675">
              <w:rPr>
                <w:rFonts w:asciiTheme="minorHAnsi" w:eastAsiaTheme="minorEastAsia" w:hAnsiTheme="minorHAnsi"/>
                <w:noProof/>
                <w:sz w:val="24"/>
                <w:szCs w:val="24"/>
              </w:rPr>
              <w:tab/>
            </w:r>
            <w:r w:rsidR="00844675" w:rsidRPr="00F5198F">
              <w:rPr>
                <w:rStyle w:val="Hyperlink"/>
                <w:noProof/>
              </w:rPr>
              <w:t>Accessible Units</w:t>
            </w:r>
            <w:r w:rsidR="00844675">
              <w:rPr>
                <w:noProof/>
                <w:webHidden/>
              </w:rPr>
              <w:tab/>
            </w:r>
            <w:r w:rsidR="00844675">
              <w:rPr>
                <w:noProof/>
                <w:webHidden/>
              </w:rPr>
              <w:fldChar w:fldCharType="begin"/>
            </w:r>
            <w:r w:rsidR="00844675">
              <w:rPr>
                <w:noProof/>
                <w:webHidden/>
              </w:rPr>
              <w:instrText xml:space="preserve"> PAGEREF _Toc200376935 \h </w:instrText>
            </w:r>
            <w:r w:rsidR="00844675">
              <w:rPr>
                <w:noProof/>
                <w:webHidden/>
              </w:rPr>
            </w:r>
            <w:r w:rsidR="00844675">
              <w:rPr>
                <w:noProof/>
                <w:webHidden/>
              </w:rPr>
              <w:fldChar w:fldCharType="separate"/>
            </w:r>
            <w:r w:rsidR="00844675">
              <w:rPr>
                <w:noProof/>
                <w:webHidden/>
              </w:rPr>
              <w:t>45</w:t>
            </w:r>
            <w:r w:rsidR="00844675">
              <w:rPr>
                <w:noProof/>
                <w:webHidden/>
              </w:rPr>
              <w:fldChar w:fldCharType="end"/>
            </w:r>
          </w:hyperlink>
        </w:p>
        <w:p w14:paraId="79676826" w14:textId="5FE426CB" w:rsidR="00844675" w:rsidRDefault="003C3A0E" w:rsidP="00AD20A4">
          <w:pPr>
            <w:pStyle w:val="TOC1"/>
            <w:rPr>
              <w:rFonts w:asciiTheme="minorHAnsi" w:eastAsiaTheme="minorEastAsia" w:hAnsiTheme="minorHAnsi"/>
              <w:noProof/>
              <w:color w:val="auto"/>
              <w:szCs w:val="24"/>
            </w:rPr>
          </w:pPr>
          <w:hyperlink w:anchor="_Toc200376936" w:history="1">
            <w:r w:rsidR="00844675" w:rsidRPr="00F5198F">
              <w:rPr>
                <w:rStyle w:val="Hyperlink"/>
                <w:noProof/>
                <w:lang w:bidi="en-US"/>
              </w:rPr>
              <w:t>CHAPTER 7: LEASING</w:t>
            </w:r>
            <w:r w:rsidR="00844675">
              <w:rPr>
                <w:noProof/>
                <w:webHidden/>
              </w:rPr>
              <w:tab/>
            </w:r>
            <w:r w:rsidR="00844675">
              <w:rPr>
                <w:noProof/>
                <w:webHidden/>
              </w:rPr>
              <w:fldChar w:fldCharType="begin"/>
            </w:r>
            <w:r w:rsidR="00844675">
              <w:rPr>
                <w:noProof/>
                <w:webHidden/>
              </w:rPr>
              <w:instrText xml:space="preserve"> PAGEREF _Toc200376936 \h </w:instrText>
            </w:r>
            <w:r w:rsidR="00844675">
              <w:rPr>
                <w:noProof/>
                <w:webHidden/>
              </w:rPr>
            </w:r>
            <w:r w:rsidR="00844675">
              <w:rPr>
                <w:noProof/>
                <w:webHidden/>
              </w:rPr>
              <w:fldChar w:fldCharType="separate"/>
            </w:r>
            <w:r w:rsidR="00844675">
              <w:rPr>
                <w:noProof/>
                <w:webHidden/>
              </w:rPr>
              <w:t>46</w:t>
            </w:r>
            <w:r w:rsidR="00844675">
              <w:rPr>
                <w:noProof/>
                <w:webHidden/>
              </w:rPr>
              <w:fldChar w:fldCharType="end"/>
            </w:r>
          </w:hyperlink>
        </w:p>
        <w:p w14:paraId="0F137524" w14:textId="7A0CD5E0" w:rsidR="00844675" w:rsidRDefault="003C3A0E">
          <w:pPr>
            <w:pStyle w:val="TOC2"/>
            <w:rPr>
              <w:rFonts w:asciiTheme="minorHAnsi" w:eastAsiaTheme="minorEastAsia" w:hAnsiTheme="minorHAnsi"/>
              <w:noProof/>
              <w:sz w:val="24"/>
              <w:szCs w:val="24"/>
            </w:rPr>
          </w:pPr>
          <w:hyperlink w:anchor="_Toc200376937" w:history="1">
            <w:r w:rsidR="00844675" w:rsidRPr="00F5198F">
              <w:rPr>
                <w:rStyle w:val="Hyperlink"/>
                <w:noProof/>
              </w:rPr>
              <w:t>7.1</w:t>
            </w:r>
            <w:r w:rsidR="00844675">
              <w:rPr>
                <w:rFonts w:asciiTheme="minorHAnsi" w:eastAsiaTheme="minorEastAsia" w:hAnsiTheme="minorHAnsi"/>
                <w:noProof/>
                <w:sz w:val="24"/>
                <w:szCs w:val="24"/>
              </w:rPr>
              <w:tab/>
            </w:r>
            <w:r w:rsidR="00844675" w:rsidRPr="00F5198F">
              <w:rPr>
                <w:rStyle w:val="Hyperlink"/>
                <w:noProof/>
              </w:rPr>
              <w:t>Overview</w:t>
            </w:r>
            <w:r w:rsidR="00844675">
              <w:rPr>
                <w:noProof/>
                <w:webHidden/>
              </w:rPr>
              <w:tab/>
            </w:r>
            <w:r w:rsidR="00844675">
              <w:rPr>
                <w:noProof/>
                <w:webHidden/>
              </w:rPr>
              <w:fldChar w:fldCharType="begin"/>
            </w:r>
            <w:r w:rsidR="00844675">
              <w:rPr>
                <w:noProof/>
                <w:webHidden/>
              </w:rPr>
              <w:instrText xml:space="preserve"> PAGEREF _Toc200376937 \h </w:instrText>
            </w:r>
            <w:r w:rsidR="00844675">
              <w:rPr>
                <w:noProof/>
                <w:webHidden/>
              </w:rPr>
            </w:r>
            <w:r w:rsidR="00844675">
              <w:rPr>
                <w:noProof/>
                <w:webHidden/>
              </w:rPr>
              <w:fldChar w:fldCharType="separate"/>
            </w:r>
            <w:r w:rsidR="00844675">
              <w:rPr>
                <w:noProof/>
                <w:webHidden/>
              </w:rPr>
              <w:t>46</w:t>
            </w:r>
            <w:r w:rsidR="00844675">
              <w:rPr>
                <w:noProof/>
                <w:webHidden/>
              </w:rPr>
              <w:fldChar w:fldCharType="end"/>
            </w:r>
          </w:hyperlink>
        </w:p>
        <w:p w14:paraId="788198F4" w14:textId="1E4F3946" w:rsidR="00844675" w:rsidRDefault="003C3A0E">
          <w:pPr>
            <w:pStyle w:val="TOC2"/>
            <w:rPr>
              <w:rFonts w:asciiTheme="minorHAnsi" w:eastAsiaTheme="minorEastAsia" w:hAnsiTheme="minorHAnsi"/>
              <w:noProof/>
              <w:sz w:val="24"/>
              <w:szCs w:val="24"/>
            </w:rPr>
          </w:pPr>
          <w:hyperlink w:anchor="_Toc200376938" w:history="1">
            <w:r w:rsidR="00844675" w:rsidRPr="00F5198F">
              <w:rPr>
                <w:rStyle w:val="Hyperlink"/>
                <w:noProof/>
              </w:rPr>
              <w:t>7.2</w:t>
            </w:r>
            <w:r w:rsidR="00844675">
              <w:rPr>
                <w:rFonts w:asciiTheme="minorHAnsi" w:eastAsiaTheme="minorEastAsia" w:hAnsiTheme="minorHAnsi"/>
                <w:noProof/>
                <w:sz w:val="24"/>
                <w:szCs w:val="24"/>
              </w:rPr>
              <w:tab/>
            </w:r>
            <w:r w:rsidR="00844675" w:rsidRPr="00F5198F">
              <w:rPr>
                <w:rStyle w:val="Hyperlink"/>
                <w:noProof/>
              </w:rPr>
              <w:t>Lease Term</w:t>
            </w:r>
            <w:r w:rsidR="00844675">
              <w:rPr>
                <w:noProof/>
                <w:webHidden/>
              </w:rPr>
              <w:tab/>
            </w:r>
            <w:r w:rsidR="00844675">
              <w:rPr>
                <w:noProof/>
                <w:webHidden/>
              </w:rPr>
              <w:fldChar w:fldCharType="begin"/>
            </w:r>
            <w:r w:rsidR="00844675">
              <w:rPr>
                <w:noProof/>
                <w:webHidden/>
              </w:rPr>
              <w:instrText xml:space="preserve"> PAGEREF _Toc200376938 \h </w:instrText>
            </w:r>
            <w:r w:rsidR="00844675">
              <w:rPr>
                <w:noProof/>
                <w:webHidden/>
              </w:rPr>
            </w:r>
            <w:r w:rsidR="00844675">
              <w:rPr>
                <w:noProof/>
                <w:webHidden/>
              </w:rPr>
              <w:fldChar w:fldCharType="separate"/>
            </w:r>
            <w:r w:rsidR="00844675">
              <w:rPr>
                <w:noProof/>
                <w:webHidden/>
              </w:rPr>
              <w:t>46</w:t>
            </w:r>
            <w:r w:rsidR="00844675">
              <w:rPr>
                <w:noProof/>
                <w:webHidden/>
              </w:rPr>
              <w:fldChar w:fldCharType="end"/>
            </w:r>
          </w:hyperlink>
        </w:p>
        <w:p w14:paraId="1ED5AF4B" w14:textId="373DC1D6" w:rsidR="00844675" w:rsidRDefault="003C3A0E">
          <w:pPr>
            <w:pStyle w:val="TOC2"/>
            <w:rPr>
              <w:rFonts w:asciiTheme="minorHAnsi" w:eastAsiaTheme="minorEastAsia" w:hAnsiTheme="minorHAnsi"/>
              <w:noProof/>
              <w:sz w:val="24"/>
              <w:szCs w:val="24"/>
            </w:rPr>
          </w:pPr>
          <w:hyperlink w:anchor="_Toc200376939" w:history="1">
            <w:r w:rsidR="00844675" w:rsidRPr="00F5198F">
              <w:rPr>
                <w:rStyle w:val="Hyperlink"/>
                <w:noProof/>
              </w:rPr>
              <w:t>7.3</w:t>
            </w:r>
            <w:r w:rsidR="00844675">
              <w:rPr>
                <w:rFonts w:asciiTheme="minorHAnsi" w:eastAsiaTheme="minorEastAsia" w:hAnsiTheme="minorHAnsi"/>
                <w:noProof/>
                <w:sz w:val="24"/>
                <w:szCs w:val="24"/>
              </w:rPr>
              <w:tab/>
            </w:r>
            <w:r w:rsidR="00844675" w:rsidRPr="00F5198F">
              <w:rPr>
                <w:rStyle w:val="Hyperlink"/>
                <w:noProof/>
              </w:rPr>
              <w:t>Lease Orientation</w:t>
            </w:r>
            <w:r w:rsidR="00844675">
              <w:rPr>
                <w:noProof/>
                <w:webHidden/>
              </w:rPr>
              <w:tab/>
            </w:r>
            <w:r w:rsidR="00844675">
              <w:rPr>
                <w:noProof/>
                <w:webHidden/>
              </w:rPr>
              <w:fldChar w:fldCharType="begin"/>
            </w:r>
            <w:r w:rsidR="00844675">
              <w:rPr>
                <w:noProof/>
                <w:webHidden/>
              </w:rPr>
              <w:instrText xml:space="preserve"> PAGEREF _Toc200376939 \h </w:instrText>
            </w:r>
            <w:r w:rsidR="00844675">
              <w:rPr>
                <w:noProof/>
                <w:webHidden/>
              </w:rPr>
            </w:r>
            <w:r w:rsidR="00844675">
              <w:rPr>
                <w:noProof/>
                <w:webHidden/>
              </w:rPr>
              <w:fldChar w:fldCharType="separate"/>
            </w:r>
            <w:r w:rsidR="00844675">
              <w:rPr>
                <w:noProof/>
                <w:webHidden/>
              </w:rPr>
              <w:t>46</w:t>
            </w:r>
            <w:r w:rsidR="00844675">
              <w:rPr>
                <w:noProof/>
                <w:webHidden/>
              </w:rPr>
              <w:fldChar w:fldCharType="end"/>
            </w:r>
          </w:hyperlink>
        </w:p>
        <w:p w14:paraId="06B2A465" w14:textId="1C38E354" w:rsidR="00844675" w:rsidRDefault="003C3A0E">
          <w:pPr>
            <w:pStyle w:val="TOC2"/>
            <w:rPr>
              <w:rFonts w:asciiTheme="minorHAnsi" w:eastAsiaTheme="minorEastAsia" w:hAnsiTheme="minorHAnsi"/>
              <w:noProof/>
              <w:sz w:val="24"/>
              <w:szCs w:val="24"/>
            </w:rPr>
          </w:pPr>
          <w:hyperlink w:anchor="_Toc200376940" w:history="1">
            <w:r w:rsidR="00844675" w:rsidRPr="00F5198F">
              <w:rPr>
                <w:rStyle w:val="Hyperlink"/>
                <w:noProof/>
              </w:rPr>
              <w:t>7.4</w:t>
            </w:r>
            <w:r w:rsidR="00844675">
              <w:rPr>
                <w:rFonts w:asciiTheme="minorHAnsi" w:eastAsiaTheme="minorEastAsia" w:hAnsiTheme="minorHAnsi"/>
                <w:noProof/>
                <w:sz w:val="24"/>
                <w:szCs w:val="24"/>
              </w:rPr>
              <w:tab/>
            </w:r>
            <w:r w:rsidR="00844675" w:rsidRPr="00F5198F">
              <w:rPr>
                <w:rStyle w:val="Hyperlink"/>
                <w:noProof/>
              </w:rPr>
              <w:t>Execution of Lease</w:t>
            </w:r>
            <w:r w:rsidR="00844675">
              <w:rPr>
                <w:noProof/>
                <w:webHidden/>
              </w:rPr>
              <w:tab/>
            </w:r>
            <w:r w:rsidR="00844675">
              <w:rPr>
                <w:noProof/>
                <w:webHidden/>
              </w:rPr>
              <w:fldChar w:fldCharType="begin"/>
            </w:r>
            <w:r w:rsidR="00844675">
              <w:rPr>
                <w:noProof/>
                <w:webHidden/>
              </w:rPr>
              <w:instrText xml:space="preserve"> PAGEREF _Toc200376940 \h </w:instrText>
            </w:r>
            <w:r w:rsidR="00844675">
              <w:rPr>
                <w:noProof/>
                <w:webHidden/>
              </w:rPr>
            </w:r>
            <w:r w:rsidR="00844675">
              <w:rPr>
                <w:noProof/>
                <w:webHidden/>
              </w:rPr>
              <w:fldChar w:fldCharType="separate"/>
            </w:r>
            <w:r w:rsidR="00844675">
              <w:rPr>
                <w:noProof/>
                <w:webHidden/>
              </w:rPr>
              <w:t>46</w:t>
            </w:r>
            <w:r w:rsidR="00844675">
              <w:rPr>
                <w:noProof/>
                <w:webHidden/>
              </w:rPr>
              <w:fldChar w:fldCharType="end"/>
            </w:r>
          </w:hyperlink>
        </w:p>
        <w:p w14:paraId="0E59697F" w14:textId="3B202EEF" w:rsidR="00844675" w:rsidRDefault="003C3A0E">
          <w:pPr>
            <w:pStyle w:val="TOC2"/>
            <w:rPr>
              <w:rFonts w:asciiTheme="minorHAnsi" w:eastAsiaTheme="minorEastAsia" w:hAnsiTheme="minorHAnsi"/>
              <w:noProof/>
              <w:sz w:val="24"/>
              <w:szCs w:val="24"/>
            </w:rPr>
          </w:pPr>
          <w:hyperlink w:anchor="_Toc200376941" w:history="1">
            <w:r w:rsidR="00844675" w:rsidRPr="00F5198F">
              <w:rPr>
                <w:rStyle w:val="Hyperlink"/>
                <w:noProof/>
              </w:rPr>
              <w:t>7.5</w:t>
            </w:r>
            <w:r w:rsidR="00844675">
              <w:rPr>
                <w:rFonts w:asciiTheme="minorHAnsi" w:eastAsiaTheme="minorEastAsia" w:hAnsiTheme="minorHAnsi"/>
                <w:noProof/>
                <w:sz w:val="24"/>
                <w:szCs w:val="24"/>
              </w:rPr>
              <w:tab/>
            </w:r>
            <w:r w:rsidR="00844675" w:rsidRPr="00F5198F">
              <w:rPr>
                <w:rStyle w:val="Hyperlink"/>
                <w:noProof/>
              </w:rPr>
              <w:t>Modifications to the Lease Form</w:t>
            </w:r>
            <w:r w:rsidR="00844675">
              <w:rPr>
                <w:noProof/>
                <w:webHidden/>
              </w:rPr>
              <w:tab/>
            </w:r>
            <w:r w:rsidR="00844675">
              <w:rPr>
                <w:noProof/>
                <w:webHidden/>
              </w:rPr>
              <w:fldChar w:fldCharType="begin"/>
            </w:r>
            <w:r w:rsidR="00844675">
              <w:rPr>
                <w:noProof/>
                <w:webHidden/>
              </w:rPr>
              <w:instrText xml:space="preserve"> PAGEREF _Toc200376941 \h </w:instrText>
            </w:r>
            <w:r w:rsidR="00844675">
              <w:rPr>
                <w:noProof/>
                <w:webHidden/>
              </w:rPr>
            </w:r>
            <w:r w:rsidR="00844675">
              <w:rPr>
                <w:noProof/>
                <w:webHidden/>
              </w:rPr>
              <w:fldChar w:fldCharType="separate"/>
            </w:r>
            <w:r w:rsidR="00844675">
              <w:rPr>
                <w:noProof/>
                <w:webHidden/>
              </w:rPr>
              <w:t>46</w:t>
            </w:r>
            <w:r w:rsidR="00844675">
              <w:rPr>
                <w:noProof/>
                <w:webHidden/>
              </w:rPr>
              <w:fldChar w:fldCharType="end"/>
            </w:r>
          </w:hyperlink>
        </w:p>
        <w:p w14:paraId="1730E676" w14:textId="366C7E5E" w:rsidR="00844675" w:rsidRDefault="003C3A0E">
          <w:pPr>
            <w:pStyle w:val="TOC2"/>
            <w:rPr>
              <w:rFonts w:asciiTheme="minorHAnsi" w:eastAsiaTheme="minorEastAsia" w:hAnsiTheme="minorHAnsi"/>
              <w:noProof/>
              <w:sz w:val="24"/>
              <w:szCs w:val="24"/>
            </w:rPr>
          </w:pPr>
          <w:hyperlink w:anchor="_Toc200376942" w:history="1">
            <w:r w:rsidR="00844675" w:rsidRPr="00F5198F">
              <w:rPr>
                <w:rStyle w:val="Hyperlink"/>
                <w:noProof/>
              </w:rPr>
              <w:t>7.6</w:t>
            </w:r>
            <w:r w:rsidR="00844675">
              <w:rPr>
                <w:rFonts w:asciiTheme="minorHAnsi" w:eastAsiaTheme="minorEastAsia" w:hAnsiTheme="minorHAnsi"/>
                <w:noProof/>
                <w:sz w:val="24"/>
                <w:szCs w:val="24"/>
              </w:rPr>
              <w:tab/>
            </w:r>
            <w:r w:rsidR="00844675" w:rsidRPr="00F5198F">
              <w:rPr>
                <w:rStyle w:val="Hyperlink"/>
                <w:noProof/>
              </w:rPr>
              <w:t>Other Modifications to the Lease</w:t>
            </w:r>
            <w:r w:rsidR="00844675">
              <w:rPr>
                <w:noProof/>
                <w:webHidden/>
              </w:rPr>
              <w:tab/>
            </w:r>
            <w:r w:rsidR="00844675">
              <w:rPr>
                <w:noProof/>
                <w:webHidden/>
              </w:rPr>
              <w:fldChar w:fldCharType="begin"/>
            </w:r>
            <w:r w:rsidR="00844675">
              <w:rPr>
                <w:noProof/>
                <w:webHidden/>
              </w:rPr>
              <w:instrText xml:space="preserve"> PAGEREF _Toc200376942 \h </w:instrText>
            </w:r>
            <w:r w:rsidR="00844675">
              <w:rPr>
                <w:noProof/>
                <w:webHidden/>
              </w:rPr>
            </w:r>
            <w:r w:rsidR="00844675">
              <w:rPr>
                <w:noProof/>
                <w:webHidden/>
              </w:rPr>
              <w:fldChar w:fldCharType="separate"/>
            </w:r>
            <w:r w:rsidR="00844675">
              <w:rPr>
                <w:noProof/>
                <w:webHidden/>
              </w:rPr>
              <w:t>47</w:t>
            </w:r>
            <w:r w:rsidR="00844675">
              <w:rPr>
                <w:noProof/>
                <w:webHidden/>
              </w:rPr>
              <w:fldChar w:fldCharType="end"/>
            </w:r>
          </w:hyperlink>
        </w:p>
        <w:p w14:paraId="4A05EE9F" w14:textId="4A769366" w:rsidR="00844675" w:rsidRDefault="003C3A0E">
          <w:pPr>
            <w:pStyle w:val="TOC2"/>
            <w:rPr>
              <w:rFonts w:asciiTheme="minorHAnsi" w:eastAsiaTheme="minorEastAsia" w:hAnsiTheme="minorHAnsi"/>
              <w:noProof/>
              <w:sz w:val="24"/>
              <w:szCs w:val="24"/>
            </w:rPr>
          </w:pPr>
          <w:hyperlink w:anchor="_Toc200376943" w:history="1">
            <w:r w:rsidR="00844675" w:rsidRPr="00F5198F">
              <w:rPr>
                <w:rStyle w:val="Hyperlink"/>
                <w:noProof/>
              </w:rPr>
              <w:t>7.7</w:t>
            </w:r>
            <w:r w:rsidR="00844675">
              <w:rPr>
                <w:rFonts w:asciiTheme="minorHAnsi" w:eastAsiaTheme="minorEastAsia" w:hAnsiTheme="minorHAnsi"/>
                <w:noProof/>
                <w:sz w:val="24"/>
                <w:szCs w:val="24"/>
              </w:rPr>
              <w:tab/>
            </w:r>
            <w:r w:rsidR="00844675" w:rsidRPr="00F5198F">
              <w:rPr>
                <w:rStyle w:val="Hyperlink"/>
                <w:noProof/>
              </w:rPr>
              <w:t>Security Deposits</w:t>
            </w:r>
            <w:r w:rsidR="00844675">
              <w:rPr>
                <w:noProof/>
                <w:webHidden/>
              </w:rPr>
              <w:tab/>
            </w:r>
            <w:r w:rsidR="00844675">
              <w:rPr>
                <w:noProof/>
                <w:webHidden/>
              </w:rPr>
              <w:fldChar w:fldCharType="begin"/>
            </w:r>
            <w:r w:rsidR="00844675">
              <w:rPr>
                <w:noProof/>
                <w:webHidden/>
              </w:rPr>
              <w:instrText xml:space="preserve"> PAGEREF _Toc200376943 \h </w:instrText>
            </w:r>
            <w:r w:rsidR="00844675">
              <w:rPr>
                <w:noProof/>
                <w:webHidden/>
              </w:rPr>
            </w:r>
            <w:r w:rsidR="00844675">
              <w:rPr>
                <w:noProof/>
                <w:webHidden/>
              </w:rPr>
              <w:fldChar w:fldCharType="separate"/>
            </w:r>
            <w:r w:rsidR="00844675">
              <w:rPr>
                <w:noProof/>
                <w:webHidden/>
              </w:rPr>
              <w:t>47</w:t>
            </w:r>
            <w:r w:rsidR="00844675">
              <w:rPr>
                <w:noProof/>
                <w:webHidden/>
              </w:rPr>
              <w:fldChar w:fldCharType="end"/>
            </w:r>
          </w:hyperlink>
        </w:p>
        <w:p w14:paraId="60A0149D" w14:textId="522A8FCF" w:rsidR="00844675" w:rsidRDefault="003C3A0E">
          <w:pPr>
            <w:pStyle w:val="TOC2"/>
            <w:rPr>
              <w:rFonts w:asciiTheme="minorHAnsi" w:eastAsiaTheme="minorEastAsia" w:hAnsiTheme="minorHAnsi"/>
              <w:noProof/>
              <w:sz w:val="24"/>
              <w:szCs w:val="24"/>
            </w:rPr>
          </w:pPr>
          <w:hyperlink w:anchor="_Toc200376944" w:history="1">
            <w:r w:rsidR="00844675" w:rsidRPr="00F5198F">
              <w:rPr>
                <w:rStyle w:val="Hyperlink"/>
                <w:noProof/>
              </w:rPr>
              <w:t>7.8</w:t>
            </w:r>
            <w:r w:rsidR="00844675">
              <w:rPr>
                <w:rFonts w:asciiTheme="minorHAnsi" w:eastAsiaTheme="minorEastAsia" w:hAnsiTheme="minorHAnsi"/>
                <w:noProof/>
                <w:sz w:val="24"/>
                <w:szCs w:val="24"/>
              </w:rPr>
              <w:tab/>
            </w:r>
            <w:r w:rsidR="00844675" w:rsidRPr="00F5198F">
              <w:rPr>
                <w:rStyle w:val="Hyperlink"/>
                <w:noProof/>
              </w:rPr>
              <w:t>Payments under the Lease</w:t>
            </w:r>
            <w:r w:rsidR="00844675">
              <w:rPr>
                <w:noProof/>
                <w:webHidden/>
              </w:rPr>
              <w:tab/>
            </w:r>
            <w:r w:rsidR="00844675">
              <w:rPr>
                <w:noProof/>
                <w:webHidden/>
              </w:rPr>
              <w:fldChar w:fldCharType="begin"/>
            </w:r>
            <w:r w:rsidR="00844675">
              <w:rPr>
                <w:noProof/>
                <w:webHidden/>
              </w:rPr>
              <w:instrText xml:space="preserve"> PAGEREF _Toc200376944 \h </w:instrText>
            </w:r>
            <w:r w:rsidR="00844675">
              <w:rPr>
                <w:noProof/>
                <w:webHidden/>
              </w:rPr>
            </w:r>
            <w:r w:rsidR="00844675">
              <w:rPr>
                <w:noProof/>
                <w:webHidden/>
              </w:rPr>
              <w:fldChar w:fldCharType="separate"/>
            </w:r>
            <w:r w:rsidR="00844675">
              <w:rPr>
                <w:noProof/>
                <w:webHidden/>
              </w:rPr>
              <w:t>48</w:t>
            </w:r>
            <w:r w:rsidR="00844675">
              <w:rPr>
                <w:noProof/>
                <w:webHidden/>
              </w:rPr>
              <w:fldChar w:fldCharType="end"/>
            </w:r>
          </w:hyperlink>
        </w:p>
        <w:p w14:paraId="7843B67B" w14:textId="1D211ACA" w:rsidR="00844675" w:rsidRDefault="003C3A0E">
          <w:pPr>
            <w:pStyle w:val="TOC2"/>
            <w:rPr>
              <w:rFonts w:asciiTheme="minorHAnsi" w:eastAsiaTheme="minorEastAsia" w:hAnsiTheme="minorHAnsi"/>
              <w:noProof/>
              <w:sz w:val="24"/>
              <w:szCs w:val="24"/>
            </w:rPr>
          </w:pPr>
          <w:hyperlink w:anchor="_Toc200376945" w:history="1">
            <w:r w:rsidR="00844675" w:rsidRPr="00F5198F">
              <w:rPr>
                <w:rStyle w:val="Hyperlink"/>
                <w:noProof/>
              </w:rPr>
              <w:t>7.9</w:t>
            </w:r>
            <w:r w:rsidR="00844675">
              <w:rPr>
                <w:rFonts w:asciiTheme="minorHAnsi" w:eastAsiaTheme="minorEastAsia" w:hAnsiTheme="minorHAnsi"/>
                <w:noProof/>
                <w:sz w:val="24"/>
                <w:szCs w:val="24"/>
              </w:rPr>
              <w:tab/>
            </w:r>
            <w:r w:rsidR="00844675" w:rsidRPr="00F5198F">
              <w:rPr>
                <w:rStyle w:val="Hyperlink"/>
                <w:noProof/>
              </w:rPr>
              <w:t>Utilities</w:t>
            </w:r>
            <w:r w:rsidR="00844675">
              <w:rPr>
                <w:noProof/>
                <w:webHidden/>
              </w:rPr>
              <w:tab/>
            </w:r>
            <w:r w:rsidR="00844675">
              <w:rPr>
                <w:noProof/>
                <w:webHidden/>
              </w:rPr>
              <w:fldChar w:fldCharType="begin"/>
            </w:r>
            <w:r w:rsidR="00844675">
              <w:rPr>
                <w:noProof/>
                <w:webHidden/>
              </w:rPr>
              <w:instrText xml:space="preserve"> PAGEREF _Toc200376945 \h </w:instrText>
            </w:r>
            <w:r w:rsidR="00844675">
              <w:rPr>
                <w:noProof/>
                <w:webHidden/>
              </w:rPr>
            </w:r>
            <w:r w:rsidR="00844675">
              <w:rPr>
                <w:noProof/>
                <w:webHidden/>
              </w:rPr>
              <w:fldChar w:fldCharType="separate"/>
            </w:r>
            <w:r w:rsidR="00844675">
              <w:rPr>
                <w:noProof/>
                <w:webHidden/>
              </w:rPr>
              <w:t>49</w:t>
            </w:r>
            <w:r w:rsidR="00844675">
              <w:rPr>
                <w:noProof/>
                <w:webHidden/>
              </w:rPr>
              <w:fldChar w:fldCharType="end"/>
            </w:r>
          </w:hyperlink>
        </w:p>
        <w:p w14:paraId="58BC78A7" w14:textId="12FF669C" w:rsidR="00844675" w:rsidRDefault="003C3A0E">
          <w:pPr>
            <w:pStyle w:val="TOC2"/>
            <w:rPr>
              <w:rFonts w:asciiTheme="minorHAnsi" w:eastAsiaTheme="minorEastAsia" w:hAnsiTheme="minorHAnsi"/>
              <w:noProof/>
              <w:sz w:val="24"/>
              <w:szCs w:val="24"/>
            </w:rPr>
          </w:pPr>
          <w:hyperlink w:anchor="_Toc200376946" w:history="1">
            <w:r w:rsidR="00844675" w:rsidRPr="00F5198F">
              <w:rPr>
                <w:rStyle w:val="Hyperlink"/>
                <w:noProof/>
              </w:rPr>
              <w:t>7.10</w:t>
            </w:r>
            <w:r w:rsidR="00844675">
              <w:rPr>
                <w:rFonts w:asciiTheme="minorHAnsi" w:eastAsiaTheme="minorEastAsia" w:hAnsiTheme="minorHAnsi"/>
                <w:noProof/>
                <w:sz w:val="24"/>
                <w:szCs w:val="24"/>
              </w:rPr>
              <w:tab/>
            </w:r>
            <w:r w:rsidR="00844675" w:rsidRPr="00F5198F">
              <w:rPr>
                <w:rStyle w:val="Hyperlink"/>
                <w:noProof/>
              </w:rPr>
              <w:t>Unit Maintenance and Repairs</w:t>
            </w:r>
            <w:r w:rsidR="00844675">
              <w:rPr>
                <w:noProof/>
                <w:webHidden/>
              </w:rPr>
              <w:tab/>
            </w:r>
            <w:r w:rsidR="00844675">
              <w:rPr>
                <w:noProof/>
                <w:webHidden/>
              </w:rPr>
              <w:fldChar w:fldCharType="begin"/>
            </w:r>
            <w:r w:rsidR="00844675">
              <w:rPr>
                <w:noProof/>
                <w:webHidden/>
              </w:rPr>
              <w:instrText xml:space="preserve"> PAGEREF _Toc200376946 \h </w:instrText>
            </w:r>
            <w:r w:rsidR="00844675">
              <w:rPr>
                <w:noProof/>
                <w:webHidden/>
              </w:rPr>
            </w:r>
            <w:r w:rsidR="00844675">
              <w:rPr>
                <w:noProof/>
                <w:webHidden/>
              </w:rPr>
              <w:fldChar w:fldCharType="separate"/>
            </w:r>
            <w:r w:rsidR="00844675">
              <w:rPr>
                <w:noProof/>
                <w:webHidden/>
              </w:rPr>
              <w:t>49</w:t>
            </w:r>
            <w:r w:rsidR="00844675">
              <w:rPr>
                <w:noProof/>
                <w:webHidden/>
              </w:rPr>
              <w:fldChar w:fldCharType="end"/>
            </w:r>
          </w:hyperlink>
        </w:p>
        <w:p w14:paraId="516D9521" w14:textId="6681CBE3" w:rsidR="00844675" w:rsidRDefault="003C3A0E">
          <w:pPr>
            <w:pStyle w:val="TOC2"/>
            <w:rPr>
              <w:rFonts w:asciiTheme="minorHAnsi" w:eastAsiaTheme="minorEastAsia" w:hAnsiTheme="minorHAnsi"/>
              <w:noProof/>
              <w:sz w:val="24"/>
              <w:szCs w:val="24"/>
            </w:rPr>
          </w:pPr>
          <w:hyperlink w:anchor="_Toc200376947" w:history="1">
            <w:r w:rsidR="00844675" w:rsidRPr="00F5198F">
              <w:rPr>
                <w:rStyle w:val="Hyperlink"/>
                <w:noProof/>
              </w:rPr>
              <w:t>7.11</w:t>
            </w:r>
            <w:r w:rsidR="00844675">
              <w:rPr>
                <w:rFonts w:asciiTheme="minorHAnsi" w:eastAsiaTheme="minorEastAsia" w:hAnsiTheme="minorHAnsi"/>
                <w:noProof/>
                <w:sz w:val="24"/>
                <w:szCs w:val="24"/>
              </w:rPr>
              <w:tab/>
            </w:r>
            <w:r w:rsidR="00844675" w:rsidRPr="00F5198F">
              <w:rPr>
                <w:rStyle w:val="Hyperlink"/>
                <w:noProof/>
              </w:rPr>
              <w:t>Smoking</w:t>
            </w:r>
            <w:r w:rsidR="00844675" w:rsidRPr="00F5198F">
              <w:rPr>
                <w:rStyle w:val="Hyperlink"/>
                <w:noProof/>
                <w:spacing w:val="-1"/>
              </w:rPr>
              <w:t xml:space="preserve"> </w:t>
            </w:r>
            <w:r w:rsidR="00844675" w:rsidRPr="00F5198F">
              <w:rPr>
                <w:rStyle w:val="Hyperlink"/>
                <w:noProof/>
              </w:rPr>
              <w:t>Policy</w:t>
            </w:r>
            <w:r w:rsidR="00844675">
              <w:rPr>
                <w:noProof/>
                <w:webHidden/>
              </w:rPr>
              <w:tab/>
            </w:r>
            <w:r w:rsidR="00844675">
              <w:rPr>
                <w:noProof/>
                <w:webHidden/>
              </w:rPr>
              <w:fldChar w:fldCharType="begin"/>
            </w:r>
            <w:r w:rsidR="00844675">
              <w:rPr>
                <w:noProof/>
                <w:webHidden/>
              </w:rPr>
              <w:instrText xml:space="preserve"> PAGEREF _Toc200376947 \h </w:instrText>
            </w:r>
            <w:r w:rsidR="00844675">
              <w:rPr>
                <w:noProof/>
                <w:webHidden/>
              </w:rPr>
            </w:r>
            <w:r w:rsidR="00844675">
              <w:rPr>
                <w:noProof/>
                <w:webHidden/>
              </w:rPr>
              <w:fldChar w:fldCharType="separate"/>
            </w:r>
            <w:r w:rsidR="00844675">
              <w:rPr>
                <w:noProof/>
                <w:webHidden/>
              </w:rPr>
              <w:t>50</w:t>
            </w:r>
            <w:r w:rsidR="00844675">
              <w:rPr>
                <w:noProof/>
                <w:webHidden/>
              </w:rPr>
              <w:fldChar w:fldCharType="end"/>
            </w:r>
          </w:hyperlink>
        </w:p>
        <w:p w14:paraId="73FEF37E" w14:textId="360DF1A9" w:rsidR="00844675" w:rsidRDefault="003C3A0E">
          <w:pPr>
            <w:pStyle w:val="TOC2"/>
            <w:rPr>
              <w:rFonts w:asciiTheme="minorHAnsi" w:eastAsiaTheme="minorEastAsia" w:hAnsiTheme="minorHAnsi"/>
              <w:noProof/>
              <w:sz w:val="24"/>
              <w:szCs w:val="24"/>
            </w:rPr>
          </w:pPr>
          <w:hyperlink w:anchor="_Toc200376948" w:history="1">
            <w:r w:rsidR="00844675" w:rsidRPr="00F5198F">
              <w:rPr>
                <w:rStyle w:val="Hyperlink"/>
                <w:noProof/>
              </w:rPr>
              <w:t>7.12</w:t>
            </w:r>
            <w:r w:rsidR="00844675">
              <w:rPr>
                <w:rFonts w:asciiTheme="minorHAnsi" w:eastAsiaTheme="minorEastAsia" w:hAnsiTheme="minorHAnsi"/>
                <w:noProof/>
                <w:sz w:val="24"/>
                <w:szCs w:val="24"/>
              </w:rPr>
              <w:tab/>
            </w:r>
            <w:r w:rsidR="00844675" w:rsidRPr="00F5198F">
              <w:rPr>
                <w:rStyle w:val="Hyperlink"/>
                <w:noProof/>
              </w:rPr>
              <w:t>NPHOI Lease Requirements</w:t>
            </w:r>
            <w:r w:rsidR="00844675">
              <w:rPr>
                <w:noProof/>
                <w:webHidden/>
              </w:rPr>
              <w:tab/>
            </w:r>
            <w:r w:rsidR="00844675">
              <w:rPr>
                <w:noProof/>
                <w:webHidden/>
              </w:rPr>
              <w:fldChar w:fldCharType="begin"/>
            </w:r>
            <w:r w:rsidR="00844675">
              <w:rPr>
                <w:noProof/>
                <w:webHidden/>
              </w:rPr>
              <w:instrText xml:space="preserve"> PAGEREF _Toc200376948 \h </w:instrText>
            </w:r>
            <w:r w:rsidR="00844675">
              <w:rPr>
                <w:noProof/>
                <w:webHidden/>
              </w:rPr>
            </w:r>
            <w:r w:rsidR="00844675">
              <w:rPr>
                <w:noProof/>
                <w:webHidden/>
              </w:rPr>
              <w:fldChar w:fldCharType="separate"/>
            </w:r>
            <w:r w:rsidR="00844675">
              <w:rPr>
                <w:noProof/>
                <w:webHidden/>
              </w:rPr>
              <w:t>50</w:t>
            </w:r>
            <w:r w:rsidR="00844675">
              <w:rPr>
                <w:noProof/>
                <w:webHidden/>
              </w:rPr>
              <w:fldChar w:fldCharType="end"/>
            </w:r>
          </w:hyperlink>
        </w:p>
        <w:p w14:paraId="16D0272E" w14:textId="2D1FA5DE" w:rsidR="00844675" w:rsidRDefault="003C3A0E" w:rsidP="00AD20A4">
          <w:pPr>
            <w:pStyle w:val="TOC1"/>
            <w:rPr>
              <w:rFonts w:asciiTheme="minorHAnsi" w:eastAsiaTheme="minorEastAsia" w:hAnsiTheme="minorHAnsi"/>
              <w:noProof/>
              <w:color w:val="auto"/>
              <w:szCs w:val="24"/>
            </w:rPr>
          </w:pPr>
          <w:hyperlink w:anchor="_Toc200376949" w:history="1">
            <w:r w:rsidR="00844675" w:rsidRPr="00F5198F">
              <w:rPr>
                <w:rStyle w:val="Hyperlink"/>
                <w:noProof/>
                <w:lang w:bidi="en-US"/>
              </w:rPr>
              <w:t>CHAPTER 8: INSPECTIONS</w:t>
            </w:r>
            <w:r w:rsidR="00844675">
              <w:rPr>
                <w:noProof/>
                <w:webHidden/>
              </w:rPr>
              <w:tab/>
            </w:r>
            <w:r w:rsidR="00844675">
              <w:rPr>
                <w:noProof/>
                <w:webHidden/>
              </w:rPr>
              <w:fldChar w:fldCharType="begin"/>
            </w:r>
            <w:r w:rsidR="00844675">
              <w:rPr>
                <w:noProof/>
                <w:webHidden/>
              </w:rPr>
              <w:instrText xml:space="preserve"> PAGEREF _Toc200376949 \h </w:instrText>
            </w:r>
            <w:r w:rsidR="00844675">
              <w:rPr>
                <w:noProof/>
                <w:webHidden/>
              </w:rPr>
            </w:r>
            <w:r w:rsidR="00844675">
              <w:rPr>
                <w:noProof/>
                <w:webHidden/>
              </w:rPr>
              <w:fldChar w:fldCharType="separate"/>
            </w:r>
            <w:r w:rsidR="00844675">
              <w:rPr>
                <w:noProof/>
                <w:webHidden/>
              </w:rPr>
              <w:t>52</w:t>
            </w:r>
            <w:r w:rsidR="00844675">
              <w:rPr>
                <w:noProof/>
                <w:webHidden/>
              </w:rPr>
              <w:fldChar w:fldCharType="end"/>
            </w:r>
          </w:hyperlink>
        </w:p>
        <w:p w14:paraId="4A7BD3AC" w14:textId="36ED17E1" w:rsidR="00844675" w:rsidRDefault="003C3A0E">
          <w:pPr>
            <w:pStyle w:val="TOC2"/>
            <w:rPr>
              <w:rFonts w:asciiTheme="minorHAnsi" w:eastAsiaTheme="minorEastAsia" w:hAnsiTheme="minorHAnsi"/>
              <w:noProof/>
              <w:sz w:val="24"/>
              <w:szCs w:val="24"/>
            </w:rPr>
          </w:pPr>
          <w:hyperlink w:anchor="_Toc200376950" w:history="1">
            <w:r w:rsidR="00844675" w:rsidRPr="00F5198F">
              <w:rPr>
                <w:rStyle w:val="Hyperlink"/>
                <w:noProof/>
              </w:rPr>
              <w:t>8.1</w:t>
            </w:r>
            <w:r w:rsidR="00844675">
              <w:rPr>
                <w:rFonts w:asciiTheme="minorHAnsi" w:eastAsiaTheme="minorEastAsia" w:hAnsiTheme="minorHAnsi"/>
                <w:noProof/>
                <w:sz w:val="24"/>
                <w:szCs w:val="24"/>
              </w:rPr>
              <w:tab/>
            </w:r>
            <w:r w:rsidR="00844675" w:rsidRPr="00F5198F">
              <w:rPr>
                <w:rStyle w:val="Hyperlink"/>
                <w:noProof/>
              </w:rPr>
              <w:t>Overview</w:t>
            </w:r>
            <w:r w:rsidR="00844675">
              <w:rPr>
                <w:noProof/>
                <w:webHidden/>
              </w:rPr>
              <w:tab/>
            </w:r>
            <w:r w:rsidR="00844675">
              <w:rPr>
                <w:noProof/>
                <w:webHidden/>
              </w:rPr>
              <w:fldChar w:fldCharType="begin"/>
            </w:r>
            <w:r w:rsidR="00844675">
              <w:rPr>
                <w:noProof/>
                <w:webHidden/>
              </w:rPr>
              <w:instrText xml:space="preserve"> PAGEREF _Toc200376950 \h </w:instrText>
            </w:r>
            <w:r w:rsidR="00844675">
              <w:rPr>
                <w:noProof/>
                <w:webHidden/>
              </w:rPr>
            </w:r>
            <w:r w:rsidR="00844675">
              <w:rPr>
                <w:noProof/>
                <w:webHidden/>
              </w:rPr>
              <w:fldChar w:fldCharType="separate"/>
            </w:r>
            <w:r w:rsidR="00844675">
              <w:rPr>
                <w:noProof/>
                <w:webHidden/>
              </w:rPr>
              <w:t>52</w:t>
            </w:r>
            <w:r w:rsidR="00844675">
              <w:rPr>
                <w:noProof/>
                <w:webHidden/>
              </w:rPr>
              <w:fldChar w:fldCharType="end"/>
            </w:r>
          </w:hyperlink>
        </w:p>
        <w:p w14:paraId="0B743DA9" w14:textId="364B8BBC" w:rsidR="00844675" w:rsidRDefault="003C3A0E">
          <w:pPr>
            <w:pStyle w:val="TOC2"/>
            <w:rPr>
              <w:rFonts w:asciiTheme="minorHAnsi" w:eastAsiaTheme="minorEastAsia" w:hAnsiTheme="minorHAnsi"/>
              <w:noProof/>
              <w:sz w:val="24"/>
              <w:szCs w:val="24"/>
            </w:rPr>
          </w:pPr>
          <w:hyperlink w:anchor="_Toc200376951" w:history="1">
            <w:r w:rsidR="00844675" w:rsidRPr="00F5198F">
              <w:rPr>
                <w:rStyle w:val="Hyperlink"/>
                <w:noProof/>
              </w:rPr>
              <w:t>8.2</w:t>
            </w:r>
            <w:r w:rsidR="00844675">
              <w:rPr>
                <w:rFonts w:asciiTheme="minorHAnsi" w:eastAsiaTheme="minorEastAsia" w:hAnsiTheme="minorHAnsi"/>
                <w:noProof/>
                <w:sz w:val="24"/>
                <w:szCs w:val="24"/>
              </w:rPr>
              <w:tab/>
            </w:r>
            <w:r w:rsidR="00844675" w:rsidRPr="00F5198F">
              <w:rPr>
                <w:rStyle w:val="Hyperlink"/>
                <w:noProof/>
              </w:rPr>
              <w:t>Types of Inspections</w:t>
            </w:r>
            <w:r w:rsidR="00844675">
              <w:rPr>
                <w:noProof/>
                <w:webHidden/>
              </w:rPr>
              <w:tab/>
            </w:r>
            <w:r w:rsidR="00844675">
              <w:rPr>
                <w:noProof/>
                <w:webHidden/>
              </w:rPr>
              <w:fldChar w:fldCharType="begin"/>
            </w:r>
            <w:r w:rsidR="00844675">
              <w:rPr>
                <w:noProof/>
                <w:webHidden/>
              </w:rPr>
              <w:instrText xml:space="preserve"> PAGEREF _Toc200376951 \h </w:instrText>
            </w:r>
            <w:r w:rsidR="00844675">
              <w:rPr>
                <w:noProof/>
                <w:webHidden/>
              </w:rPr>
            </w:r>
            <w:r w:rsidR="00844675">
              <w:rPr>
                <w:noProof/>
                <w:webHidden/>
              </w:rPr>
              <w:fldChar w:fldCharType="separate"/>
            </w:r>
            <w:r w:rsidR="00844675">
              <w:rPr>
                <w:noProof/>
                <w:webHidden/>
              </w:rPr>
              <w:t>52</w:t>
            </w:r>
            <w:r w:rsidR="00844675">
              <w:rPr>
                <w:noProof/>
                <w:webHidden/>
              </w:rPr>
              <w:fldChar w:fldCharType="end"/>
            </w:r>
          </w:hyperlink>
        </w:p>
        <w:p w14:paraId="056E3D83" w14:textId="290F00F2" w:rsidR="00844675" w:rsidRDefault="003C3A0E">
          <w:pPr>
            <w:pStyle w:val="TOC2"/>
            <w:rPr>
              <w:rFonts w:asciiTheme="minorHAnsi" w:eastAsiaTheme="minorEastAsia" w:hAnsiTheme="minorHAnsi"/>
              <w:noProof/>
              <w:sz w:val="24"/>
              <w:szCs w:val="24"/>
            </w:rPr>
          </w:pPr>
          <w:hyperlink w:anchor="_Toc200376952" w:history="1">
            <w:r w:rsidR="00844675" w:rsidRPr="00F5198F">
              <w:rPr>
                <w:rStyle w:val="Hyperlink"/>
                <w:noProof/>
              </w:rPr>
              <w:t>8.3</w:t>
            </w:r>
            <w:r w:rsidR="00844675">
              <w:rPr>
                <w:rFonts w:asciiTheme="minorHAnsi" w:eastAsiaTheme="minorEastAsia" w:hAnsiTheme="minorHAnsi"/>
                <w:noProof/>
                <w:sz w:val="24"/>
                <w:szCs w:val="24"/>
              </w:rPr>
              <w:tab/>
            </w:r>
            <w:r w:rsidR="00844675" w:rsidRPr="00F5198F">
              <w:rPr>
                <w:rStyle w:val="Hyperlink"/>
                <w:noProof/>
              </w:rPr>
              <w:t>Scheduling Inspections/Unit Repairs</w:t>
            </w:r>
            <w:r w:rsidR="00844675">
              <w:rPr>
                <w:noProof/>
                <w:webHidden/>
              </w:rPr>
              <w:tab/>
            </w:r>
            <w:r w:rsidR="00844675">
              <w:rPr>
                <w:noProof/>
                <w:webHidden/>
              </w:rPr>
              <w:fldChar w:fldCharType="begin"/>
            </w:r>
            <w:r w:rsidR="00844675">
              <w:rPr>
                <w:noProof/>
                <w:webHidden/>
              </w:rPr>
              <w:instrText xml:space="preserve"> PAGEREF _Toc200376952 \h </w:instrText>
            </w:r>
            <w:r w:rsidR="00844675">
              <w:rPr>
                <w:noProof/>
                <w:webHidden/>
              </w:rPr>
            </w:r>
            <w:r w:rsidR="00844675">
              <w:rPr>
                <w:noProof/>
                <w:webHidden/>
              </w:rPr>
              <w:fldChar w:fldCharType="separate"/>
            </w:r>
            <w:r w:rsidR="00844675">
              <w:rPr>
                <w:noProof/>
                <w:webHidden/>
              </w:rPr>
              <w:t>53</w:t>
            </w:r>
            <w:r w:rsidR="00844675">
              <w:rPr>
                <w:noProof/>
                <w:webHidden/>
              </w:rPr>
              <w:fldChar w:fldCharType="end"/>
            </w:r>
          </w:hyperlink>
        </w:p>
        <w:p w14:paraId="713A7825" w14:textId="117BBBD0" w:rsidR="00844675" w:rsidRDefault="003C3A0E">
          <w:pPr>
            <w:pStyle w:val="TOC2"/>
            <w:rPr>
              <w:rFonts w:asciiTheme="minorHAnsi" w:eastAsiaTheme="minorEastAsia" w:hAnsiTheme="minorHAnsi"/>
              <w:noProof/>
              <w:sz w:val="24"/>
              <w:szCs w:val="24"/>
            </w:rPr>
          </w:pPr>
          <w:hyperlink w:anchor="_Toc200376953" w:history="1">
            <w:r w:rsidR="00844675" w:rsidRPr="00F5198F">
              <w:rPr>
                <w:rStyle w:val="Hyperlink"/>
                <w:noProof/>
              </w:rPr>
              <w:t>8.4</w:t>
            </w:r>
            <w:r w:rsidR="00844675">
              <w:rPr>
                <w:rFonts w:asciiTheme="minorHAnsi" w:eastAsiaTheme="minorEastAsia" w:hAnsiTheme="minorHAnsi"/>
                <w:noProof/>
                <w:sz w:val="24"/>
                <w:szCs w:val="24"/>
              </w:rPr>
              <w:tab/>
            </w:r>
            <w:r w:rsidR="00844675" w:rsidRPr="00F5198F">
              <w:rPr>
                <w:rStyle w:val="Hyperlink"/>
                <w:noProof/>
              </w:rPr>
              <w:t>Notice of Entry</w:t>
            </w:r>
            <w:r w:rsidR="00844675">
              <w:rPr>
                <w:noProof/>
                <w:webHidden/>
              </w:rPr>
              <w:tab/>
            </w:r>
            <w:r w:rsidR="00844675">
              <w:rPr>
                <w:noProof/>
                <w:webHidden/>
              </w:rPr>
              <w:fldChar w:fldCharType="begin"/>
            </w:r>
            <w:r w:rsidR="00844675">
              <w:rPr>
                <w:noProof/>
                <w:webHidden/>
              </w:rPr>
              <w:instrText xml:space="preserve"> PAGEREF _Toc200376953 \h </w:instrText>
            </w:r>
            <w:r w:rsidR="00844675">
              <w:rPr>
                <w:noProof/>
                <w:webHidden/>
              </w:rPr>
            </w:r>
            <w:r w:rsidR="00844675">
              <w:rPr>
                <w:noProof/>
                <w:webHidden/>
              </w:rPr>
              <w:fldChar w:fldCharType="separate"/>
            </w:r>
            <w:r w:rsidR="00844675">
              <w:rPr>
                <w:noProof/>
                <w:webHidden/>
              </w:rPr>
              <w:t>53</w:t>
            </w:r>
            <w:r w:rsidR="00844675">
              <w:rPr>
                <w:noProof/>
                <w:webHidden/>
              </w:rPr>
              <w:fldChar w:fldCharType="end"/>
            </w:r>
          </w:hyperlink>
        </w:p>
        <w:p w14:paraId="6B200E10" w14:textId="157B253D" w:rsidR="00844675" w:rsidRDefault="003C3A0E">
          <w:pPr>
            <w:pStyle w:val="TOC2"/>
            <w:rPr>
              <w:rFonts w:asciiTheme="minorHAnsi" w:eastAsiaTheme="minorEastAsia" w:hAnsiTheme="minorHAnsi"/>
              <w:noProof/>
              <w:sz w:val="24"/>
              <w:szCs w:val="24"/>
            </w:rPr>
          </w:pPr>
          <w:hyperlink w:anchor="_Toc200376954" w:history="1">
            <w:r w:rsidR="00844675" w:rsidRPr="00F5198F">
              <w:rPr>
                <w:rStyle w:val="Hyperlink"/>
                <w:noProof/>
              </w:rPr>
              <w:t>8.5</w:t>
            </w:r>
            <w:r w:rsidR="00844675">
              <w:rPr>
                <w:rFonts w:asciiTheme="minorHAnsi" w:eastAsiaTheme="minorEastAsia" w:hAnsiTheme="minorHAnsi"/>
                <w:noProof/>
                <w:sz w:val="24"/>
                <w:szCs w:val="24"/>
              </w:rPr>
              <w:tab/>
            </w:r>
            <w:r w:rsidR="00844675" w:rsidRPr="00F5198F">
              <w:rPr>
                <w:rStyle w:val="Hyperlink"/>
                <w:noProof/>
              </w:rPr>
              <w:t>Repairs</w:t>
            </w:r>
            <w:r w:rsidR="00844675">
              <w:rPr>
                <w:noProof/>
                <w:webHidden/>
              </w:rPr>
              <w:tab/>
            </w:r>
            <w:r w:rsidR="00844675">
              <w:rPr>
                <w:noProof/>
                <w:webHidden/>
              </w:rPr>
              <w:fldChar w:fldCharType="begin"/>
            </w:r>
            <w:r w:rsidR="00844675">
              <w:rPr>
                <w:noProof/>
                <w:webHidden/>
              </w:rPr>
              <w:instrText xml:space="preserve"> PAGEREF _Toc200376954 \h </w:instrText>
            </w:r>
            <w:r w:rsidR="00844675">
              <w:rPr>
                <w:noProof/>
                <w:webHidden/>
              </w:rPr>
            </w:r>
            <w:r w:rsidR="00844675">
              <w:rPr>
                <w:noProof/>
                <w:webHidden/>
              </w:rPr>
              <w:fldChar w:fldCharType="separate"/>
            </w:r>
            <w:r w:rsidR="00844675">
              <w:rPr>
                <w:noProof/>
                <w:webHidden/>
              </w:rPr>
              <w:t>54</w:t>
            </w:r>
            <w:r w:rsidR="00844675">
              <w:rPr>
                <w:noProof/>
                <w:webHidden/>
              </w:rPr>
              <w:fldChar w:fldCharType="end"/>
            </w:r>
          </w:hyperlink>
        </w:p>
        <w:p w14:paraId="47C867EF" w14:textId="148C150B" w:rsidR="00844675" w:rsidRDefault="003C3A0E">
          <w:pPr>
            <w:pStyle w:val="TOC2"/>
            <w:rPr>
              <w:rFonts w:asciiTheme="minorHAnsi" w:eastAsiaTheme="minorEastAsia" w:hAnsiTheme="minorHAnsi"/>
              <w:noProof/>
              <w:sz w:val="24"/>
              <w:szCs w:val="24"/>
            </w:rPr>
          </w:pPr>
          <w:hyperlink w:anchor="_Toc200376955" w:history="1">
            <w:r w:rsidR="00844675" w:rsidRPr="00F5198F">
              <w:rPr>
                <w:rStyle w:val="Hyperlink"/>
                <w:noProof/>
              </w:rPr>
              <w:t>8.6</w:t>
            </w:r>
            <w:r w:rsidR="00844675">
              <w:rPr>
                <w:rFonts w:asciiTheme="minorHAnsi" w:eastAsiaTheme="minorEastAsia" w:hAnsiTheme="minorHAnsi"/>
                <w:noProof/>
                <w:sz w:val="24"/>
                <w:szCs w:val="24"/>
              </w:rPr>
              <w:tab/>
            </w:r>
            <w:r w:rsidR="00844675" w:rsidRPr="00F5198F">
              <w:rPr>
                <w:rStyle w:val="Hyperlink"/>
                <w:noProof/>
              </w:rPr>
              <w:t>Tenant-Caused Damages</w:t>
            </w:r>
            <w:r w:rsidR="00844675">
              <w:rPr>
                <w:noProof/>
                <w:webHidden/>
              </w:rPr>
              <w:tab/>
            </w:r>
            <w:r w:rsidR="00844675">
              <w:rPr>
                <w:noProof/>
                <w:webHidden/>
              </w:rPr>
              <w:fldChar w:fldCharType="begin"/>
            </w:r>
            <w:r w:rsidR="00844675">
              <w:rPr>
                <w:noProof/>
                <w:webHidden/>
              </w:rPr>
              <w:instrText xml:space="preserve"> PAGEREF _Toc200376955 \h </w:instrText>
            </w:r>
            <w:r w:rsidR="00844675">
              <w:rPr>
                <w:noProof/>
                <w:webHidden/>
              </w:rPr>
            </w:r>
            <w:r w:rsidR="00844675">
              <w:rPr>
                <w:noProof/>
                <w:webHidden/>
              </w:rPr>
              <w:fldChar w:fldCharType="separate"/>
            </w:r>
            <w:r w:rsidR="00844675">
              <w:rPr>
                <w:noProof/>
                <w:webHidden/>
              </w:rPr>
              <w:t>55</w:t>
            </w:r>
            <w:r w:rsidR="00844675">
              <w:rPr>
                <w:noProof/>
                <w:webHidden/>
              </w:rPr>
              <w:fldChar w:fldCharType="end"/>
            </w:r>
          </w:hyperlink>
        </w:p>
        <w:p w14:paraId="6E4819DB" w14:textId="49FA3AC4" w:rsidR="00844675" w:rsidRDefault="003C3A0E">
          <w:pPr>
            <w:pStyle w:val="TOC2"/>
            <w:rPr>
              <w:rFonts w:asciiTheme="minorHAnsi" w:eastAsiaTheme="minorEastAsia" w:hAnsiTheme="minorHAnsi"/>
              <w:noProof/>
              <w:sz w:val="24"/>
              <w:szCs w:val="24"/>
            </w:rPr>
          </w:pPr>
          <w:hyperlink w:anchor="_Toc200376956" w:history="1">
            <w:r w:rsidR="00844675" w:rsidRPr="00F5198F">
              <w:rPr>
                <w:rStyle w:val="Hyperlink"/>
                <w:noProof/>
              </w:rPr>
              <w:t>8.7</w:t>
            </w:r>
            <w:r w:rsidR="00844675">
              <w:rPr>
                <w:rFonts w:asciiTheme="minorHAnsi" w:eastAsiaTheme="minorEastAsia" w:hAnsiTheme="minorHAnsi"/>
                <w:noProof/>
                <w:sz w:val="24"/>
                <w:szCs w:val="24"/>
              </w:rPr>
              <w:tab/>
            </w:r>
            <w:r w:rsidR="00844675" w:rsidRPr="00F5198F">
              <w:rPr>
                <w:rStyle w:val="Hyperlink"/>
                <w:noProof/>
              </w:rPr>
              <w:t>Housekeeping</w:t>
            </w:r>
            <w:r w:rsidR="00844675">
              <w:rPr>
                <w:noProof/>
                <w:webHidden/>
              </w:rPr>
              <w:tab/>
            </w:r>
            <w:r w:rsidR="00844675">
              <w:rPr>
                <w:noProof/>
                <w:webHidden/>
              </w:rPr>
              <w:fldChar w:fldCharType="begin"/>
            </w:r>
            <w:r w:rsidR="00844675">
              <w:rPr>
                <w:noProof/>
                <w:webHidden/>
              </w:rPr>
              <w:instrText xml:space="preserve"> PAGEREF _Toc200376956 \h </w:instrText>
            </w:r>
            <w:r w:rsidR="00844675">
              <w:rPr>
                <w:noProof/>
                <w:webHidden/>
              </w:rPr>
            </w:r>
            <w:r w:rsidR="00844675">
              <w:rPr>
                <w:noProof/>
                <w:webHidden/>
              </w:rPr>
              <w:fldChar w:fldCharType="separate"/>
            </w:r>
            <w:r w:rsidR="00844675">
              <w:rPr>
                <w:noProof/>
                <w:webHidden/>
              </w:rPr>
              <w:t>55</w:t>
            </w:r>
            <w:r w:rsidR="00844675">
              <w:rPr>
                <w:noProof/>
                <w:webHidden/>
              </w:rPr>
              <w:fldChar w:fldCharType="end"/>
            </w:r>
          </w:hyperlink>
        </w:p>
        <w:p w14:paraId="5F14E530" w14:textId="55F0F8FF" w:rsidR="00844675" w:rsidRDefault="003C3A0E">
          <w:pPr>
            <w:pStyle w:val="TOC2"/>
            <w:rPr>
              <w:rFonts w:asciiTheme="minorHAnsi" w:eastAsiaTheme="minorEastAsia" w:hAnsiTheme="minorHAnsi"/>
              <w:noProof/>
              <w:sz w:val="24"/>
              <w:szCs w:val="24"/>
            </w:rPr>
          </w:pPr>
          <w:hyperlink w:anchor="_Toc200376957" w:history="1">
            <w:r w:rsidR="00844675" w:rsidRPr="00F5198F">
              <w:rPr>
                <w:rStyle w:val="Hyperlink"/>
                <w:noProof/>
              </w:rPr>
              <w:t>8.8</w:t>
            </w:r>
            <w:r w:rsidR="00844675">
              <w:rPr>
                <w:rFonts w:asciiTheme="minorHAnsi" w:eastAsiaTheme="minorEastAsia" w:hAnsiTheme="minorHAnsi"/>
                <w:noProof/>
                <w:sz w:val="24"/>
                <w:szCs w:val="24"/>
              </w:rPr>
              <w:tab/>
            </w:r>
            <w:r w:rsidR="00844675" w:rsidRPr="00F5198F">
              <w:rPr>
                <w:rStyle w:val="Hyperlink"/>
                <w:noProof/>
              </w:rPr>
              <w:t>Smoke Detectors</w:t>
            </w:r>
            <w:r w:rsidR="00844675">
              <w:rPr>
                <w:noProof/>
                <w:webHidden/>
              </w:rPr>
              <w:tab/>
            </w:r>
            <w:r w:rsidR="00844675">
              <w:rPr>
                <w:noProof/>
                <w:webHidden/>
              </w:rPr>
              <w:fldChar w:fldCharType="begin"/>
            </w:r>
            <w:r w:rsidR="00844675">
              <w:rPr>
                <w:noProof/>
                <w:webHidden/>
              </w:rPr>
              <w:instrText xml:space="preserve"> PAGEREF _Toc200376957 \h </w:instrText>
            </w:r>
            <w:r w:rsidR="00844675">
              <w:rPr>
                <w:noProof/>
                <w:webHidden/>
              </w:rPr>
            </w:r>
            <w:r w:rsidR="00844675">
              <w:rPr>
                <w:noProof/>
                <w:webHidden/>
              </w:rPr>
              <w:fldChar w:fldCharType="separate"/>
            </w:r>
            <w:r w:rsidR="00844675">
              <w:rPr>
                <w:noProof/>
                <w:webHidden/>
              </w:rPr>
              <w:t>55</w:t>
            </w:r>
            <w:r w:rsidR="00844675">
              <w:rPr>
                <w:noProof/>
                <w:webHidden/>
              </w:rPr>
              <w:fldChar w:fldCharType="end"/>
            </w:r>
          </w:hyperlink>
        </w:p>
        <w:p w14:paraId="3FA93B61" w14:textId="79E3A729" w:rsidR="00844675" w:rsidRDefault="003C3A0E">
          <w:pPr>
            <w:pStyle w:val="TOC2"/>
            <w:rPr>
              <w:rFonts w:asciiTheme="minorHAnsi" w:eastAsiaTheme="minorEastAsia" w:hAnsiTheme="minorHAnsi"/>
              <w:noProof/>
              <w:sz w:val="24"/>
              <w:szCs w:val="24"/>
            </w:rPr>
          </w:pPr>
          <w:hyperlink w:anchor="_Toc200376958" w:history="1">
            <w:r w:rsidR="00844675" w:rsidRPr="00F5198F">
              <w:rPr>
                <w:rStyle w:val="Hyperlink"/>
                <w:noProof/>
              </w:rPr>
              <w:t>8.9</w:t>
            </w:r>
            <w:r w:rsidR="00844675">
              <w:rPr>
                <w:rFonts w:asciiTheme="minorHAnsi" w:eastAsiaTheme="minorEastAsia" w:hAnsiTheme="minorHAnsi"/>
                <w:noProof/>
                <w:sz w:val="24"/>
                <w:szCs w:val="24"/>
              </w:rPr>
              <w:tab/>
            </w:r>
            <w:r w:rsidR="00844675" w:rsidRPr="00F5198F">
              <w:rPr>
                <w:rStyle w:val="Hyperlink"/>
                <w:noProof/>
              </w:rPr>
              <w:t>NSPIRE Inspections</w:t>
            </w:r>
            <w:r w:rsidR="00844675">
              <w:rPr>
                <w:noProof/>
                <w:webHidden/>
              </w:rPr>
              <w:tab/>
            </w:r>
            <w:r w:rsidR="00844675">
              <w:rPr>
                <w:noProof/>
                <w:webHidden/>
              </w:rPr>
              <w:fldChar w:fldCharType="begin"/>
            </w:r>
            <w:r w:rsidR="00844675">
              <w:rPr>
                <w:noProof/>
                <w:webHidden/>
              </w:rPr>
              <w:instrText xml:space="preserve"> PAGEREF _Toc200376958 \h </w:instrText>
            </w:r>
            <w:r w:rsidR="00844675">
              <w:rPr>
                <w:noProof/>
                <w:webHidden/>
              </w:rPr>
            </w:r>
            <w:r w:rsidR="00844675">
              <w:rPr>
                <w:noProof/>
                <w:webHidden/>
              </w:rPr>
              <w:fldChar w:fldCharType="separate"/>
            </w:r>
            <w:r w:rsidR="00844675">
              <w:rPr>
                <w:noProof/>
                <w:webHidden/>
              </w:rPr>
              <w:t>55</w:t>
            </w:r>
            <w:r w:rsidR="00844675">
              <w:rPr>
                <w:noProof/>
                <w:webHidden/>
              </w:rPr>
              <w:fldChar w:fldCharType="end"/>
            </w:r>
          </w:hyperlink>
        </w:p>
        <w:p w14:paraId="5A57C304" w14:textId="292FCDF3" w:rsidR="00844675" w:rsidRDefault="003C3A0E">
          <w:pPr>
            <w:pStyle w:val="TOC2"/>
            <w:rPr>
              <w:rFonts w:asciiTheme="minorHAnsi" w:eastAsiaTheme="minorEastAsia" w:hAnsiTheme="minorHAnsi"/>
              <w:noProof/>
              <w:sz w:val="24"/>
              <w:szCs w:val="24"/>
            </w:rPr>
          </w:pPr>
          <w:hyperlink w:anchor="_Toc200376959" w:history="1">
            <w:r w:rsidR="00844675" w:rsidRPr="00F5198F">
              <w:rPr>
                <w:rStyle w:val="Hyperlink"/>
                <w:noProof/>
              </w:rPr>
              <w:t>8.10</w:t>
            </w:r>
            <w:r w:rsidR="00844675">
              <w:rPr>
                <w:rFonts w:asciiTheme="minorHAnsi" w:eastAsiaTheme="minorEastAsia" w:hAnsiTheme="minorHAnsi"/>
                <w:noProof/>
                <w:sz w:val="24"/>
                <w:szCs w:val="24"/>
              </w:rPr>
              <w:tab/>
            </w:r>
            <w:r w:rsidR="00844675" w:rsidRPr="00F5198F">
              <w:rPr>
                <w:rStyle w:val="Hyperlink"/>
                <w:noProof/>
              </w:rPr>
              <w:t>Reporting Requirements for Children with Elevated Blood Lead Level</w:t>
            </w:r>
            <w:r w:rsidR="00844675">
              <w:rPr>
                <w:noProof/>
                <w:webHidden/>
              </w:rPr>
              <w:tab/>
            </w:r>
            <w:r w:rsidR="00844675">
              <w:rPr>
                <w:noProof/>
                <w:webHidden/>
              </w:rPr>
              <w:fldChar w:fldCharType="begin"/>
            </w:r>
            <w:r w:rsidR="00844675">
              <w:rPr>
                <w:noProof/>
                <w:webHidden/>
              </w:rPr>
              <w:instrText xml:space="preserve"> PAGEREF _Toc200376959 \h </w:instrText>
            </w:r>
            <w:r w:rsidR="00844675">
              <w:rPr>
                <w:noProof/>
                <w:webHidden/>
              </w:rPr>
            </w:r>
            <w:r w:rsidR="00844675">
              <w:rPr>
                <w:noProof/>
                <w:webHidden/>
              </w:rPr>
              <w:fldChar w:fldCharType="separate"/>
            </w:r>
            <w:r w:rsidR="00844675">
              <w:rPr>
                <w:noProof/>
                <w:webHidden/>
              </w:rPr>
              <w:t>56</w:t>
            </w:r>
            <w:r w:rsidR="00844675">
              <w:rPr>
                <w:noProof/>
                <w:webHidden/>
              </w:rPr>
              <w:fldChar w:fldCharType="end"/>
            </w:r>
          </w:hyperlink>
        </w:p>
        <w:p w14:paraId="73E154EE" w14:textId="5CFBFB95" w:rsidR="00844675" w:rsidRDefault="003C3A0E" w:rsidP="00AD20A4">
          <w:pPr>
            <w:pStyle w:val="TOC1"/>
            <w:rPr>
              <w:rFonts w:asciiTheme="minorHAnsi" w:eastAsiaTheme="minorEastAsia" w:hAnsiTheme="minorHAnsi"/>
              <w:noProof/>
              <w:color w:val="auto"/>
              <w:szCs w:val="24"/>
            </w:rPr>
          </w:pPr>
          <w:hyperlink w:anchor="_Toc200376960" w:history="1">
            <w:r w:rsidR="00844675" w:rsidRPr="00F5198F">
              <w:rPr>
                <w:rStyle w:val="Hyperlink"/>
                <w:noProof/>
                <w:lang w:bidi="en-US"/>
              </w:rPr>
              <w:t>CHAPTER 9: VERIFICATION</w:t>
            </w:r>
            <w:r w:rsidR="00844675">
              <w:rPr>
                <w:noProof/>
                <w:webHidden/>
              </w:rPr>
              <w:tab/>
            </w:r>
            <w:r w:rsidR="00844675">
              <w:rPr>
                <w:noProof/>
                <w:webHidden/>
              </w:rPr>
              <w:fldChar w:fldCharType="begin"/>
            </w:r>
            <w:r w:rsidR="00844675">
              <w:rPr>
                <w:noProof/>
                <w:webHidden/>
              </w:rPr>
              <w:instrText xml:space="preserve"> PAGEREF _Toc200376960 \h </w:instrText>
            </w:r>
            <w:r w:rsidR="00844675">
              <w:rPr>
                <w:noProof/>
                <w:webHidden/>
              </w:rPr>
            </w:r>
            <w:r w:rsidR="00844675">
              <w:rPr>
                <w:noProof/>
                <w:webHidden/>
              </w:rPr>
              <w:fldChar w:fldCharType="separate"/>
            </w:r>
            <w:r w:rsidR="00844675">
              <w:rPr>
                <w:noProof/>
                <w:webHidden/>
              </w:rPr>
              <w:t>57</w:t>
            </w:r>
            <w:r w:rsidR="00844675">
              <w:rPr>
                <w:noProof/>
                <w:webHidden/>
              </w:rPr>
              <w:fldChar w:fldCharType="end"/>
            </w:r>
          </w:hyperlink>
        </w:p>
        <w:p w14:paraId="26841E8E" w14:textId="002FF7DD" w:rsidR="00844675" w:rsidRDefault="003C3A0E">
          <w:pPr>
            <w:pStyle w:val="TOC2"/>
            <w:rPr>
              <w:rFonts w:asciiTheme="minorHAnsi" w:eastAsiaTheme="minorEastAsia" w:hAnsiTheme="minorHAnsi"/>
              <w:noProof/>
              <w:sz w:val="24"/>
              <w:szCs w:val="24"/>
            </w:rPr>
          </w:pPr>
          <w:hyperlink w:anchor="_Toc200376961" w:history="1">
            <w:r w:rsidR="00844675" w:rsidRPr="00F5198F">
              <w:rPr>
                <w:rStyle w:val="Hyperlink"/>
                <w:noProof/>
              </w:rPr>
              <w:t>9.1</w:t>
            </w:r>
            <w:r w:rsidR="00844675">
              <w:rPr>
                <w:rFonts w:asciiTheme="minorHAnsi" w:eastAsiaTheme="minorEastAsia" w:hAnsiTheme="minorHAnsi"/>
                <w:noProof/>
                <w:sz w:val="24"/>
                <w:szCs w:val="24"/>
              </w:rPr>
              <w:tab/>
            </w:r>
            <w:r w:rsidR="00844675" w:rsidRPr="00F5198F">
              <w:rPr>
                <w:rStyle w:val="Hyperlink"/>
                <w:noProof/>
              </w:rPr>
              <w:t>Overview</w:t>
            </w:r>
            <w:r w:rsidR="00844675">
              <w:rPr>
                <w:noProof/>
                <w:webHidden/>
              </w:rPr>
              <w:tab/>
            </w:r>
            <w:r w:rsidR="00844675">
              <w:rPr>
                <w:noProof/>
                <w:webHidden/>
              </w:rPr>
              <w:fldChar w:fldCharType="begin"/>
            </w:r>
            <w:r w:rsidR="00844675">
              <w:rPr>
                <w:noProof/>
                <w:webHidden/>
              </w:rPr>
              <w:instrText xml:space="preserve"> PAGEREF _Toc200376961 \h </w:instrText>
            </w:r>
            <w:r w:rsidR="00844675">
              <w:rPr>
                <w:noProof/>
                <w:webHidden/>
              </w:rPr>
            </w:r>
            <w:r w:rsidR="00844675">
              <w:rPr>
                <w:noProof/>
                <w:webHidden/>
              </w:rPr>
              <w:fldChar w:fldCharType="separate"/>
            </w:r>
            <w:r w:rsidR="00844675">
              <w:rPr>
                <w:noProof/>
                <w:webHidden/>
              </w:rPr>
              <w:t>57</w:t>
            </w:r>
            <w:r w:rsidR="00844675">
              <w:rPr>
                <w:noProof/>
                <w:webHidden/>
              </w:rPr>
              <w:fldChar w:fldCharType="end"/>
            </w:r>
          </w:hyperlink>
        </w:p>
        <w:p w14:paraId="3594FD3C" w14:textId="1E8E5563" w:rsidR="00844675" w:rsidRDefault="003C3A0E">
          <w:pPr>
            <w:pStyle w:val="TOC2"/>
            <w:rPr>
              <w:rFonts w:asciiTheme="minorHAnsi" w:eastAsiaTheme="minorEastAsia" w:hAnsiTheme="minorHAnsi"/>
              <w:noProof/>
              <w:sz w:val="24"/>
              <w:szCs w:val="24"/>
            </w:rPr>
          </w:pPr>
          <w:hyperlink w:anchor="_Toc200376962" w:history="1">
            <w:r w:rsidR="00844675" w:rsidRPr="00F5198F">
              <w:rPr>
                <w:rStyle w:val="Hyperlink"/>
                <w:noProof/>
              </w:rPr>
              <w:t>9.2</w:t>
            </w:r>
            <w:r w:rsidR="00844675">
              <w:rPr>
                <w:rFonts w:asciiTheme="minorHAnsi" w:eastAsiaTheme="minorEastAsia" w:hAnsiTheme="minorHAnsi"/>
                <w:noProof/>
                <w:sz w:val="24"/>
                <w:szCs w:val="24"/>
              </w:rPr>
              <w:tab/>
            </w:r>
            <w:r w:rsidR="00844675" w:rsidRPr="00F5198F">
              <w:rPr>
                <w:rStyle w:val="Hyperlink"/>
                <w:noProof/>
              </w:rPr>
              <w:t>Family Consent to Release of Information</w:t>
            </w:r>
            <w:r w:rsidR="00844675">
              <w:rPr>
                <w:noProof/>
                <w:webHidden/>
              </w:rPr>
              <w:tab/>
            </w:r>
            <w:r w:rsidR="00844675">
              <w:rPr>
                <w:noProof/>
                <w:webHidden/>
              </w:rPr>
              <w:fldChar w:fldCharType="begin"/>
            </w:r>
            <w:r w:rsidR="00844675">
              <w:rPr>
                <w:noProof/>
                <w:webHidden/>
              </w:rPr>
              <w:instrText xml:space="preserve"> PAGEREF _Toc200376962 \h </w:instrText>
            </w:r>
            <w:r w:rsidR="00844675">
              <w:rPr>
                <w:noProof/>
                <w:webHidden/>
              </w:rPr>
            </w:r>
            <w:r w:rsidR="00844675">
              <w:rPr>
                <w:noProof/>
                <w:webHidden/>
              </w:rPr>
              <w:fldChar w:fldCharType="separate"/>
            </w:r>
            <w:r w:rsidR="00844675">
              <w:rPr>
                <w:noProof/>
                <w:webHidden/>
              </w:rPr>
              <w:t>57</w:t>
            </w:r>
            <w:r w:rsidR="00844675">
              <w:rPr>
                <w:noProof/>
                <w:webHidden/>
              </w:rPr>
              <w:fldChar w:fldCharType="end"/>
            </w:r>
          </w:hyperlink>
        </w:p>
        <w:p w14:paraId="2FC3C3DC" w14:textId="0C153343" w:rsidR="00844675" w:rsidRDefault="003C3A0E">
          <w:pPr>
            <w:pStyle w:val="TOC2"/>
            <w:rPr>
              <w:rFonts w:asciiTheme="minorHAnsi" w:eastAsiaTheme="minorEastAsia" w:hAnsiTheme="minorHAnsi"/>
              <w:noProof/>
              <w:sz w:val="24"/>
              <w:szCs w:val="24"/>
            </w:rPr>
          </w:pPr>
          <w:hyperlink w:anchor="_Toc200376963" w:history="1">
            <w:r w:rsidR="00844675" w:rsidRPr="00F5198F">
              <w:rPr>
                <w:rStyle w:val="Hyperlink"/>
                <w:noProof/>
              </w:rPr>
              <w:t>9.3</w:t>
            </w:r>
            <w:r w:rsidR="00844675">
              <w:rPr>
                <w:rFonts w:asciiTheme="minorHAnsi" w:eastAsiaTheme="minorEastAsia" w:hAnsiTheme="minorHAnsi"/>
                <w:noProof/>
                <w:sz w:val="24"/>
                <w:szCs w:val="24"/>
              </w:rPr>
              <w:tab/>
            </w:r>
            <w:r w:rsidR="00844675" w:rsidRPr="00F5198F">
              <w:rPr>
                <w:rStyle w:val="Hyperlink"/>
                <w:noProof/>
              </w:rPr>
              <w:t>Use of Other Programs’ Income Determinations</w:t>
            </w:r>
            <w:r w:rsidR="00844675">
              <w:rPr>
                <w:noProof/>
                <w:webHidden/>
              </w:rPr>
              <w:tab/>
            </w:r>
            <w:r w:rsidR="00844675">
              <w:rPr>
                <w:noProof/>
                <w:webHidden/>
              </w:rPr>
              <w:fldChar w:fldCharType="begin"/>
            </w:r>
            <w:r w:rsidR="00844675">
              <w:rPr>
                <w:noProof/>
                <w:webHidden/>
              </w:rPr>
              <w:instrText xml:space="preserve"> PAGEREF _Toc200376963 \h </w:instrText>
            </w:r>
            <w:r w:rsidR="00844675">
              <w:rPr>
                <w:noProof/>
                <w:webHidden/>
              </w:rPr>
            </w:r>
            <w:r w:rsidR="00844675">
              <w:rPr>
                <w:noProof/>
                <w:webHidden/>
              </w:rPr>
              <w:fldChar w:fldCharType="separate"/>
            </w:r>
            <w:r w:rsidR="00844675">
              <w:rPr>
                <w:noProof/>
                <w:webHidden/>
              </w:rPr>
              <w:t>58</w:t>
            </w:r>
            <w:r w:rsidR="00844675">
              <w:rPr>
                <w:noProof/>
                <w:webHidden/>
              </w:rPr>
              <w:fldChar w:fldCharType="end"/>
            </w:r>
          </w:hyperlink>
        </w:p>
        <w:p w14:paraId="043D9954" w14:textId="0607923A" w:rsidR="00844675" w:rsidRDefault="003C3A0E">
          <w:pPr>
            <w:pStyle w:val="TOC2"/>
            <w:rPr>
              <w:rFonts w:asciiTheme="minorHAnsi" w:eastAsiaTheme="minorEastAsia" w:hAnsiTheme="minorHAnsi"/>
              <w:noProof/>
              <w:sz w:val="24"/>
              <w:szCs w:val="24"/>
            </w:rPr>
          </w:pPr>
          <w:hyperlink w:anchor="_Toc200376964" w:history="1">
            <w:r w:rsidR="00844675" w:rsidRPr="00F5198F">
              <w:rPr>
                <w:rStyle w:val="Hyperlink"/>
                <w:noProof/>
              </w:rPr>
              <w:t>9.4</w:t>
            </w:r>
            <w:r w:rsidR="00844675">
              <w:rPr>
                <w:rFonts w:asciiTheme="minorHAnsi" w:eastAsiaTheme="minorEastAsia" w:hAnsiTheme="minorHAnsi"/>
                <w:noProof/>
                <w:sz w:val="24"/>
                <w:szCs w:val="24"/>
              </w:rPr>
              <w:tab/>
            </w:r>
            <w:r w:rsidR="00844675" w:rsidRPr="00F5198F">
              <w:rPr>
                <w:rStyle w:val="Hyperlink"/>
                <w:noProof/>
              </w:rPr>
              <w:t>Verification Hierarchy</w:t>
            </w:r>
            <w:r w:rsidR="00844675">
              <w:rPr>
                <w:noProof/>
                <w:webHidden/>
              </w:rPr>
              <w:tab/>
            </w:r>
            <w:r w:rsidR="00844675">
              <w:rPr>
                <w:noProof/>
                <w:webHidden/>
              </w:rPr>
              <w:fldChar w:fldCharType="begin"/>
            </w:r>
            <w:r w:rsidR="00844675">
              <w:rPr>
                <w:noProof/>
                <w:webHidden/>
              </w:rPr>
              <w:instrText xml:space="preserve"> PAGEREF _Toc200376964 \h </w:instrText>
            </w:r>
            <w:r w:rsidR="00844675">
              <w:rPr>
                <w:noProof/>
                <w:webHidden/>
              </w:rPr>
            </w:r>
            <w:r w:rsidR="00844675">
              <w:rPr>
                <w:noProof/>
                <w:webHidden/>
              </w:rPr>
              <w:fldChar w:fldCharType="separate"/>
            </w:r>
            <w:r w:rsidR="00844675">
              <w:rPr>
                <w:noProof/>
                <w:webHidden/>
              </w:rPr>
              <w:t>59</w:t>
            </w:r>
            <w:r w:rsidR="00844675">
              <w:rPr>
                <w:noProof/>
                <w:webHidden/>
              </w:rPr>
              <w:fldChar w:fldCharType="end"/>
            </w:r>
          </w:hyperlink>
        </w:p>
        <w:p w14:paraId="4A2FED27" w14:textId="5F276648" w:rsidR="00844675" w:rsidRDefault="003C3A0E">
          <w:pPr>
            <w:pStyle w:val="TOC2"/>
            <w:rPr>
              <w:rFonts w:asciiTheme="minorHAnsi" w:eastAsiaTheme="minorEastAsia" w:hAnsiTheme="minorHAnsi"/>
              <w:noProof/>
              <w:sz w:val="24"/>
              <w:szCs w:val="24"/>
            </w:rPr>
          </w:pPr>
          <w:hyperlink w:anchor="_Toc200376965" w:history="1">
            <w:r w:rsidR="00844675" w:rsidRPr="00F5198F">
              <w:rPr>
                <w:rStyle w:val="Hyperlink"/>
                <w:noProof/>
              </w:rPr>
              <w:t>9.5</w:t>
            </w:r>
            <w:r w:rsidR="00844675">
              <w:rPr>
                <w:rFonts w:asciiTheme="minorHAnsi" w:eastAsiaTheme="minorEastAsia" w:hAnsiTheme="minorHAnsi"/>
                <w:noProof/>
                <w:sz w:val="24"/>
                <w:szCs w:val="24"/>
              </w:rPr>
              <w:tab/>
            </w:r>
            <w:r w:rsidR="00844675" w:rsidRPr="00F5198F">
              <w:rPr>
                <w:rStyle w:val="Hyperlink"/>
                <w:noProof/>
              </w:rPr>
              <w:t>Income Discrepancies</w:t>
            </w:r>
            <w:r w:rsidR="00844675">
              <w:rPr>
                <w:noProof/>
                <w:webHidden/>
              </w:rPr>
              <w:tab/>
            </w:r>
            <w:r w:rsidR="00844675">
              <w:rPr>
                <w:noProof/>
                <w:webHidden/>
              </w:rPr>
              <w:fldChar w:fldCharType="begin"/>
            </w:r>
            <w:r w:rsidR="00844675">
              <w:rPr>
                <w:noProof/>
                <w:webHidden/>
              </w:rPr>
              <w:instrText xml:space="preserve"> PAGEREF _Toc200376965 \h </w:instrText>
            </w:r>
            <w:r w:rsidR="00844675">
              <w:rPr>
                <w:noProof/>
                <w:webHidden/>
              </w:rPr>
            </w:r>
            <w:r w:rsidR="00844675">
              <w:rPr>
                <w:noProof/>
                <w:webHidden/>
              </w:rPr>
              <w:fldChar w:fldCharType="separate"/>
            </w:r>
            <w:r w:rsidR="00844675">
              <w:rPr>
                <w:noProof/>
                <w:webHidden/>
              </w:rPr>
              <w:t>66</w:t>
            </w:r>
            <w:r w:rsidR="00844675">
              <w:rPr>
                <w:noProof/>
                <w:webHidden/>
              </w:rPr>
              <w:fldChar w:fldCharType="end"/>
            </w:r>
          </w:hyperlink>
        </w:p>
        <w:p w14:paraId="2BA9CF81" w14:textId="5BD38E53" w:rsidR="00844675" w:rsidRDefault="003C3A0E">
          <w:pPr>
            <w:pStyle w:val="TOC2"/>
            <w:rPr>
              <w:rFonts w:asciiTheme="minorHAnsi" w:eastAsiaTheme="minorEastAsia" w:hAnsiTheme="minorHAnsi"/>
              <w:noProof/>
              <w:sz w:val="24"/>
              <w:szCs w:val="24"/>
            </w:rPr>
          </w:pPr>
          <w:hyperlink w:anchor="_Toc200376966" w:history="1">
            <w:r w:rsidR="00844675" w:rsidRPr="00F5198F">
              <w:rPr>
                <w:rStyle w:val="Hyperlink"/>
                <w:noProof/>
              </w:rPr>
              <w:t>9.6</w:t>
            </w:r>
            <w:r w:rsidR="00844675">
              <w:rPr>
                <w:rFonts w:asciiTheme="minorHAnsi" w:eastAsiaTheme="minorEastAsia" w:hAnsiTheme="minorHAnsi"/>
                <w:noProof/>
                <w:sz w:val="24"/>
                <w:szCs w:val="24"/>
              </w:rPr>
              <w:tab/>
            </w:r>
            <w:r w:rsidR="00844675" w:rsidRPr="00F5198F">
              <w:rPr>
                <w:rStyle w:val="Hyperlink"/>
                <w:noProof/>
              </w:rPr>
              <w:t>Verifying Family Information</w:t>
            </w:r>
            <w:r w:rsidR="00844675">
              <w:rPr>
                <w:noProof/>
                <w:webHidden/>
              </w:rPr>
              <w:tab/>
            </w:r>
            <w:r w:rsidR="00844675">
              <w:rPr>
                <w:noProof/>
                <w:webHidden/>
              </w:rPr>
              <w:fldChar w:fldCharType="begin"/>
            </w:r>
            <w:r w:rsidR="00844675">
              <w:rPr>
                <w:noProof/>
                <w:webHidden/>
              </w:rPr>
              <w:instrText xml:space="preserve"> PAGEREF _Toc200376966 \h </w:instrText>
            </w:r>
            <w:r w:rsidR="00844675">
              <w:rPr>
                <w:noProof/>
                <w:webHidden/>
              </w:rPr>
            </w:r>
            <w:r w:rsidR="00844675">
              <w:rPr>
                <w:noProof/>
                <w:webHidden/>
              </w:rPr>
              <w:fldChar w:fldCharType="separate"/>
            </w:r>
            <w:r w:rsidR="00844675">
              <w:rPr>
                <w:noProof/>
                <w:webHidden/>
              </w:rPr>
              <w:t>66</w:t>
            </w:r>
            <w:r w:rsidR="00844675">
              <w:rPr>
                <w:noProof/>
                <w:webHidden/>
              </w:rPr>
              <w:fldChar w:fldCharType="end"/>
            </w:r>
          </w:hyperlink>
        </w:p>
        <w:p w14:paraId="2C8A55A4" w14:textId="703CD887" w:rsidR="00844675" w:rsidRDefault="003C3A0E">
          <w:pPr>
            <w:pStyle w:val="TOC2"/>
            <w:rPr>
              <w:rFonts w:asciiTheme="minorHAnsi" w:eastAsiaTheme="minorEastAsia" w:hAnsiTheme="minorHAnsi"/>
              <w:noProof/>
              <w:sz w:val="24"/>
              <w:szCs w:val="24"/>
            </w:rPr>
          </w:pPr>
          <w:hyperlink w:anchor="_Toc200376967" w:history="1">
            <w:r w:rsidR="00844675" w:rsidRPr="00F5198F">
              <w:rPr>
                <w:rStyle w:val="Hyperlink"/>
                <w:noProof/>
              </w:rPr>
              <w:t>9.7</w:t>
            </w:r>
            <w:r w:rsidR="00844675">
              <w:rPr>
                <w:rFonts w:asciiTheme="minorHAnsi" w:eastAsiaTheme="minorEastAsia" w:hAnsiTheme="minorHAnsi"/>
                <w:noProof/>
                <w:sz w:val="24"/>
                <w:szCs w:val="24"/>
              </w:rPr>
              <w:tab/>
            </w:r>
            <w:r w:rsidR="00844675" w:rsidRPr="00F5198F">
              <w:rPr>
                <w:rStyle w:val="Hyperlink"/>
                <w:noProof/>
              </w:rPr>
              <w:t>Verification of Income</w:t>
            </w:r>
            <w:r w:rsidR="00844675">
              <w:rPr>
                <w:noProof/>
                <w:webHidden/>
              </w:rPr>
              <w:tab/>
            </w:r>
            <w:r w:rsidR="00844675">
              <w:rPr>
                <w:noProof/>
                <w:webHidden/>
              </w:rPr>
              <w:fldChar w:fldCharType="begin"/>
            </w:r>
            <w:r w:rsidR="00844675">
              <w:rPr>
                <w:noProof/>
                <w:webHidden/>
              </w:rPr>
              <w:instrText xml:space="preserve"> PAGEREF _Toc200376967 \h </w:instrText>
            </w:r>
            <w:r w:rsidR="00844675">
              <w:rPr>
                <w:noProof/>
                <w:webHidden/>
              </w:rPr>
            </w:r>
            <w:r w:rsidR="00844675">
              <w:rPr>
                <w:noProof/>
                <w:webHidden/>
              </w:rPr>
              <w:fldChar w:fldCharType="separate"/>
            </w:r>
            <w:r w:rsidR="00844675">
              <w:rPr>
                <w:noProof/>
                <w:webHidden/>
              </w:rPr>
              <w:t>71</w:t>
            </w:r>
            <w:r w:rsidR="00844675">
              <w:rPr>
                <w:noProof/>
                <w:webHidden/>
              </w:rPr>
              <w:fldChar w:fldCharType="end"/>
            </w:r>
          </w:hyperlink>
        </w:p>
        <w:p w14:paraId="52043CE2" w14:textId="164B1F1B" w:rsidR="00844675" w:rsidRDefault="003C3A0E">
          <w:pPr>
            <w:pStyle w:val="TOC2"/>
            <w:rPr>
              <w:rFonts w:asciiTheme="minorHAnsi" w:eastAsiaTheme="minorEastAsia" w:hAnsiTheme="minorHAnsi"/>
              <w:noProof/>
              <w:sz w:val="24"/>
              <w:szCs w:val="24"/>
            </w:rPr>
          </w:pPr>
          <w:hyperlink w:anchor="_Toc200376968" w:history="1">
            <w:r w:rsidR="00844675" w:rsidRPr="00F5198F">
              <w:rPr>
                <w:rStyle w:val="Hyperlink"/>
                <w:noProof/>
              </w:rPr>
              <w:t>9.8</w:t>
            </w:r>
            <w:r w:rsidR="00844675">
              <w:rPr>
                <w:rFonts w:asciiTheme="minorHAnsi" w:eastAsiaTheme="minorEastAsia" w:hAnsiTheme="minorHAnsi"/>
                <w:noProof/>
                <w:sz w:val="24"/>
                <w:szCs w:val="24"/>
              </w:rPr>
              <w:tab/>
            </w:r>
            <w:r w:rsidR="00844675" w:rsidRPr="00F5198F">
              <w:rPr>
                <w:rStyle w:val="Hyperlink"/>
                <w:noProof/>
              </w:rPr>
              <w:t>Verification of Assets</w:t>
            </w:r>
            <w:r w:rsidR="00844675">
              <w:rPr>
                <w:noProof/>
                <w:webHidden/>
              </w:rPr>
              <w:tab/>
            </w:r>
            <w:r w:rsidR="00844675">
              <w:rPr>
                <w:noProof/>
                <w:webHidden/>
              </w:rPr>
              <w:fldChar w:fldCharType="begin"/>
            </w:r>
            <w:r w:rsidR="00844675">
              <w:rPr>
                <w:noProof/>
                <w:webHidden/>
              </w:rPr>
              <w:instrText xml:space="preserve"> PAGEREF _Toc200376968 \h </w:instrText>
            </w:r>
            <w:r w:rsidR="00844675">
              <w:rPr>
                <w:noProof/>
                <w:webHidden/>
              </w:rPr>
            </w:r>
            <w:r w:rsidR="00844675">
              <w:rPr>
                <w:noProof/>
                <w:webHidden/>
              </w:rPr>
              <w:fldChar w:fldCharType="separate"/>
            </w:r>
            <w:r w:rsidR="00844675">
              <w:rPr>
                <w:noProof/>
                <w:webHidden/>
              </w:rPr>
              <w:t>74</w:t>
            </w:r>
            <w:r w:rsidR="00844675">
              <w:rPr>
                <w:noProof/>
                <w:webHidden/>
              </w:rPr>
              <w:fldChar w:fldCharType="end"/>
            </w:r>
          </w:hyperlink>
        </w:p>
        <w:p w14:paraId="07A08ECF" w14:textId="04685C11" w:rsidR="00844675" w:rsidRDefault="003C3A0E">
          <w:pPr>
            <w:pStyle w:val="TOC2"/>
            <w:rPr>
              <w:rFonts w:asciiTheme="minorHAnsi" w:eastAsiaTheme="minorEastAsia" w:hAnsiTheme="minorHAnsi"/>
              <w:noProof/>
              <w:sz w:val="24"/>
              <w:szCs w:val="24"/>
            </w:rPr>
          </w:pPr>
          <w:hyperlink w:anchor="_Toc200376969" w:history="1">
            <w:r w:rsidR="00844675" w:rsidRPr="00F5198F">
              <w:rPr>
                <w:rStyle w:val="Hyperlink"/>
                <w:noProof/>
              </w:rPr>
              <w:t>9.9</w:t>
            </w:r>
            <w:r w:rsidR="00844675">
              <w:rPr>
                <w:rFonts w:asciiTheme="minorHAnsi" w:eastAsiaTheme="minorEastAsia" w:hAnsiTheme="minorHAnsi"/>
                <w:noProof/>
                <w:sz w:val="24"/>
                <w:szCs w:val="24"/>
              </w:rPr>
              <w:tab/>
            </w:r>
            <w:r w:rsidR="00844675" w:rsidRPr="00F5198F">
              <w:rPr>
                <w:rStyle w:val="Hyperlink"/>
                <w:noProof/>
              </w:rPr>
              <w:t>Verification of Mandatory Deductions</w:t>
            </w:r>
            <w:r w:rsidR="00844675">
              <w:rPr>
                <w:noProof/>
                <w:webHidden/>
              </w:rPr>
              <w:tab/>
            </w:r>
            <w:r w:rsidR="00844675">
              <w:rPr>
                <w:noProof/>
                <w:webHidden/>
              </w:rPr>
              <w:fldChar w:fldCharType="begin"/>
            </w:r>
            <w:r w:rsidR="00844675">
              <w:rPr>
                <w:noProof/>
                <w:webHidden/>
              </w:rPr>
              <w:instrText xml:space="preserve"> PAGEREF _Toc200376969 \h </w:instrText>
            </w:r>
            <w:r w:rsidR="00844675">
              <w:rPr>
                <w:noProof/>
                <w:webHidden/>
              </w:rPr>
            </w:r>
            <w:r w:rsidR="00844675">
              <w:rPr>
                <w:noProof/>
                <w:webHidden/>
              </w:rPr>
              <w:fldChar w:fldCharType="separate"/>
            </w:r>
            <w:r w:rsidR="00844675">
              <w:rPr>
                <w:noProof/>
                <w:webHidden/>
              </w:rPr>
              <w:t>76</w:t>
            </w:r>
            <w:r w:rsidR="00844675">
              <w:rPr>
                <w:noProof/>
                <w:webHidden/>
              </w:rPr>
              <w:fldChar w:fldCharType="end"/>
            </w:r>
          </w:hyperlink>
        </w:p>
        <w:p w14:paraId="35935379" w14:textId="58369F3A" w:rsidR="00844675" w:rsidRDefault="003C3A0E" w:rsidP="00AD20A4">
          <w:pPr>
            <w:pStyle w:val="TOC1"/>
            <w:rPr>
              <w:rFonts w:asciiTheme="minorHAnsi" w:eastAsiaTheme="minorEastAsia" w:hAnsiTheme="minorHAnsi"/>
              <w:noProof/>
              <w:color w:val="auto"/>
              <w:szCs w:val="24"/>
            </w:rPr>
          </w:pPr>
          <w:hyperlink w:anchor="_Toc200376970" w:history="1">
            <w:r w:rsidR="00844675" w:rsidRPr="00F5198F">
              <w:rPr>
                <w:rStyle w:val="Hyperlink"/>
                <w:noProof/>
                <w:lang w:bidi="en-US"/>
              </w:rPr>
              <w:t>CHAPTER 10: INCOME AND ADJUSTED INCOME</w:t>
            </w:r>
            <w:r w:rsidR="00844675">
              <w:rPr>
                <w:noProof/>
                <w:webHidden/>
              </w:rPr>
              <w:tab/>
            </w:r>
            <w:r w:rsidR="00844675">
              <w:rPr>
                <w:noProof/>
                <w:webHidden/>
              </w:rPr>
              <w:fldChar w:fldCharType="begin"/>
            </w:r>
            <w:r w:rsidR="00844675">
              <w:rPr>
                <w:noProof/>
                <w:webHidden/>
              </w:rPr>
              <w:instrText xml:space="preserve"> PAGEREF _Toc200376970 \h </w:instrText>
            </w:r>
            <w:r w:rsidR="00844675">
              <w:rPr>
                <w:noProof/>
                <w:webHidden/>
              </w:rPr>
            </w:r>
            <w:r w:rsidR="00844675">
              <w:rPr>
                <w:noProof/>
                <w:webHidden/>
              </w:rPr>
              <w:fldChar w:fldCharType="separate"/>
            </w:r>
            <w:r w:rsidR="00844675">
              <w:rPr>
                <w:noProof/>
                <w:webHidden/>
              </w:rPr>
              <w:t>80</w:t>
            </w:r>
            <w:r w:rsidR="00844675">
              <w:rPr>
                <w:noProof/>
                <w:webHidden/>
              </w:rPr>
              <w:fldChar w:fldCharType="end"/>
            </w:r>
          </w:hyperlink>
        </w:p>
        <w:p w14:paraId="6FF60C3D" w14:textId="5EE0F17E" w:rsidR="00844675" w:rsidRDefault="003C3A0E">
          <w:pPr>
            <w:pStyle w:val="TOC2"/>
            <w:rPr>
              <w:rFonts w:asciiTheme="minorHAnsi" w:eastAsiaTheme="minorEastAsia" w:hAnsiTheme="minorHAnsi"/>
              <w:noProof/>
              <w:sz w:val="24"/>
              <w:szCs w:val="24"/>
            </w:rPr>
          </w:pPr>
          <w:hyperlink w:anchor="_Toc200376971" w:history="1">
            <w:r w:rsidR="00844675" w:rsidRPr="00F5198F">
              <w:rPr>
                <w:rStyle w:val="Hyperlink"/>
                <w:noProof/>
              </w:rPr>
              <w:t>10.1</w:t>
            </w:r>
            <w:r w:rsidR="00844675">
              <w:rPr>
                <w:rFonts w:asciiTheme="minorHAnsi" w:eastAsiaTheme="minorEastAsia" w:hAnsiTheme="minorHAnsi"/>
                <w:noProof/>
                <w:sz w:val="24"/>
                <w:szCs w:val="24"/>
              </w:rPr>
              <w:tab/>
            </w:r>
            <w:r w:rsidR="00844675" w:rsidRPr="00F5198F">
              <w:rPr>
                <w:rStyle w:val="Hyperlink"/>
                <w:noProof/>
              </w:rPr>
              <w:t>Overview</w:t>
            </w:r>
            <w:r w:rsidR="00844675">
              <w:rPr>
                <w:noProof/>
                <w:webHidden/>
              </w:rPr>
              <w:tab/>
            </w:r>
            <w:r w:rsidR="00844675">
              <w:rPr>
                <w:noProof/>
                <w:webHidden/>
              </w:rPr>
              <w:fldChar w:fldCharType="begin"/>
            </w:r>
            <w:r w:rsidR="00844675">
              <w:rPr>
                <w:noProof/>
                <w:webHidden/>
              </w:rPr>
              <w:instrText xml:space="preserve"> PAGEREF _Toc200376971 \h </w:instrText>
            </w:r>
            <w:r w:rsidR="00844675">
              <w:rPr>
                <w:noProof/>
                <w:webHidden/>
              </w:rPr>
            </w:r>
            <w:r w:rsidR="00844675">
              <w:rPr>
                <w:noProof/>
                <w:webHidden/>
              </w:rPr>
              <w:fldChar w:fldCharType="separate"/>
            </w:r>
            <w:r w:rsidR="00844675">
              <w:rPr>
                <w:noProof/>
                <w:webHidden/>
              </w:rPr>
              <w:t>80</w:t>
            </w:r>
            <w:r w:rsidR="00844675">
              <w:rPr>
                <w:noProof/>
                <w:webHidden/>
              </w:rPr>
              <w:fldChar w:fldCharType="end"/>
            </w:r>
          </w:hyperlink>
        </w:p>
        <w:p w14:paraId="4D4084B5" w14:textId="0C4D9152" w:rsidR="00844675" w:rsidRDefault="003C3A0E">
          <w:pPr>
            <w:pStyle w:val="TOC2"/>
            <w:rPr>
              <w:rFonts w:asciiTheme="minorHAnsi" w:eastAsiaTheme="minorEastAsia" w:hAnsiTheme="minorHAnsi"/>
              <w:noProof/>
              <w:sz w:val="24"/>
              <w:szCs w:val="24"/>
            </w:rPr>
          </w:pPr>
          <w:hyperlink w:anchor="_Toc200376972" w:history="1">
            <w:r w:rsidR="00844675" w:rsidRPr="00F5198F">
              <w:rPr>
                <w:rStyle w:val="Hyperlink"/>
                <w:noProof/>
              </w:rPr>
              <w:t>10.2</w:t>
            </w:r>
            <w:r w:rsidR="00844675">
              <w:rPr>
                <w:rFonts w:asciiTheme="minorHAnsi" w:eastAsiaTheme="minorEastAsia" w:hAnsiTheme="minorHAnsi"/>
                <w:noProof/>
                <w:sz w:val="24"/>
                <w:szCs w:val="24"/>
              </w:rPr>
              <w:tab/>
            </w:r>
            <w:r w:rsidR="00844675" w:rsidRPr="00F5198F">
              <w:rPr>
                <w:rStyle w:val="Hyperlink"/>
                <w:noProof/>
              </w:rPr>
              <w:t>Annual Income</w:t>
            </w:r>
            <w:r w:rsidR="00844675">
              <w:rPr>
                <w:noProof/>
                <w:webHidden/>
              </w:rPr>
              <w:tab/>
            </w:r>
            <w:r w:rsidR="00844675">
              <w:rPr>
                <w:noProof/>
                <w:webHidden/>
              </w:rPr>
              <w:fldChar w:fldCharType="begin"/>
            </w:r>
            <w:r w:rsidR="00844675">
              <w:rPr>
                <w:noProof/>
                <w:webHidden/>
              </w:rPr>
              <w:instrText xml:space="preserve"> PAGEREF _Toc200376972 \h </w:instrText>
            </w:r>
            <w:r w:rsidR="00844675">
              <w:rPr>
                <w:noProof/>
                <w:webHidden/>
              </w:rPr>
            </w:r>
            <w:r w:rsidR="00844675">
              <w:rPr>
                <w:noProof/>
                <w:webHidden/>
              </w:rPr>
              <w:fldChar w:fldCharType="separate"/>
            </w:r>
            <w:r w:rsidR="00844675">
              <w:rPr>
                <w:noProof/>
                <w:webHidden/>
              </w:rPr>
              <w:t>80</w:t>
            </w:r>
            <w:r w:rsidR="00844675">
              <w:rPr>
                <w:noProof/>
                <w:webHidden/>
              </w:rPr>
              <w:fldChar w:fldCharType="end"/>
            </w:r>
          </w:hyperlink>
        </w:p>
        <w:p w14:paraId="3F2FFA08" w14:textId="45DD76AB" w:rsidR="00844675" w:rsidRDefault="003C3A0E">
          <w:pPr>
            <w:pStyle w:val="TOC2"/>
            <w:rPr>
              <w:rFonts w:asciiTheme="minorHAnsi" w:eastAsiaTheme="minorEastAsia" w:hAnsiTheme="minorHAnsi"/>
              <w:noProof/>
              <w:sz w:val="24"/>
              <w:szCs w:val="24"/>
            </w:rPr>
          </w:pPr>
          <w:hyperlink w:anchor="_Toc200376973" w:history="1">
            <w:r w:rsidR="00844675" w:rsidRPr="00F5198F">
              <w:rPr>
                <w:rStyle w:val="Hyperlink"/>
                <w:noProof/>
              </w:rPr>
              <w:t>10.3</w:t>
            </w:r>
            <w:r w:rsidR="00844675">
              <w:rPr>
                <w:rFonts w:asciiTheme="minorHAnsi" w:eastAsiaTheme="minorEastAsia" w:hAnsiTheme="minorHAnsi"/>
                <w:noProof/>
                <w:sz w:val="24"/>
                <w:szCs w:val="24"/>
              </w:rPr>
              <w:tab/>
            </w:r>
            <w:r w:rsidR="00844675" w:rsidRPr="00F5198F">
              <w:rPr>
                <w:rStyle w:val="Hyperlink"/>
                <w:noProof/>
              </w:rPr>
              <w:t>Annual Income Exclusions</w:t>
            </w:r>
            <w:r w:rsidR="00844675">
              <w:rPr>
                <w:noProof/>
                <w:webHidden/>
              </w:rPr>
              <w:tab/>
            </w:r>
            <w:r w:rsidR="00844675">
              <w:rPr>
                <w:noProof/>
                <w:webHidden/>
              </w:rPr>
              <w:fldChar w:fldCharType="begin"/>
            </w:r>
            <w:r w:rsidR="00844675">
              <w:rPr>
                <w:noProof/>
                <w:webHidden/>
              </w:rPr>
              <w:instrText xml:space="preserve"> PAGEREF _Toc200376973 \h </w:instrText>
            </w:r>
            <w:r w:rsidR="00844675">
              <w:rPr>
                <w:noProof/>
                <w:webHidden/>
              </w:rPr>
            </w:r>
            <w:r w:rsidR="00844675">
              <w:rPr>
                <w:noProof/>
                <w:webHidden/>
              </w:rPr>
              <w:fldChar w:fldCharType="separate"/>
            </w:r>
            <w:r w:rsidR="00844675">
              <w:rPr>
                <w:noProof/>
                <w:webHidden/>
              </w:rPr>
              <w:t>80</w:t>
            </w:r>
            <w:r w:rsidR="00844675">
              <w:rPr>
                <w:noProof/>
                <w:webHidden/>
              </w:rPr>
              <w:fldChar w:fldCharType="end"/>
            </w:r>
          </w:hyperlink>
        </w:p>
        <w:p w14:paraId="2E97DC6D" w14:textId="10D6E46D" w:rsidR="00844675" w:rsidRDefault="003C3A0E">
          <w:pPr>
            <w:pStyle w:val="TOC2"/>
            <w:rPr>
              <w:rFonts w:asciiTheme="minorHAnsi" w:eastAsiaTheme="minorEastAsia" w:hAnsiTheme="minorHAnsi"/>
              <w:noProof/>
              <w:sz w:val="24"/>
              <w:szCs w:val="24"/>
            </w:rPr>
          </w:pPr>
          <w:hyperlink w:anchor="_Toc200376974" w:history="1">
            <w:r w:rsidR="00844675" w:rsidRPr="00F5198F">
              <w:rPr>
                <w:rStyle w:val="Hyperlink"/>
                <w:noProof/>
              </w:rPr>
              <w:t>10.4</w:t>
            </w:r>
            <w:r w:rsidR="00844675">
              <w:rPr>
                <w:rFonts w:asciiTheme="minorHAnsi" w:eastAsiaTheme="minorEastAsia" w:hAnsiTheme="minorHAnsi"/>
                <w:noProof/>
                <w:sz w:val="24"/>
                <w:szCs w:val="24"/>
              </w:rPr>
              <w:tab/>
            </w:r>
            <w:r w:rsidR="00844675" w:rsidRPr="00F5198F">
              <w:rPr>
                <w:rStyle w:val="Hyperlink"/>
                <w:noProof/>
              </w:rPr>
              <w:t>Anticipating Annual Income</w:t>
            </w:r>
            <w:r w:rsidR="00844675">
              <w:rPr>
                <w:noProof/>
                <w:webHidden/>
              </w:rPr>
              <w:tab/>
            </w:r>
            <w:r w:rsidR="00844675">
              <w:rPr>
                <w:noProof/>
                <w:webHidden/>
              </w:rPr>
              <w:fldChar w:fldCharType="begin"/>
            </w:r>
            <w:r w:rsidR="00844675">
              <w:rPr>
                <w:noProof/>
                <w:webHidden/>
              </w:rPr>
              <w:instrText xml:space="preserve"> PAGEREF _Toc200376974 \h </w:instrText>
            </w:r>
            <w:r w:rsidR="00844675">
              <w:rPr>
                <w:noProof/>
                <w:webHidden/>
              </w:rPr>
            </w:r>
            <w:r w:rsidR="00844675">
              <w:rPr>
                <w:noProof/>
                <w:webHidden/>
              </w:rPr>
              <w:fldChar w:fldCharType="separate"/>
            </w:r>
            <w:r w:rsidR="00844675">
              <w:rPr>
                <w:noProof/>
                <w:webHidden/>
              </w:rPr>
              <w:t>89</w:t>
            </w:r>
            <w:r w:rsidR="00844675">
              <w:rPr>
                <w:noProof/>
                <w:webHidden/>
              </w:rPr>
              <w:fldChar w:fldCharType="end"/>
            </w:r>
          </w:hyperlink>
        </w:p>
        <w:p w14:paraId="12EFFB12" w14:textId="3E6F3A0A" w:rsidR="00844675" w:rsidRDefault="003C3A0E">
          <w:pPr>
            <w:pStyle w:val="TOC2"/>
            <w:rPr>
              <w:rFonts w:asciiTheme="minorHAnsi" w:eastAsiaTheme="minorEastAsia" w:hAnsiTheme="minorHAnsi"/>
              <w:noProof/>
              <w:sz w:val="24"/>
              <w:szCs w:val="24"/>
            </w:rPr>
          </w:pPr>
          <w:hyperlink w:anchor="_Toc200376975" w:history="1">
            <w:r w:rsidR="00844675" w:rsidRPr="00F5198F">
              <w:rPr>
                <w:rStyle w:val="Hyperlink"/>
                <w:noProof/>
              </w:rPr>
              <w:t>10.5</w:t>
            </w:r>
            <w:r w:rsidR="00844675">
              <w:rPr>
                <w:rFonts w:asciiTheme="minorHAnsi" w:eastAsiaTheme="minorEastAsia" w:hAnsiTheme="minorHAnsi"/>
                <w:noProof/>
                <w:sz w:val="24"/>
                <w:szCs w:val="24"/>
              </w:rPr>
              <w:tab/>
            </w:r>
            <w:r w:rsidR="00844675" w:rsidRPr="00F5198F">
              <w:rPr>
                <w:rStyle w:val="Hyperlink"/>
                <w:noProof/>
              </w:rPr>
              <w:t>Determining Certain Types of Income</w:t>
            </w:r>
            <w:r w:rsidR="00844675">
              <w:rPr>
                <w:noProof/>
                <w:webHidden/>
              </w:rPr>
              <w:tab/>
            </w:r>
            <w:r w:rsidR="00844675">
              <w:rPr>
                <w:noProof/>
                <w:webHidden/>
              </w:rPr>
              <w:fldChar w:fldCharType="begin"/>
            </w:r>
            <w:r w:rsidR="00844675">
              <w:rPr>
                <w:noProof/>
                <w:webHidden/>
              </w:rPr>
              <w:instrText xml:space="preserve"> PAGEREF _Toc200376975 \h </w:instrText>
            </w:r>
            <w:r w:rsidR="00844675">
              <w:rPr>
                <w:noProof/>
                <w:webHidden/>
              </w:rPr>
            </w:r>
            <w:r w:rsidR="00844675">
              <w:rPr>
                <w:noProof/>
                <w:webHidden/>
              </w:rPr>
              <w:fldChar w:fldCharType="separate"/>
            </w:r>
            <w:r w:rsidR="00844675">
              <w:rPr>
                <w:noProof/>
                <w:webHidden/>
              </w:rPr>
              <w:t>91</w:t>
            </w:r>
            <w:r w:rsidR="00844675">
              <w:rPr>
                <w:noProof/>
                <w:webHidden/>
              </w:rPr>
              <w:fldChar w:fldCharType="end"/>
            </w:r>
          </w:hyperlink>
        </w:p>
        <w:p w14:paraId="1B7FA13B" w14:textId="7BC2BAD4" w:rsidR="00844675" w:rsidRDefault="003C3A0E">
          <w:pPr>
            <w:pStyle w:val="TOC2"/>
            <w:rPr>
              <w:rFonts w:asciiTheme="minorHAnsi" w:eastAsiaTheme="minorEastAsia" w:hAnsiTheme="minorHAnsi"/>
              <w:noProof/>
              <w:sz w:val="24"/>
              <w:szCs w:val="24"/>
            </w:rPr>
          </w:pPr>
          <w:hyperlink w:anchor="_Toc200376976" w:history="1">
            <w:r w:rsidR="00844675" w:rsidRPr="00F5198F">
              <w:rPr>
                <w:rStyle w:val="Hyperlink"/>
                <w:noProof/>
              </w:rPr>
              <w:t>10.6</w:t>
            </w:r>
            <w:r w:rsidR="00844675">
              <w:rPr>
                <w:rFonts w:asciiTheme="minorHAnsi" w:eastAsiaTheme="minorEastAsia" w:hAnsiTheme="minorHAnsi"/>
                <w:noProof/>
                <w:sz w:val="24"/>
                <w:szCs w:val="24"/>
              </w:rPr>
              <w:tab/>
            </w:r>
            <w:r w:rsidR="00844675" w:rsidRPr="00F5198F">
              <w:rPr>
                <w:rStyle w:val="Hyperlink"/>
                <w:noProof/>
              </w:rPr>
              <w:t>Determining Income from Assets</w:t>
            </w:r>
            <w:r w:rsidR="00844675">
              <w:rPr>
                <w:noProof/>
                <w:webHidden/>
              </w:rPr>
              <w:tab/>
            </w:r>
            <w:r w:rsidR="00844675">
              <w:rPr>
                <w:noProof/>
                <w:webHidden/>
              </w:rPr>
              <w:fldChar w:fldCharType="begin"/>
            </w:r>
            <w:r w:rsidR="00844675">
              <w:rPr>
                <w:noProof/>
                <w:webHidden/>
              </w:rPr>
              <w:instrText xml:space="preserve"> PAGEREF _Toc200376976 \h </w:instrText>
            </w:r>
            <w:r w:rsidR="00844675">
              <w:rPr>
                <w:noProof/>
                <w:webHidden/>
              </w:rPr>
            </w:r>
            <w:r w:rsidR="00844675">
              <w:rPr>
                <w:noProof/>
                <w:webHidden/>
              </w:rPr>
              <w:fldChar w:fldCharType="separate"/>
            </w:r>
            <w:r w:rsidR="00844675">
              <w:rPr>
                <w:noProof/>
                <w:webHidden/>
              </w:rPr>
              <w:t>97</w:t>
            </w:r>
            <w:r w:rsidR="00844675">
              <w:rPr>
                <w:noProof/>
                <w:webHidden/>
              </w:rPr>
              <w:fldChar w:fldCharType="end"/>
            </w:r>
          </w:hyperlink>
        </w:p>
        <w:p w14:paraId="0A59170C" w14:textId="56148259" w:rsidR="00844675" w:rsidRDefault="003C3A0E">
          <w:pPr>
            <w:pStyle w:val="TOC2"/>
            <w:rPr>
              <w:rFonts w:asciiTheme="minorHAnsi" w:eastAsiaTheme="minorEastAsia" w:hAnsiTheme="minorHAnsi"/>
              <w:noProof/>
              <w:sz w:val="24"/>
              <w:szCs w:val="24"/>
            </w:rPr>
          </w:pPr>
          <w:hyperlink w:anchor="_Toc200376977" w:history="1">
            <w:r w:rsidR="00844675" w:rsidRPr="00F5198F">
              <w:rPr>
                <w:rStyle w:val="Hyperlink"/>
                <w:noProof/>
              </w:rPr>
              <w:t>10.7</w:t>
            </w:r>
            <w:r w:rsidR="00844675">
              <w:rPr>
                <w:rFonts w:asciiTheme="minorHAnsi" w:eastAsiaTheme="minorEastAsia" w:hAnsiTheme="minorHAnsi"/>
                <w:noProof/>
                <w:sz w:val="24"/>
                <w:szCs w:val="24"/>
              </w:rPr>
              <w:tab/>
            </w:r>
            <w:r w:rsidR="00844675" w:rsidRPr="00F5198F">
              <w:rPr>
                <w:rStyle w:val="Hyperlink"/>
                <w:noProof/>
              </w:rPr>
              <w:t>Adjusted Income</w:t>
            </w:r>
            <w:r w:rsidR="00844675">
              <w:rPr>
                <w:noProof/>
                <w:webHidden/>
              </w:rPr>
              <w:tab/>
            </w:r>
            <w:r w:rsidR="00844675">
              <w:rPr>
                <w:noProof/>
                <w:webHidden/>
              </w:rPr>
              <w:fldChar w:fldCharType="begin"/>
            </w:r>
            <w:r w:rsidR="00844675">
              <w:rPr>
                <w:noProof/>
                <w:webHidden/>
              </w:rPr>
              <w:instrText xml:space="preserve"> PAGEREF _Toc200376977 \h </w:instrText>
            </w:r>
            <w:r w:rsidR="00844675">
              <w:rPr>
                <w:noProof/>
                <w:webHidden/>
              </w:rPr>
            </w:r>
            <w:r w:rsidR="00844675">
              <w:rPr>
                <w:noProof/>
                <w:webHidden/>
              </w:rPr>
              <w:fldChar w:fldCharType="separate"/>
            </w:r>
            <w:r w:rsidR="00844675">
              <w:rPr>
                <w:noProof/>
                <w:webHidden/>
              </w:rPr>
              <w:t>102</w:t>
            </w:r>
            <w:r w:rsidR="00844675">
              <w:rPr>
                <w:noProof/>
                <w:webHidden/>
              </w:rPr>
              <w:fldChar w:fldCharType="end"/>
            </w:r>
          </w:hyperlink>
        </w:p>
        <w:p w14:paraId="16D5ED32" w14:textId="0E5DB093" w:rsidR="00844675" w:rsidRDefault="003C3A0E" w:rsidP="00AD20A4">
          <w:pPr>
            <w:pStyle w:val="TOC1"/>
            <w:rPr>
              <w:rFonts w:asciiTheme="minorHAnsi" w:eastAsiaTheme="minorEastAsia" w:hAnsiTheme="minorHAnsi"/>
              <w:noProof/>
              <w:color w:val="auto"/>
              <w:szCs w:val="24"/>
            </w:rPr>
          </w:pPr>
          <w:hyperlink w:anchor="_Toc200376978" w:history="1">
            <w:r w:rsidR="00844675" w:rsidRPr="00F5198F">
              <w:rPr>
                <w:rStyle w:val="Hyperlink"/>
                <w:noProof/>
                <w:lang w:bidi="en-US"/>
              </w:rPr>
              <w:t>CHAPTER 11: UTILITIES</w:t>
            </w:r>
            <w:r w:rsidR="00844675">
              <w:rPr>
                <w:noProof/>
                <w:webHidden/>
              </w:rPr>
              <w:tab/>
            </w:r>
            <w:r w:rsidR="00844675">
              <w:rPr>
                <w:noProof/>
                <w:webHidden/>
              </w:rPr>
              <w:fldChar w:fldCharType="begin"/>
            </w:r>
            <w:r w:rsidR="00844675">
              <w:rPr>
                <w:noProof/>
                <w:webHidden/>
              </w:rPr>
              <w:instrText xml:space="preserve"> PAGEREF _Toc200376978 \h </w:instrText>
            </w:r>
            <w:r w:rsidR="00844675">
              <w:rPr>
                <w:noProof/>
                <w:webHidden/>
              </w:rPr>
            </w:r>
            <w:r w:rsidR="00844675">
              <w:rPr>
                <w:noProof/>
                <w:webHidden/>
              </w:rPr>
              <w:fldChar w:fldCharType="separate"/>
            </w:r>
            <w:r w:rsidR="00844675">
              <w:rPr>
                <w:noProof/>
                <w:webHidden/>
              </w:rPr>
              <w:t>108</w:t>
            </w:r>
            <w:r w:rsidR="00844675">
              <w:rPr>
                <w:noProof/>
                <w:webHidden/>
              </w:rPr>
              <w:fldChar w:fldCharType="end"/>
            </w:r>
          </w:hyperlink>
        </w:p>
        <w:p w14:paraId="27F955BB" w14:textId="614EC6C1" w:rsidR="00844675" w:rsidRDefault="003C3A0E">
          <w:pPr>
            <w:pStyle w:val="TOC2"/>
            <w:rPr>
              <w:rFonts w:asciiTheme="minorHAnsi" w:eastAsiaTheme="minorEastAsia" w:hAnsiTheme="minorHAnsi"/>
              <w:noProof/>
              <w:sz w:val="24"/>
              <w:szCs w:val="24"/>
            </w:rPr>
          </w:pPr>
          <w:hyperlink w:anchor="_Toc200376979" w:history="1">
            <w:r w:rsidR="00844675" w:rsidRPr="00F5198F">
              <w:rPr>
                <w:rStyle w:val="Hyperlink"/>
                <w:noProof/>
              </w:rPr>
              <w:t>11.1</w:t>
            </w:r>
            <w:r w:rsidR="00844675">
              <w:rPr>
                <w:rFonts w:asciiTheme="minorHAnsi" w:eastAsiaTheme="minorEastAsia" w:hAnsiTheme="minorHAnsi"/>
                <w:noProof/>
                <w:sz w:val="24"/>
                <w:szCs w:val="24"/>
              </w:rPr>
              <w:tab/>
            </w:r>
            <w:r w:rsidR="00844675" w:rsidRPr="00F5198F">
              <w:rPr>
                <w:rStyle w:val="Hyperlink"/>
                <w:noProof/>
              </w:rPr>
              <w:t>Overview</w:t>
            </w:r>
            <w:r w:rsidR="00844675">
              <w:rPr>
                <w:noProof/>
                <w:webHidden/>
              </w:rPr>
              <w:tab/>
            </w:r>
            <w:r w:rsidR="00844675">
              <w:rPr>
                <w:noProof/>
                <w:webHidden/>
              </w:rPr>
              <w:fldChar w:fldCharType="begin"/>
            </w:r>
            <w:r w:rsidR="00844675">
              <w:rPr>
                <w:noProof/>
                <w:webHidden/>
              </w:rPr>
              <w:instrText xml:space="preserve"> PAGEREF _Toc200376979 \h </w:instrText>
            </w:r>
            <w:r w:rsidR="00844675">
              <w:rPr>
                <w:noProof/>
                <w:webHidden/>
              </w:rPr>
            </w:r>
            <w:r w:rsidR="00844675">
              <w:rPr>
                <w:noProof/>
                <w:webHidden/>
              </w:rPr>
              <w:fldChar w:fldCharType="separate"/>
            </w:r>
            <w:r w:rsidR="00844675">
              <w:rPr>
                <w:noProof/>
                <w:webHidden/>
              </w:rPr>
              <w:t>108</w:t>
            </w:r>
            <w:r w:rsidR="00844675">
              <w:rPr>
                <w:noProof/>
                <w:webHidden/>
              </w:rPr>
              <w:fldChar w:fldCharType="end"/>
            </w:r>
          </w:hyperlink>
        </w:p>
        <w:p w14:paraId="235AB41D" w14:textId="7655A14B" w:rsidR="00844675" w:rsidRDefault="003C3A0E">
          <w:pPr>
            <w:pStyle w:val="TOC2"/>
            <w:rPr>
              <w:rFonts w:asciiTheme="minorHAnsi" w:eastAsiaTheme="minorEastAsia" w:hAnsiTheme="minorHAnsi"/>
              <w:noProof/>
              <w:sz w:val="24"/>
              <w:szCs w:val="24"/>
            </w:rPr>
          </w:pPr>
          <w:hyperlink w:anchor="_Toc200376980" w:history="1">
            <w:r w:rsidR="00844675" w:rsidRPr="00F5198F">
              <w:rPr>
                <w:rStyle w:val="Hyperlink"/>
                <w:noProof/>
              </w:rPr>
              <w:t>11.2</w:t>
            </w:r>
            <w:r w:rsidR="00844675">
              <w:rPr>
                <w:rFonts w:asciiTheme="minorHAnsi" w:eastAsiaTheme="minorEastAsia" w:hAnsiTheme="minorHAnsi"/>
                <w:noProof/>
                <w:sz w:val="24"/>
                <w:szCs w:val="24"/>
              </w:rPr>
              <w:tab/>
            </w:r>
            <w:r w:rsidR="00844675" w:rsidRPr="00F5198F">
              <w:rPr>
                <w:rStyle w:val="Hyperlink"/>
                <w:noProof/>
              </w:rPr>
              <w:t>Utilities</w:t>
            </w:r>
            <w:r w:rsidR="00844675">
              <w:rPr>
                <w:noProof/>
                <w:webHidden/>
              </w:rPr>
              <w:tab/>
            </w:r>
            <w:r w:rsidR="00844675">
              <w:rPr>
                <w:noProof/>
                <w:webHidden/>
              </w:rPr>
              <w:fldChar w:fldCharType="begin"/>
            </w:r>
            <w:r w:rsidR="00844675">
              <w:rPr>
                <w:noProof/>
                <w:webHidden/>
              </w:rPr>
              <w:instrText xml:space="preserve"> PAGEREF _Toc200376980 \h </w:instrText>
            </w:r>
            <w:r w:rsidR="00844675">
              <w:rPr>
                <w:noProof/>
                <w:webHidden/>
              </w:rPr>
            </w:r>
            <w:r w:rsidR="00844675">
              <w:rPr>
                <w:noProof/>
                <w:webHidden/>
              </w:rPr>
              <w:fldChar w:fldCharType="separate"/>
            </w:r>
            <w:r w:rsidR="00844675">
              <w:rPr>
                <w:noProof/>
                <w:webHidden/>
              </w:rPr>
              <w:t>108</w:t>
            </w:r>
            <w:r w:rsidR="00844675">
              <w:rPr>
                <w:noProof/>
                <w:webHidden/>
              </w:rPr>
              <w:fldChar w:fldCharType="end"/>
            </w:r>
          </w:hyperlink>
        </w:p>
        <w:p w14:paraId="69BC7375" w14:textId="4835CC03" w:rsidR="00844675" w:rsidRDefault="003C3A0E">
          <w:pPr>
            <w:pStyle w:val="TOC2"/>
            <w:rPr>
              <w:rFonts w:asciiTheme="minorHAnsi" w:eastAsiaTheme="minorEastAsia" w:hAnsiTheme="minorHAnsi"/>
              <w:noProof/>
              <w:sz w:val="24"/>
              <w:szCs w:val="24"/>
            </w:rPr>
          </w:pPr>
          <w:hyperlink w:anchor="_Toc200376981" w:history="1">
            <w:r w:rsidR="00844675" w:rsidRPr="00F5198F">
              <w:rPr>
                <w:rStyle w:val="Hyperlink"/>
                <w:noProof/>
              </w:rPr>
              <w:t>11.3</w:t>
            </w:r>
            <w:r w:rsidR="00844675">
              <w:rPr>
                <w:rFonts w:asciiTheme="minorHAnsi" w:eastAsiaTheme="minorEastAsia" w:hAnsiTheme="minorHAnsi"/>
                <w:noProof/>
                <w:sz w:val="24"/>
                <w:szCs w:val="24"/>
              </w:rPr>
              <w:tab/>
            </w:r>
            <w:r w:rsidR="00844675" w:rsidRPr="00F5198F">
              <w:rPr>
                <w:rStyle w:val="Hyperlink"/>
                <w:noProof/>
              </w:rPr>
              <w:t>Utility Allowance Revisions</w:t>
            </w:r>
            <w:r w:rsidR="00844675">
              <w:rPr>
                <w:noProof/>
                <w:webHidden/>
              </w:rPr>
              <w:tab/>
            </w:r>
            <w:r w:rsidR="00844675">
              <w:rPr>
                <w:noProof/>
                <w:webHidden/>
              </w:rPr>
              <w:fldChar w:fldCharType="begin"/>
            </w:r>
            <w:r w:rsidR="00844675">
              <w:rPr>
                <w:noProof/>
                <w:webHidden/>
              </w:rPr>
              <w:instrText xml:space="preserve"> PAGEREF _Toc200376981 \h </w:instrText>
            </w:r>
            <w:r w:rsidR="00844675">
              <w:rPr>
                <w:noProof/>
                <w:webHidden/>
              </w:rPr>
            </w:r>
            <w:r w:rsidR="00844675">
              <w:rPr>
                <w:noProof/>
                <w:webHidden/>
              </w:rPr>
              <w:fldChar w:fldCharType="separate"/>
            </w:r>
            <w:r w:rsidR="00844675">
              <w:rPr>
                <w:noProof/>
                <w:webHidden/>
              </w:rPr>
              <w:t>108</w:t>
            </w:r>
            <w:r w:rsidR="00844675">
              <w:rPr>
                <w:noProof/>
                <w:webHidden/>
              </w:rPr>
              <w:fldChar w:fldCharType="end"/>
            </w:r>
          </w:hyperlink>
        </w:p>
        <w:p w14:paraId="7DA62ECF" w14:textId="06DB5BFD" w:rsidR="00844675" w:rsidRDefault="003C3A0E">
          <w:pPr>
            <w:pStyle w:val="TOC2"/>
            <w:rPr>
              <w:rFonts w:asciiTheme="minorHAnsi" w:eastAsiaTheme="minorEastAsia" w:hAnsiTheme="minorHAnsi"/>
              <w:noProof/>
              <w:sz w:val="24"/>
              <w:szCs w:val="24"/>
            </w:rPr>
          </w:pPr>
          <w:hyperlink w:anchor="_Toc200376982" w:history="1">
            <w:r w:rsidR="00844675" w:rsidRPr="00F5198F">
              <w:rPr>
                <w:rStyle w:val="Hyperlink"/>
                <w:noProof/>
              </w:rPr>
              <w:t>11.4</w:t>
            </w:r>
            <w:r w:rsidR="00844675">
              <w:rPr>
                <w:rFonts w:asciiTheme="minorHAnsi" w:eastAsiaTheme="minorEastAsia" w:hAnsiTheme="minorHAnsi"/>
                <w:noProof/>
                <w:sz w:val="24"/>
                <w:szCs w:val="24"/>
              </w:rPr>
              <w:tab/>
            </w:r>
            <w:r w:rsidR="00844675" w:rsidRPr="00F5198F">
              <w:rPr>
                <w:rStyle w:val="Hyperlink"/>
                <w:noProof/>
              </w:rPr>
              <w:t>Resident-Paid Utilities</w:t>
            </w:r>
            <w:r w:rsidR="00844675">
              <w:rPr>
                <w:noProof/>
                <w:webHidden/>
              </w:rPr>
              <w:tab/>
            </w:r>
            <w:r w:rsidR="00844675">
              <w:rPr>
                <w:noProof/>
                <w:webHidden/>
              </w:rPr>
              <w:fldChar w:fldCharType="begin"/>
            </w:r>
            <w:r w:rsidR="00844675">
              <w:rPr>
                <w:noProof/>
                <w:webHidden/>
              </w:rPr>
              <w:instrText xml:space="preserve"> PAGEREF _Toc200376982 \h </w:instrText>
            </w:r>
            <w:r w:rsidR="00844675">
              <w:rPr>
                <w:noProof/>
                <w:webHidden/>
              </w:rPr>
            </w:r>
            <w:r w:rsidR="00844675">
              <w:rPr>
                <w:noProof/>
                <w:webHidden/>
              </w:rPr>
              <w:fldChar w:fldCharType="separate"/>
            </w:r>
            <w:r w:rsidR="00844675">
              <w:rPr>
                <w:noProof/>
                <w:webHidden/>
              </w:rPr>
              <w:t>108</w:t>
            </w:r>
            <w:r w:rsidR="00844675">
              <w:rPr>
                <w:noProof/>
                <w:webHidden/>
              </w:rPr>
              <w:fldChar w:fldCharType="end"/>
            </w:r>
          </w:hyperlink>
        </w:p>
        <w:p w14:paraId="6B5EBD33" w14:textId="3A7AF506" w:rsidR="00844675" w:rsidRDefault="003C3A0E">
          <w:pPr>
            <w:pStyle w:val="TOC2"/>
            <w:rPr>
              <w:rFonts w:asciiTheme="minorHAnsi" w:eastAsiaTheme="minorEastAsia" w:hAnsiTheme="minorHAnsi"/>
              <w:noProof/>
              <w:sz w:val="24"/>
              <w:szCs w:val="24"/>
            </w:rPr>
          </w:pPr>
          <w:hyperlink w:anchor="_Toc200376983" w:history="1">
            <w:r w:rsidR="00844675" w:rsidRPr="00F5198F">
              <w:rPr>
                <w:rStyle w:val="Hyperlink"/>
                <w:noProof/>
              </w:rPr>
              <w:t>11.5</w:t>
            </w:r>
            <w:r w:rsidR="00844675">
              <w:rPr>
                <w:rFonts w:asciiTheme="minorHAnsi" w:eastAsiaTheme="minorEastAsia" w:hAnsiTheme="minorHAnsi"/>
                <w:noProof/>
                <w:sz w:val="24"/>
                <w:szCs w:val="24"/>
              </w:rPr>
              <w:tab/>
            </w:r>
            <w:r w:rsidR="00844675" w:rsidRPr="00F5198F">
              <w:rPr>
                <w:rStyle w:val="Hyperlink"/>
                <w:noProof/>
              </w:rPr>
              <w:t>Excess Utility Charges</w:t>
            </w:r>
            <w:r w:rsidR="00844675">
              <w:rPr>
                <w:noProof/>
                <w:webHidden/>
              </w:rPr>
              <w:tab/>
            </w:r>
            <w:r w:rsidR="00844675">
              <w:rPr>
                <w:noProof/>
                <w:webHidden/>
              </w:rPr>
              <w:fldChar w:fldCharType="begin"/>
            </w:r>
            <w:r w:rsidR="00844675">
              <w:rPr>
                <w:noProof/>
                <w:webHidden/>
              </w:rPr>
              <w:instrText xml:space="preserve"> PAGEREF _Toc200376983 \h </w:instrText>
            </w:r>
            <w:r w:rsidR="00844675">
              <w:rPr>
                <w:noProof/>
                <w:webHidden/>
              </w:rPr>
            </w:r>
            <w:r w:rsidR="00844675">
              <w:rPr>
                <w:noProof/>
                <w:webHidden/>
              </w:rPr>
              <w:fldChar w:fldCharType="separate"/>
            </w:r>
            <w:r w:rsidR="00844675">
              <w:rPr>
                <w:noProof/>
                <w:webHidden/>
              </w:rPr>
              <w:t>108</w:t>
            </w:r>
            <w:r w:rsidR="00844675">
              <w:rPr>
                <w:noProof/>
                <w:webHidden/>
              </w:rPr>
              <w:fldChar w:fldCharType="end"/>
            </w:r>
          </w:hyperlink>
        </w:p>
        <w:p w14:paraId="2C8D2D10" w14:textId="751A5872" w:rsidR="00844675" w:rsidRDefault="003C3A0E">
          <w:pPr>
            <w:pStyle w:val="TOC2"/>
            <w:rPr>
              <w:rFonts w:asciiTheme="minorHAnsi" w:eastAsiaTheme="minorEastAsia" w:hAnsiTheme="minorHAnsi"/>
              <w:noProof/>
              <w:sz w:val="24"/>
              <w:szCs w:val="24"/>
            </w:rPr>
          </w:pPr>
          <w:hyperlink w:anchor="_Toc200376984" w:history="1">
            <w:r w:rsidR="00844675" w:rsidRPr="00F5198F">
              <w:rPr>
                <w:rStyle w:val="Hyperlink"/>
                <w:noProof/>
              </w:rPr>
              <w:t>11.6</w:t>
            </w:r>
            <w:r w:rsidR="00844675">
              <w:rPr>
                <w:rFonts w:asciiTheme="minorHAnsi" w:eastAsiaTheme="minorEastAsia" w:hAnsiTheme="minorHAnsi"/>
                <w:noProof/>
                <w:sz w:val="24"/>
                <w:szCs w:val="24"/>
              </w:rPr>
              <w:tab/>
            </w:r>
            <w:r w:rsidR="00844675" w:rsidRPr="00F5198F">
              <w:rPr>
                <w:rStyle w:val="Hyperlink"/>
                <w:noProof/>
              </w:rPr>
              <w:t>Notice Requirements</w:t>
            </w:r>
            <w:r w:rsidR="00844675">
              <w:rPr>
                <w:noProof/>
                <w:webHidden/>
              </w:rPr>
              <w:tab/>
            </w:r>
            <w:r w:rsidR="00844675">
              <w:rPr>
                <w:noProof/>
                <w:webHidden/>
              </w:rPr>
              <w:fldChar w:fldCharType="begin"/>
            </w:r>
            <w:r w:rsidR="00844675">
              <w:rPr>
                <w:noProof/>
                <w:webHidden/>
              </w:rPr>
              <w:instrText xml:space="preserve"> PAGEREF _Toc200376984 \h </w:instrText>
            </w:r>
            <w:r w:rsidR="00844675">
              <w:rPr>
                <w:noProof/>
                <w:webHidden/>
              </w:rPr>
            </w:r>
            <w:r w:rsidR="00844675">
              <w:rPr>
                <w:noProof/>
                <w:webHidden/>
              </w:rPr>
              <w:fldChar w:fldCharType="separate"/>
            </w:r>
            <w:r w:rsidR="00844675">
              <w:rPr>
                <w:noProof/>
                <w:webHidden/>
              </w:rPr>
              <w:t>109</w:t>
            </w:r>
            <w:r w:rsidR="00844675">
              <w:rPr>
                <w:noProof/>
                <w:webHidden/>
              </w:rPr>
              <w:fldChar w:fldCharType="end"/>
            </w:r>
          </w:hyperlink>
        </w:p>
        <w:p w14:paraId="3F068911" w14:textId="7495C915" w:rsidR="00844675" w:rsidRDefault="003C3A0E">
          <w:pPr>
            <w:pStyle w:val="TOC2"/>
            <w:rPr>
              <w:rFonts w:asciiTheme="minorHAnsi" w:eastAsiaTheme="minorEastAsia" w:hAnsiTheme="minorHAnsi"/>
              <w:noProof/>
              <w:sz w:val="24"/>
              <w:szCs w:val="24"/>
            </w:rPr>
          </w:pPr>
          <w:hyperlink w:anchor="_Toc200376985" w:history="1">
            <w:r w:rsidR="00844675" w:rsidRPr="00F5198F">
              <w:rPr>
                <w:rStyle w:val="Hyperlink"/>
                <w:noProof/>
              </w:rPr>
              <w:t>11.7</w:t>
            </w:r>
            <w:r w:rsidR="00844675">
              <w:rPr>
                <w:rFonts w:asciiTheme="minorHAnsi" w:eastAsiaTheme="minorEastAsia" w:hAnsiTheme="minorHAnsi"/>
                <w:noProof/>
                <w:sz w:val="24"/>
                <w:szCs w:val="24"/>
              </w:rPr>
              <w:tab/>
            </w:r>
            <w:r w:rsidR="00844675" w:rsidRPr="00F5198F">
              <w:rPr>
                <w:rStyle w:val="Hyperlink"/>
                <w:noProof/>
              </w:rPr>
              <w:t>Reasonable Accommodation</w:t>
            </w:r>
            <w:r w:rsidR="00844675">
              <w:rPr>
                <w:noProof/>
                <w:webHidden/>
              </w:rPr>
              <w:tab/>
            </w:r>
            <w:r w:rsidR="00844675">
              <w:rPr>
                <w:noProof/>
                <w:webHidden/>
              </w:rPr>
              <w:fldChar w:fldCharType="begin"/>
            </w:r>
            <w:r w:rsidR="00844675">
              <w:rPr>
                <w:noProof/>
                <w:webHidden/>
              </w:rPr>
              <w:instrText xml:space="preserve"> PAGEREF _Toc200376985 \h </w:instrText>
            </w:r>
            <w:r w:rsidR="00844675">
              <w:rPr>
                <w:noProof/>
                <w:webHidden/>
              </w:rPr>
            </w:r>
            <w:r w:rsidR="00844675">
              <w:rPr>
                <w:noProof/>
                <w:webHidden/>
              </w:rPr>
              <w:fldChar w:fldCharType="separate"/>
            </w:r>
            <w:r w:rsidR="00844675">
              <w:rPr>
                <w:noProof/>
                <w:webHidden/>
              </w:rPr>
              <w:t>109</w:t>
            </w:r>
            <w:r w:rsidR="00844675">
              <w:rPr>
                <w:noProof/>
                <w:webHidden/>
              </w:rPr>
              <w:fldChar w:fldCharType="end"/>
            </w:r>
          </w:hyperlink>
        </w:p>
        <w:p w14:paraId="78C52B3D" w14:textId="69D032FC" w:rsidR="00844675" w:rsidRDefault="003C3A0E" w:rsidP="00AD20A4">
          <w:pPr>
            <w:pStyle w:val="TOC1"/>
            <w:rPr>
              <w:rFonts w:asciiTheme="minorHAnsi" w:eastAsiaTheme="minorEastAsia" w:hAnsiTheme="minorHAnsi"/>
              <w:noProof/>
              <w:color w:val="auto"/>
              <w:szCs w:val="24"/>
            </w:rPr>
          </w:pPr>
          <w:hyperlink w:anchor="_Toc200376986" w:history="1">
            <w:r w:rsidR="00844675" w:rsidRPr="00F5198F">
              <w:rPr>
                <w:rStyle w:val="Hyperlink"/>
                <w:noProof/>
                <w:lang w:bidi="en-US"/>
              </w:rPr>
              <w:t>CHAPTER 12: RENT</w:t>
            </w:r>
            <w:r w:rsidR="00844675">
              <w:rPr>
                <w:noProof/>
                <w:webHidden/>
              </w:rPr>
              <w:tab/>
            </w:r>
            <w:r w:rsidR="00844675">
              <w:rPr>
                <w:noProof/>
                <w:webHidden/>
              </w:rPr>
              <w:fldChar w:fldCharType="begin"/>
            </w:r>
            <w:r w:rsidR="00844675">
              <w:rPr>
                <w:noProof/>
                <w:webHidden/>
              </w:rPr>
              <w:instrText xml:space="preserve"> PAGEREF _Toc200376986 \h </w:instrText>
            </w:r>
            <w:r w:rsidR="00844675">
              <w:rPr>
                <w:noProof/>
                <w:webHidden/>
              </w:rPr>
            </w:r>
            <w:r w:rsidR="00844675">
              <w:rPr>
                <w:noProof/>
                <w:webHidden/>
              </w:rPr>
              <w:fldChar w:fldCharType="separate"/>
            </w:r>
            <w:r w:rsidR="00844675">
              <w:rPr>
                <w:noProof/>
                <w:webHidden/>
              </w:rPr>
              <w:t>110</w:t>
            </w:r>
            <w:r w:rsidR="00844675">
              <w:rPr>
                <w:noProof/>
                <w:webHidden/>
              </w:rPr>
              <w:fldChar w:fldCharType="end"/>
            </w:r>
          </w:hyperlink>
        </w:p>
        <w:p w14:paraId="3F18A9BD" w14:textId="1BB45E85" w:rsidR="00844675" w:rsidRDefault="003C3A0E">
          <w:pPr>
            <w:pStyle w:val="TOC2"/>
            <w:rPr>
              <w:rFonts w:asciiTheme="minorHAnsi" w:eastAsiaTheme="minorEastAsia" w:hAnsiTheme="minorHAnsi"/>
              <w:noProof/>
              <w:sz w:val="24"/>
              <w:szCs w:val="24"/>
            </w:rPr>
          </w:pPr>
          <w:hyperlink w:anchor="_Toc200376987" w:history="1">
            <w:r w:rsidR="00844675" w:rsidRPr="00F5198F">
              <w:rPr>
                <w:rStyle w:val="Hyperlink"/>
                <w:noProof/>
              </w:rPr>
              <w:t>12.1</w:t>
            </w:r>
            <w:r w:rsidR="00844675">
              <w:rPr>
                <w:rFonts w:asciiTheme="minorHAnsi" w:eastAsiaTheme="minorEastAsia" w:hAnsiTheme="minorHAnsi"/>
                <w:noProof/>
                <w:sz w:val="24"/>
                <w:szCs w:val="24"/>
              </w:rPr>
              <w:tab/>
            </w:r>
            <w:r w:rsidR="00844675" w:rsidRPr="00F5198F">
              <w:rPr>
                <w:rStyle w:val="Hyperlink"/>
                <w:noProof/>
              </w:rPr>
              <w:t>Overview</w:t>
            </w:r>
            <w:r w:rsidR="00844675">
              <w:rPr>
                <w:noProof/>
                <w:webHidden/>
              </w:rPr>
              <w:tab/>
            </w:r>
            <w:r w:rsidR="00844675">
              <w:rPr>
                <w:noProof/>
                <w:webHidden/>
              </w:rPr>
              <w:fldChar w:fldCharType="begin"/>
            </w:r>
            <w:r w:rsidR="00844675">
              <w:rPr>
                <w:noProof/>
                <w:webHidden/>
              </w:rPr>
              <w:instrText xml:space="preserve"> PAGEREF _Toc200376987 \h </w:instrText>
            </w:r>
            <w:r w:rsidR="00844675">
              <w:rPr>
                <w:noProof/>
                <w:webHidden/>
              </w:rPr>
            </w:r>
            <w:r w:rsidR="00844675">
              <w:rPr>
                <w:noProof/>
                <w:webHidden/>
              </w:rPr>
              <w:fldChar w:fldCharType="separate"/>
            </w:r>
            <w:r w:rsidR="00844675">
              <w:rPr>
                <w:noProof/>
                <w:webHidden/>
              </w:rPr>
              <w:t>110</w:t>
            </w:r>
            <w:r w:rsidR="00844675">
              <w:rPr>
                <w:noProof/>
                <w:webHidden/>
              </w:rPr>
              <w:fldChar w:fldCharType="end"/>
            </w:r>
          </w:hyperlink>
        </w:p>
        <w:p w14:paraId="303484C3" w14:textId="5DF49A1E" w:rsidR="00844675" w:rsidRDefault="003C3A0E">
          <w:pPr>
            <w:pStyle w:val="TOC2"/>
            <w:rPr>
              <w:rFonts w:asciiTheme="minorHAnsi" w:eastAsiaTheme="minorEastAsia" w:hAnsiTheme="minorHAnsi"/>
              <w:noProof/>
              <w:sz w:val="24"/>
              <w:szCs w:val="24"/>
            </w:rPr>
          </w:pPr>
          <w:hyperlink w:anchor="_Toc200376988" w:history="1">
            <w:r w:rsidR="00844675" w:rsidRPr="00F5198F">
              <w:rPr>
                <w:rStyle w:val="Hyperlink"/>
                <w:noProof/>
              </w:rPr>
              <w:t>12.2</w:t>
            </w:r>
            <w:r w:rsidR="00844675">
              <w:rPr>
                <w:rFonts w:asciiTheme="minorHAnsi" w:eastAsiaTheme="minorEastAsia" w:hAnsiTheme="minorHAnsi"/>
                <w:noProof/>
                <w:sz w:val="24"/>
                <w:szCs w:val="24"/>
              </w:rPr>
              <w:tab/>
            </w:r>
            <w:r w:rsidR="00844675" w:rsidRPr="00F5198F">
              <w:rPr>
                <w:rStyle w:val="Hyperlink"/>
                <w:noProof/>
              </w:rPr>
              <w:t>Control and Excluded Groups</w:t>
            </w:r>
            <w:r w:rsidR="00844675">
              <w:rPr>
                <w:noProof/>
                <w:webHidden/>
              </w:rPr>
              <w:tab/>
            </w:r>
            <w:r w:rsidR="00844675">
              <w:rPr>
                <w:noProof/>
                <w:webHidden/>
              </w:rPr>
              <w:fldChar w:fldCharType="begin"/>
            </w:r>
            <w:r w:rsidR="00844675">
              <w:rPr>
                <w:noProof/>
                <w:webHidden/>
              </w:rPr>
              <w:instrText xml:space="preserve"> PAGEREF _Toc200376988 \h </w:instrText>
            </w:r>
            <w:r w:rsidR="00844675">
              <w:rPr>
                <w:noProof/>
                <w:webHidden/>
              </w:rPr>
            </w:r>
            <w:r w:rsidR="00844675">
              <w:rPr>
                <w:noProof/>
                <w:webHidden/>
              </w:rPr>
              <w:fldChar w:fldCharType="separate"/>
            </w:r>
            <w:r w:rsidR="00844675">
              <w:rPr>
                <w:noProof/>
                <w:webHidden/>
              </w:rPr>
              <w:t>110</w:t>
            </w:r>
            <w:r w:rsidR="00844675">
              <w:rPr>
                <w:noProof/>
                <w:webHidden/>
              </w:rPr>
              <w:fldChar w:fldCharType="end"/>
            </w:r>
          </w:hyperlink>
        </w:p>
        <w:p w14:paraId="69D60328" w14:textId="4752E328" w:rsidR="00844675" w:rsidRDefault="003C3A0E">
          <w:pPr>
            <w:pStyle w:val="TOC2"/>
            <w:rPr>
              <w:rFonts w:asciiTheme="minorHAnsi" w:eastAsiaTheme="minorEastAsia" w:hAnsiTheme="minorHAnsi"/>
              <w:noProof/>
              <w:sz w:val="24"/>
              <w:szCs w:val="24"/>
            </w:rPr>
          </w:pPr>
          <w:hyperlink w:anchor="_Toc200376989" w:history="1">
            <w:r w:rsidR="00844675" w:rsidRPr="00F5198F">
              <w:rPr>
                <w:rStyle w:val="Hyperlink"/>
                <w:noProof/>
              </w:rPr>
              <w:t>12.3</w:t>
            </w:r>
            <w:r w:rsidR="00844675">
              <w:rPr>
                <w:rFonts w:asciiTheme="minorHAnsi" w:eastAsiaTheme="minorEastAsia" w:hAnsiTheme="minorHAnsi"/>
                <w:noProof/>
                <w:sz w:val="24"/>
                <w:szCs w:val="24"/>
              </w:rPr>
              <w:tab/>
            </w:r>
            <w:r w:rsidR="00844675" w:rsidRPr="00F5198F">
              <w:rPr>
                <w:rStyle w:val="Hyperlink"/>
                <w:noProof/>
              </w:rPr>
              <w:t>Treatment Group</w:t>
            </w:r>
            <w:r w:rsidR="00844675">
              <w:rPr>
                <w:noProof/>
                <w:webHidden/>
              </w:rPr>
              <w:tab/>
            </w:r>
            <w:r w:rsidR="00844675">
              <w:rPr>
                <w:noProof/>
                <w:webHidden/>
              </w:rPr>
              <w:fldChar w:fldCharType="begin"/>
            </w:r>
            <w:r w:rsidR="00844675">
              <w:rPr>
                <w:noProof/>
                <w:webHidden/>
              </w:rPr>
              <w:instrText xml:space="preserve"> PAGEREF _Toc200376989 \h </w:instrText>
            </w:r>
            <w:r w:rsidR="00844675">
              <w:rPr>
                <w:noProof/>
                <w:webHidden/>
              </w:rPr>
            </w:r>
            <w:r w:rsidR="00844675">
              <w:rPr>
                <w:noProof/>
                <w:webHidden/>
              </w:rPr>
              <w:fldChar w:fldCharType="separate"/>
            </w:r>
            <w:r w:rsidR="00844675">
              <w:rPr>
                <w:noProof/>
                <w:webHidden/>
              </w:rPr>
              <w:t>112</w:t>
            </w:r>
            <w:r w:rsidR="00844675">
              <w:rPr>
                <w:noProof/>
                <w:webHidden/>
              </w:rPr>
              <w:fldChar w:fldCharType="end"/>
            </w:r>
          </w:hyperlink>
        </w:p>
        <w:p w14:paraId="5243F8F6" w14:textId="4A5B9072" w:rsidR="00844675" w:rsidRDefault="003C3A0E">
          <w:pPr>
            <w:pStyle w:val="TOC2"/>
            <w:rPr>
              <w:rFonts w:asciiTheme="minorHAnsi" w:eastAsiaTheme="minorEastAsia" w:hAnsiTheme="minorHAnsi"/>
              <w:noProof/>
              <w:sz w:val="24"/>
              <w:szCs w:val="24"/>
            </w:rPr>
          </w:pPr>
          <w:hyperlink w:anchor="_Toc200376990" w:history="1">
            <w:r w:rsidR="00844675" w:rsidRPr="00F5198F">
              <w:rPr>
                <w:rStyle w:val="Hyperlink"/>
                <w:noProof/>
              </w:rPr>
              <w:t>12.4</w:t>
            </w:r>
            <w:r w:rsidR="00844675">
              <w:rPr>
                <w:rFonts w:asciiTheme="minorHAnsi" w:eastAsiaTheme="minorEastAsia" w:hAnsiTheme="minorHAnsi"/>
                <w:noProof/>
                <w:sz w:val="24"/>
                <w:szCs w:val="24"/>
              </w:rPr>
              <w:tab/>
            </w:r>
            <w:r w:rsidR="00844675" w:rsidRPr="00F5198F">
              <w:rPr>
                <w:rStyle w:val="Hyperlink"/>
                <w:noProof/>
              </w:rPr>
              <w:t>Minimum Rent</w:t>
            </w:r>
            <w:r w:rsidR="00844675">
              <w:rPr>
                <w:noProof/>
                <w:webHidden/>
              </w:rPr>
              <w:tab/>
            </w:r>
            <w:r w:rsidR="00844675">
              <w:rPr>
                <w:noProof/>
                <w:webHidden/>
              </w:rPr>
              <w:fldChar w:fldCharType="begin"/>
            </w:r>
            <w:r w:rsidR="00844675">
              <w:rPr>
                <w:noProof/>
                <w:webHidden/>
              </w:rPr>
              <w:instrText xml:space="preserve"> PAGEREF _Toc200376990 \h </w:instrText>
            </w:r>
            <w:r w:rsidR="00844675">
              <w:rPr>
                <w:noProof/>
                <w:webHidden/>
              </w:rPr>
            </w:r>
            <w:r w:rsidR="00844675">
              <w:rPr>
                <w:noProof/>
                <w:webHidden/>
              </w:rPr>
              <w:fldChar w:fldCharType="separate"/>
            </w:r>
            <w:r w:rsidR="00844675">
              <w:rPr>
                <w:noProof/>
                <w:webHidden/>
              </w:rPr>
              <w:t>112</w:t>
            </w:r>
            <w:r w:rsidR="00844675">
              <w:rPr>
                <w:noProof/>
                <w:webHidden/>
              </w:rPr>
              <w:fldChar w:fldCharType="end"/>
            </w:r>
          </w:hyperlink>
        </w:p>
        <w:p w14:paraId="14B2D0A2" w14:textId="4FB60887" w:rsidR="00844675" w:rsidRDefault="003C3A0E" w:rsidP="00AD20A4">
          <w:pPr>
            <w:pStyle w:val="TOC1"/>
            <w:rPr>
              <w:rFonts w:asciiTheme="minorHAnsi" w:eastAsiaTheme="minorEastAsia" w:hAnsiTheme="minorHAnsi"/>
              <w:noProof/>
              <w:color w:val="auto"/>
              <w:szCs w:val="24"/>
            </w:rPr>
          </w:pPr>
          <w:hyperlink w:anchor="_Toc200376991" w:history="1">
            <w:r w:rsidR="00844675" w:rsidRPr="00F5198F">
              <w:rPr>
                <w:rStyle w:val="Hyperlink"/>
                <w:noProof/>
                <w:lang w:bidi="en-US"/>
              </w:rPr>
              <w:t>CHAPTER 13: HARDSHIPS</w:t>
            </w:r>
            <w:r w:rsidR="00844675">
              <w:rPr>
                <w:noProof/>
                <w:webHidden/>
              </w:rPr>
              <w:tab/>
            </w:r>
            <w:r w:rsidR="00844675">
              <w:rPr>
                <w:noProof/>
                <w:webHidden/>
              </w:rPr>
              <w:fldChar w:fldCharType="begin"/>
            </w:r>
            <w:r w:rsidR="00844675">
              <w:rPr>
                <w:noProof/>
                <w:webHidden/>
              </w:rPr>
              <w:instrText xml:space="preserve"> PAGEREF _Toc200376991 \h </w:instrText>
            </w:r>
            <w:r w:rsidR="00844675">
              <w:rPr>
                <w:noProof/>
                <w:webHidden/>
              </w:rPr>
            </w:r>
            <w:r w:rsidR="00844675">
              <w:rPr>
                <w:noProof/>
                <w:webHidden/>
              </w:rPr>
              <w:fldChar w:fldCharType="separate"/>
            </w:r>
            <w:r w:rsidR="00844675">
              <w:rPr>
                <w:noProof/>
                <w:webHidden/>
              </w:rPr>
              <w:t>113</w:t>
            </w:r>
            <w:r w:rsidR="00844675">
              <w:rPr>
                <w:noProof/>
                <w:webHidden/>
              </w:rPr>
              <w:fldChar w:fldCharType="end"/>
            </w:r>
          </w:hyperlink>
        </w:p>
        <w:p w14:paraId="2AFA9378" w14:textId="53AB5CFE" w:rsidR="00844675" w:rsidRDefault="003C3A0E">
          <w:pPr>
            <w:pStyle w:val="TOC2"/>
            <w:rPr>
              <w:rFonts w:asciiTheme="minorHAnsi" w:eastAsiaTheme="minorEastAsia" w:hAnsiTheme="minorHAnsi"/>
              <w:noProof/>
              <w:sz w:val="24"/>
              <w:szCs w:val="24"/>
            </w:rPr>
          </w:pPr>
          <w:hyperlink w:anchor="_Toc200376992" w:history="1">
            <w:r w:rsidR="00844675" w:rsidRPr="00F5198F">
              <w:rPr>
                <w:rStyle w:val="Hyperlink"/>
                <w:noProof/>
              </w:rPr>
              <w:t>13.1</w:t>
            </w:r>
            <w:r w:rsidR="00844675">
              <w:rPr>
                <w:rFonts w:asciiTheme="minorHAnsi" w:eastAsiaTheme="minorEastAsia" w:hAnsiTheme="minorHAnsi"/>
                <w:noProof/>
                <w:sz w:val="24"/>
                <w:szCs w:val="24"/>
              </w:rPr>
              <w:tab/>
            </w:r>
            <w:r w:rsidR="00844675" w:rsidRPr="00F5198F">
              <w:rPr>
                <w:rStyle w:val="Hyperlink"/>
                <w:noProof/>
              </w:rPr>
              <w:t>Hardship Process</w:t>
            </w:r>
            <w:r w:rsidR="00844675">
              <w:rPr>
                <w:noProof/>
                <w:webHidden/>
              </w:rPr>
              <w:tab/>
            </w:r>
            <w:r w:rsidR="00844675">
              <w:rPr>
                <w:noProof/>
                <w:webHidden/>
              </w:rPr>
              <w:fldChar w:fldCharType="begin"/>
            </w:r>
            <w:r w:rsidR="00844675">
              <w:rPr>
                <w:noProof/>
                <w:webHidden/>
              </w:rPr>
              <w:instrText xml:space="preserve"> PAGEREF _Toc200376992 \h </w:instrText>
            </w:r>
            <w:r w:rsidR="00844675">
              <w:rPr>
                <w:noProof/>
                <w:webHidden/>
              </w:rPr>
            </w:r>
            <w:r w:rsidR="00844675">
              <w:rPr>
                <w:noProof/>
                <w:webHidden/>
              </w:rPr>
              <w:fldChar w:fldCharType="separate"/>
            </w:r>
            <w:r w:rsidR="00844675">
              <w:rPr>
                <w:noProof/>
                <w:webHidden/>
              </w:rPr>
              <w:t>114</w:t>
            </w:r>
            <w:r w:rsidR="00844675">
              <w:rPr>
                <w:noProof/>
                <w:webHidden/>
              </w:rPr>
              <w:fldChar w:fldCharType="end"/>
            </w:r>
          </w:hyperlink>
        </w:p>
        <w:p w14:paraId="69F83A68" w14:textId="66304C45" w:rsidR="00844675" w:rsidRDefault="003C3A0E">
          <w:pPr>
            <w:pStyle w:val="TOC2"/>
            <w:rPr>
              <w:rFonts w:asciiTheme="minorHAnsi" w:eastAsiaTheme="minorEastAsia" w:hAnsiTheme="minorHAnsi"/>
              <w:noProof/>
              <w:sz w:val="24"/>
              <w:szCs w:val="24"/>
            </w:rPr>
          </w:pPr>
          <w:hyperlink w:anchor="_Toc200376993" w:history="1">
            <w:r w:rsidR="00844675" w:rsidRPr="00F5198F">
              <w:rPr>
                <w:rStyle w:val="Hyperlink"/>
                <w:noProof/>
              </w:rPr>
              <w:t>13.2</w:t>
            </w:r>
            <w:r w:rsidR="00844675">
              <w:rPr>
                <w:rFonts w:asciiTheme="minorHAnsi" w:eastAsiaTheme="minorEastAsia" w:hAnsiTheme="minorHAnsi"/>
                <w:noProof/>
                <w:sz w:val="24"/>
                <w:szCs w:val="24"/>
              </w:rPr>
              <w:tab/>
            </w:r>
            <w:r w:rsidR="00844675" w:rsidRPr="00F5198F">
              <w:rPr>
                <w:rStyle w:val="Hyperlink"/>
                <w:noProof/>
              </w:rPr>
              <w:t>All Groups: Treatment, Control, and Excluded</w:t>
            </w:r>
            <w:r w:rsidR="00844675">
              <w:rPr>
                <w:noProof/>
                <w:webHidden/>
              </w:rPr>
              <w:tab/>
            </w:r>
            <w:r w:rsidR="00844675">
              <w:rPr>
                <w:noProof/>
                <w:webHidden/>
              </w:rPr>
              <w:fldChar w:fldCharType="begin"/>
            </w:r>
            <w:r w:rsidR="00844675">
              <w:rPr>
                <w:noProof/>
                <w:webHidden/>
              </w:rPr>
              <w:instrText xml:space="preserve"> PAGEREF _Toc200376993 \h </w:instrText>
            </w:r>
            <w:r w:rsidR="00844675">
              <w:rPr>
                <w:noProof/>
                <w:webHidden/>
              </w:rPr>
            </w:r>
            <w:r w:rsidR="00844675">
              <w:rPr>
                <w:noProof/>
                <w:webHidden/>
              </w:rPr>
              <w:fldChar w:fldCharType="separate"/>
            </w:r>
            <w:r w:rsidR="00844675">
              <w:rPr>
                <w:noProof/>
                <w:webHidden/>
              </w:rPr>
              <w:t>115</w:t>
            </w:r>
            <w:r w:rsidR="00844675">
              <w:rPr>
                <w:noProof/>
                <w:webHidden/>
              </w:rPr>
              <w:fldChar w:fldCharType="end"/>
            </w:r>
          </w:hyperlink>
        </w:p>
        <w:p w14:paraId="72E5A37C" w14:textId="004CFDB6" w:rsidR="00844675" w:rsidRDefault="003C3A0E">
          <w:pPr>
            <w:pStyle w:val="TOC2"/>
            <w:rPr>
              <w:rFonts w:asciiTheme="minorHAnsi" w:eastAsiaTheme="minorEastAsia" w:hAnsiTheme="minorHAnsi"/>
              <w:noProof/>
              <w:sz w:val="24"/>
              <w:szCs w:val="24"/>
            </w:rPr>
          </w:pPr>
          <w:hyperlink w:anchor="_Toc200376994" w:history="1">
            <w:r w:rsidR="00844675" w:rsidRPr="00F5198F">
              <w:rPr>
                <w:rStyle w:val="Hyperlink"/>
                <w:noProof/>
              </w:rPr>
              <w:t>13.3</w:t>
            </w:r>
            <w:r w:rsidR="00844675">
              <w:rPr>
                <w:rFonts w:asciiTheme="minorHAnsi" w:eastAsiaTheme="minorEastAsia" w:hAnsiTheme="minorHAnsi"/>
                <w:noProof/>
                <w:sz w:val="24"/>
                <w:szCs w:val="24"/>
              </w:rPr>
              <w:tab/>
            </w:r>
            <w:r w:rsidR="00844675" w:rsidRPr="00F5198F">
              <w:rPr>
                <w:rStyle w:val="Hyperlink"/>
                <w:noProof/>
              </w:rPr>
              <w:t>Control and Excluded Groups Only</w:t>
            </w:r>
            <w:r w:rsidR="00844675">
              <w:rPr>
                <w:noProof/>
                <w:webHidden/>
              </w:rPr>
              <w:tab/>
            </w:r>
            <w:r w:rsidR="00844675">
              <w:rPr>
                <w:noProof/>
                <w:webHidden/>
              </w:rPr>
              <w:fldChar w:fldCharType="begin"/>
            </w:r>
            <w:r w:rsidR="00844675">
              <w:rPr>
                <w:noProof/>
                <w:webHidden/>
              </w:rPr>
              <w:instrText xml:space="preserve"> PAGEREF _Toc200376994 \h </w:instrText>
            </w:r>
            <w:r w:rsidR="00844675">
              <w:rPr>
                <w:noProof/>
                <w:webHidden/>
              </w:rPr>
            </w:r>
            <w:r w:rsidR="00844675">
              <w:rPr>
                <w:noProof/>
                <w:webHidden/>
              </w:rPr>
              <w:fldChar w:fldCharType="separate"/>
            </w:r>
            <w:r w:rsidR="00844675">
              <w:rPr>
                <w:noProof/>
                <w:webHidden/>
              </w:rPr>
              <w:t>117</w:t>
            </w:r>
            <w:r w:rsidR="00844675">
              <w:rPr>
                <w:noProof/>
                <w:webHidden/>
              </w:rPr>
              <w:fldChar w:fldCharType="end"/>
            </w:r>
          </w:hyperlink>
        </w:p>
        <w:p w14:paraId="6EBDC7FA" w14:textId="3B7F0E0D" w:rsidR="00844675" w:rsidRDefault="003C3A0E">
          <w:pPr>
            <w:pStyle w:val="TOC2"/>
            <w:rPr>
              <w:rFonts w:asciiTheme="minorHAnsi" w:eastAsiaTheme="minorEastAsia" w:hAnsiTheme="minorHAnsi"/>
              <w:noProof/>
              <w:sz w:val="24"/>
              <w:szCs w:val="24"/>
            </w:rPr>
          </w:pPr>
          <w:hyperlink w:anchor="_Toc200376995" w:history="1">
            <w:r w:rsidR="00844675" w:rsidRPr="00F5198F">
              <w:rPr>
                <w:rStyle w:val="Hyperlink"/>
                <w:noProof/>
              </w:rPr>
              <w:t>13.4</w:t>
            </w:r>
            <w:r w:rsidR="00844675">
              <w:rPr>
                <w:rFonts w:asciiTheme="minorHAnsi" w:eastAsiaTheme="minorEastAsia" w:hAnsiTheme="minorHAnsi"/>
                <w:noProof/>
                <w:sz w:val="24"/>
                <w:szCs w:val="24"/>
              </w:rPr>
              <w:tab/>
            </w:r>
            <w:r w:rsidR="00844675" w:rsidRPr="00F5198F">
              <w:rPr>
                <w:rStyle w:val="Hyperlink"/>
                <w:noProof/>
              </w:rPr>
              <w:t>Treatment Group Only</w:t>
            </w:r>
            <w:r w:rsidR="00844675">
              <w:rPr>
                <w:noProof/>
                <w:webHidden/>
              </w:rPr>
              <w:tab/>
            </w:r>
            <w:r w:rsidR="00844675">
              <w:rPr>
                <w:noProof/>
                <w:webHidden/>
              </w:rPr>
              <w:fldChar w:fldCharType="begin"/>
            </w:r>
            <w:r w:rsidR="00844675">
              <w:rPr>
                <w:noProof/>
                <w:webHidden/>
              </w:rPr>
              <w:instrText xml:space="preserve"> PAGEREF _Toc200376995 \h </w:instrText>
            </w:r>
            <w:r w:rsidR="00844675">
              <w:rPr>
                <w:noProof/>
                <w:webHidden/>
              </w:rPr>
            </w:r>
            <w:r w:rsidR="00844675">
              <w:rPr>
                <w:noProof/>
                <w:webHidden/>
              </w:rPr>
              <w:fldChar w:fldCharType="separate"/>
            </w:r>
            <w:r w:rsidR="00844675">
              <w:rPr>
                <w:noProof/>
                <w:webHidden/>
              </w:rPr>
              <w:t>120</w:t>
            </w:r>
            <w:r w:rsidR="00844675">
              <w:rPr>
                <w:noProof/>
                <w:webHidden/>
              </w:rPr>
              <w:fldChar w:fldCharType="end"/>
            </w:r>
          </w:hyperlink>
        </w:p>
        <w:p w14:paraId="01ADAC73" w14:textId="176F8529" w:rsidR="00844675" w:rsidRDefault="003C3A0E">
          <w:pPr>
            <w:pStyle w:val="TOC2"/>
            <w:rPr>
              <w:rFonts w:asciiTheme="minorHAnsi" w:eastAsiaTheme="minorEastAsia" w:hAnsiTheme="minorHAnsi"/>
              <w:noProof/>
              <w:sz w:val="24"/>
              <w:szCs w:val="24"/>
            </w:rPr>
          </w:pPr>
          <w:hyperlink w:anchor="_Toc200376996" w:history="1">
            <w:r w:rsidR="00844675" w:rsidRPr="00F5198F">
              <w:rPr>
                <w:rStyle w:val="Hyperlink"/>
                <w:noProof/>
              </w:rPr>
              <w:t>13.5</w:t>
            </w:r>
            <w:r w:rsidR="00844675">
              <w:rPr>
                <w:rFonts w:asciiTheme="minorHAnsi" w:eastAsiaTheme="minorEastAsia" w:hAnsiTheme="minorHAnsi"/>
                <w:noProof/>
                <w:sz w:val="24"/>
                <w:szCs w:val="24"/>
              </w:rPr>
              <w:tab/>
            </w:r>
            <w:r w:rsidR="00844675" w:rsidRPr="00F5198F">
              <w:rPr>
                <w:rStyle w:val="Hyperlink"/>
                <w:noProof/>
              </w:rPr>
              <w:t>Excluded Group Only</w:t>
            </w:r>
            <w:r w:rsidR="00844675">
              <w:rPr>
                <w:noProof/>
                <w:webHidden/>
              </w:rPr>
              <w:tab/>
            </w:r>
            <w:r w:rsidR="00844675">
              <w:rPr>
                <w:noProof/>
                <w:webHidden/>
              </w:rPr>
              <w:fldChar w:fldCharType="begin"/>
            </w:r>
            <w:r w:rsidR="00844675">
              <w:rPr>
                <w:noProof/>
                <w:webHidden/>
              </w:rPr>
              <w:instrText xml:space="preserve"> PAGEREF _Toc200376996 \h </w:instrText>
            </w:r>
            <w:r w:rsidR="00844675">
              <w:rPr>
                <w:noProof/>
                <w:webHidden/>
              </w:rPr>
            </w:r>
            <w:r w:rsidR="00844675">
              <w:rPr>
                <w:noProof/>
                <w:webHidden/>
              </w:rPr>
              <w:fldChar w:fldCharType="separate"/>
            </w:r>
            <w:r w:rsidR="00844675">
              <w:rPr>
                <w:noProof/>
                <w:webHidden/>
              </w:rPr>
              <w:t>125</w:t>
            </w:r>
            <w:r w:rsidR="00844675">
              <w:rPr>
                <w:noProof/>
                <w:webHidden/>
              </w:rPr>
              <w:fldChar w:fldCharType="end"/>
            </w:r>
          </w:hyperlink>
        </w:p>
        <w:p w14:paraId="7EBD572B" w14:textId="3567A04E" w:rsidR="00844675" w:rsidRDefault="003C3A0E" w:rsidP="00AD20A4">
          <w:pPr>
            <w:pStyle w:val="TOC1"/>
            <w:rPr>
              <w:rFonts w:asciiTheme="minorHAnsi" w:eastAsiaTheme="minorEastAsia" w:hAnsiTheme="minorHAnsi"/>
              <w:noProof/>
              <w:color w:val="auto"/>
              <w:szCs w:val="24"/>
            </w:rPr>
          </w:pPr>
          <w:hyperlink w:anchor="_Toc200376997" w:history="1">
            <w:r w:rsidR="00844675" w:rsidRPr="00F5198F">
              <w:rPr>
                <w:rStyle w:val="Hyperlink"/>
                <w:noProof/>
                <w:lang w:bidi="en-US"/>
              </w:rPr>
              <w:t>CHAPTER 14: OVER-INCOME FAMILIES</w:t>
            </w:r>
            <w:r w:rsidR="00844675">
              <w:rPr>
                <w:noProof/>
                <w:webHidden/>
              </w:rPr>
              <w:tab/>
            </w:r>
            <w:r w:rsidR="00844675">
              <w:rPr>
                <w:noProof/>
                <w:webHidden/>
              </w:rPr>
              <w:fldChar w:fldCharType="begin"/>
            </w:r>
            <w:r w:rsidR="00844675">
              <w:rPr>
                <w:noProof/>
                <w:webHidden/>
              </w:rPr>
              <w:instrText xml:space="preserve"> PAGEREF _Toc200376997 \h </w:instrText>
            </w:r>
            <w:r w:rsidR="00844675">
              <w:rPr>
                <w:noProof/>
                <w:webHidden/>
              </w:rPr>
            </w:r>
            <w:r w:rsidR="00844675">
              <w:rPr>
                <w:noProof/>
                <w:webHidden/>
              </w:rPr>
              <w:fldChar w:fldCharType="separate"/>
            </w:r>
            <w:r w:rsidR="00844675">
              <w:rPr>
                <w:noProof/>
                <w:webHidden/>
              </w:rPr>
              <w:t>126</w:t>
            </w:r>
            <w:r w:rsidR="00844675">
              <w:rPr>
                <w:noProof/>
                <w:webHidden/>
              </w:rPr>
              <w:fldChar w:fldCharType="end"/>
            </w:r>
          </w:hyperlink>
        </w:p>
        <w:p w14:paraId="40C610F2" w14:textId="62F7000F" w:rsidR="00844675" w:rsidRDefault="003C3A0E">
          <w:pPr>
            <w:pStyle w:val="TOC2"/>
            <w:rPr>
              <w:rFonts w:asciiTheme="minorHAnsi" w:eastAsiaTheme="minorEastAsia" w:hAnsiTheme="minorHAnsi"/>
              <w:noProof/>
              <w:sz w:val="24"/>
              <w:szCs w:val="24"/>
            </w:rPr>
          </w:pPr>
          <w:hyperlink w:anchor="_Toc200376998" w:history="1">
            <w:r w:rsidR="00844675" w:rsidRPr="00F5198F">
              <w:rPr>
                <w:rStyle w:val="Hyperlink"/>
                <w:noProof/>
              </w:rPr>
              <w:t>14.1</w:t>
            </w:r>
            <w:r w:rsidR="00844675">
              <w:rPr>
                <w:rFonts w:asciiTheme="minorHAnsi" w:eastAsiaTheme="minorEastAsia" w:hAnsiTheme="minorHAnsi"/>
                <w:noProof/>
                <w:sz w:val="24"/>
                <w:szCs w:val="24"/>
              </w:rPr>
              <w:tab/>
            </w:r>
            <w:r w:rsidR="00844675" w:rsidRPr="00F5198F">
              <w:rPr>
                <w:rStyle w:val="Hyperlink"/>
                <w:noProof/>
              </w:rPr>
              <w:t>Notification Requirements</w:t>
            </w:r>
            <w:r w:rsidR="00844675">
              <w:rPr>
                <w:noProof/>
                <w:webHidden/>
              </w:rPr>
              <w:tab/>
            </w:r>
            <w:r w:rsidR="00844675">
              <w:rPr>
                <w:noProof/>
                <w:webHidden/>
              </w:rPr>
              <w:fldChar w:fldCharType="begin"/>
            </w:r>
            <w:r w:rsidR="00844675">
              <w:rPr>
                <w:noProof/>
                <w:webHidden/>
              </w:rPr>
              <w:instrText xml:space="preserve"> PAGEREF _Toc200376998 \h </w:instrText>
            </w:r>
            <w:r w:rsidR="00844675">
              <w:rPr>
                <w:noProof/>
                <w:webHidden/>
              </w:rPr>
            </w:r>
            <w:r w:rsidR="00844675">
              <w:rPr>
                <w:noProof/>
                <w:webHidden/>
              </w:rPr>
              <w:fldChar w:fldCharType="separate"/>
            </w:r>
            <w:r w:rsidR="00844675">
              <w:rPr>
                <w:noProof/>
                <w:webHidden/>
              </w:rPr>
              <w:t>126</w:t>
            </w:r>
            <w:r w:rsidR="00844675">
              <w:rPr>
                <w:noProof/>
                <w:webHidden/>
              </w:rPr>
              <w:fldChar w:fldCharType="end"/>
            </w:r>
          </w:hyperlink>
        </w:p>
        <w:p w14:paraId="0984FC4B" w14:textId="3D8C2E4B" w:rsidR="00844675" w:rsidRDefault="003C3A0E">
          <w:pPr>
            <w:pStyle w:val="TOC2"/>
            <w:rPr>
              <w:rFonts w:asciiTheme="minorHAnsi" w:eastAsiaTheme="minorEastAsia" w:hAnsiTheme="minorHAnsi"/>
              <w:noProof/>
              <w:sz w:val="24"/>
              <w:szCs w:val="24"/>
            </w:rPr>
          </w:pPr>
          <w:hyperlink w:anchor="_Toc200376999" w:history="1">
            <w:r w:rsidR="00844675" w:rsidRPr="00F5198F">
              <w:rPr>
                <w:rStyle w:val="Hyperlink"/>
                <w:noProof/>
              </w:rPr>
              <w:t>14.2</w:t>
            </w:r>
            <w:r w:rsidR="00844675">
              <w:rPr>
                <w:rFonts w:asciiTheme="minorHAnsi" w:eastAsiaTheme="minorEastAsia" w:hAnsiTheme="minorHAnsi"/>
                <w:noProof/>
                <w:sz w:val="24"/>
                <w:szCs w:val="24"/>
              </w:rPr>
              <w:tab/>
            </w:r>
            <w:r w:rsidR="00844675" w:rsidRPr="00F5198F">
              <w:rPr>
                <w:rStyle w:val="Hyperlink"/>
                <w:noProof/>
              </w:rPr>
              <w:t>Non-Public Housing Over-Income Families</w:t>
            </w:r>
            <w:r w:rsidR="00844675">
              <w:rPr>
                <w:noProof/>
                <w:webHidden/>
              </w:rPr>
              <w:tab/>
            </w:r>
            <w:r w:rsidR="00844675">
              <w:rPr>
                <w:noProof/>
                <w:webHidden/>
              </w:rPr>
              <w:fldChar w:fldCharType="begin"/>
            </w:r>
            <w:r w:rsidR="00844675">
              <w:rPr>
                <w:noProof/>
                <w:webHidden/>
              </w:rPr>
              <w:instrText xml:space="preserve"> PAGEREF _Toc200376999 \h </w:instrText>
            </w:r>
            <w:r w:rsidR="00844675">
              <w:rPr>
                <w:noProof/>
                <w:webHidden/>
              </w:rPr>
            </w:r>
            <w:r w:rsidR="00844675">
              <w:rPr>
                <w:noProof/>
                <w:webHidden/>
              </w:rPr>
              <w:fldChar w:fldCharType="separate"/>
            </w:r>
            <w:r w:rsidR="00844675">
              <w:rPr>
                <w:noProof/>
                <w:webHidden/>
              </w:rPr>
              <w:t>127</w:t>
            </w:r>
            <w:r w:rsidR="00844675">
              <w:rPr>
                <w:noProof/>
                <w:webHidden/>
              </w:rPr>
              <w:fldChar w:fldCharType="end"/>
            </w:r>
          </w:hyperlink>
        </w:p>
        <w:p w14:paraId="4DCF7DB2" w14:textId="2B0C81F9" w:rsidR="00844675" w:rsidRDefault="003C3A0E">
          <w:pPr>
            <w:pStyle w:val="TOC2"/>
            <w:rPr>
              <w:rFonts w:asciiTheme="minorHAnsi" w:eastAsiaTheme="minorEastAsia" w:hAnsiTheme="minorHAnsi"/>
              <w:noProof/>
              <w:sz w:val="24"/>
              <w:szCs w:val="24"/>
            </w:rPr>
          </w:pPr>
          <w:hyperlink w:anchor="_Toc200377000" w:history="1">
            <w:r w:rsidR="00844675" w:rsidRPr="00F5198F">
              <w:rPr>
                <w:rStyle w:val="Hyperlink"/>
                <w:noProof/>
              </w:rPr>
              <w:t>14.3</w:t>
            </w:r>
            <w:r w:rsidR="00844675">
              <w:rPr>
                <w:rFonts w:asciiTheme="minorHAnsi" w:eastAsiaTheme="minorEastAsia" w:hAnsiTheme="minorHAnsi"/>
                <w:noProof/>
                <w:sz w:val="24"/>
                <w:szCs w:val="24"/>
              </w:rPr>
              <w:tab/>
            </w:r>
            <w:r w:rsidR="00844675" w:rsidRPr="00F5198F">
              <w:rPr>
                <w:rStyle w:val="Hyperlink"/>
                <w:noProof/>
              </w:rPr>
              <w:t>Over-Income Reporting Requirement</w:t>
            </w:r>
            <w:r w:rsidR="00844675">
              <w:rPr>
                <w:noProof/>
                <w:webHidden/>
              </w:rPr>
              <w:tab/>
            </w:r>
            <w:r w:rsidR="00844675">
              <w:rPr>
                <w:noProof/>
                <w:webHidden/>
              </w:rPr>
              <w:fldChar w:fldCharType="begin"/>
            </w:r>
            <w:r w:rsidR="00844675">
              <w:rPr>
                <w:noProof/>
                <w:webHidden/>
              </w:rPr>
              <w:instrText xml:space="preserve"> PAGEREF _Toc200377000 \h </w:instrText>
            </w:r>
            <w:r w:rsidR="00844675">
              <w:rPr>
                <w:noProof/>
                <w:webHidden/>
              </w:rPr>
            </w:r>
            <w:r w:rsidR="00844675">
              <w:rPr>
                <w:noProof/>
                <w:webHidden/>
              </w:rPr>
              <w:fldChar w:fldCharType="separate"/>
            </w:r>
            <w:r w:rsidR="00844675">
              <w:rPr>
                <w:noProof/>
                <w:webHidden/>
              </w:rPr>
              <w:t>128</w:t>
            </w:r>
            <w:r w:rsidR="00844675">
              <w:rPr>
                <w:noProof/>
                <w:webHidden/>
              </w:rPr>
              <w:fldChar w:fldCharType="end"/>
            </w:r>
          </w:hyperlink>
        </w:p>
        <w:p w14:paraId="2C15F533" w14:textId="34768D79" w:rsidR="00844675" w:rsidRDefault="003C3A0E">
          <w:pPr>
            <w:pStyle w:val="TOC2"/>
            <w:rPr>
              <w:rFonts w:asciiTheme="minorHAnsi" w:eastAsiaTheme="minorEastAsia" w:hAnsiTheme="minorHAnsi"/>
              <w:noProof/>
              <w:sz w:val="24"/>
              <w:szCs w:val="24"/>
            </w:rPr>
          </w:pPr>
          <w:hyperlink w:anchor="_Toc200377001" w:history="1">
            <w:r w:rsidR="00844675" w:rsidRPr="00F5198F">
              <w:rPr>
                <w:rStyle w:val="Hyperlink"/>
                <w:noProof/>
              </w:rPr>
              <w:t>14.4</w:t>
            </w:r>
            <w:r w:rsidR="00844675">
              <w:rPr>
                <w:rFonts w:asciiTheme="minorHAnsi" w:eastAsiaTheme="minorEastAsia" w:hAnsiTheme="minorHAnsi"/>
                <w:noProof/>
                <w:sz w:val="24"/>
                <w:szCs w:val="24"/>
              </w:rPr>
              <w:tab/>
            </w:r>
            <w:r w:rsidR="00844675" w:rsidRPr="00F5198F">
              <w:rPr>
                <w:rStyle w:val="Hyperlink"/>
                <w:noProof/>
              </w:rPr>
              <w:t>Leasing and Non-Public Housing Over-Income Families</w:t>
            </w:r>
            <w:r w:rsidR="00844675">
              <w:rPr>
                <w:noProof/>
                <w:webHidden/>
              </w:rPr>
              <w:tab/>
            </w:r>
            <w:r w:rsidR="00844675">
              <w:rPr>
                <w:noProof/>
                <w:webHidden/>
              </w:rPr>
              <w:fldChar w:fldCharType="begin"/>
            </w:r>
            <w:r w:rsidR="00844675">
              <w:rPr>
                <w:noProof/>
                <w:webHidden/>
              </w:rPr>
              <w:instrText xml:space="preserve"> PAGEREF _Toc200377001 \h </w:instrText>
            </w:r>
            <w:r w:rsidR="00844675">
              <w:rPr>
                <w:noProof/>
                <w:webHidden/>
              </w:rPr>
            </w:r>
            <w:r w:rsidR="00844675">
              <w:rPr>
                <w:noProof/>
                <w:webHidden/>
              </w:rPr>
              <w:fldChar w:fldCharType="separate"/>
            </w:r>
            <w:r w:rsidR="00844675">
              <w:rPr>
                <w:noProof/>
                <w:webHidden/>
              </w:rPr>
              <w:t>128</w:t>
            </w:r>
            <w:r w:rsidR="00844675">
              <w:rPr>
                <w:noProof/>
                <w:webHidden/>
              </w:rPr>
              <w:fldChar w:fldCharType="end"/>
            </w:r>
          </w:hyperlink>
        </w:p>
        <w:p w14:paraId="616C6FB4" w14:textId="788BCB66" w:rsidR="00844675" w:rsidRDefault="003C3A0E">
          <w:pPr>
            <w:pStyle w:val="TOC2"/>
            <w:rPr>
              <w:rFonts w:asciiTheme="minorHAnsi" w:eastAsiaTheme="minorEastAsia" w:hAnsiTheme="minorHAnsi"/>
              <w:noProof/>
              <w:sz w:val="24"/>
              <w:szCs w:val="24"/>
            </w:rPr>
          </w:pPr>
          <w:hyperlink w:anchor="_Toc200377002" w:history="1">
            <w:r w:rsidR="00844675" w:rsidRPr="00F5198F">
              <w:rPr>
                <w:rStyle w:val="Hyperlink"/>
                <w:noProof/>
              </w:rPr>
              <w:t>14.5</w:t>
            </w:r>
            <w:r w:rsidR="00844675">
              <w:rPr>
                <w:rFonts w:asciiTheme="minorHAnsi" w:eastAsiaTheme="minorEastAsia" w:hAnsiTheme="minorHAnsi"/>
                <w:noProof/>
                <w:sz w:val="24"/>
                <w:szCs w:val="24"/>
              </w:rPr>
              <w:tab/>
            </w:r>
            <w:r w:rsidR="00844675" w:rsidRPr="00F5198F">
              <w:rPr>
                <w:rStyle w:val="Hyperlink"/>
                <w:noProof/>
              </w:rPr>
              <w:t>Alternative Rent for NPHOI Families</w:t>
            </w:r>
            <w:r w:rsidR="00844675">
              <w:rPr>
                <w:noProof/>
                <w:webHidden/>
              </w:rPr>
              <w:tab/>
            </w:r>
            <w:r w:rsidR="00844675">
              <w:rPr>
                <w:noProof/>
                <w:webHidden/>
              </w:rPr>
              <w:fldChar w:fldCharType="begin"/>
            </w:r>
            <w:r w:rsidR="00844675">
              <w:rPr>
                <w:noProof/>
                <w:webHidden/>
              </w:rPr>
              <w:instrText xml:space="preserve"> PAGEREF _Toc200377002 \h </w:instrText>
            </w:r>
            <w:r w:rsidR="00844675">
              <w:rPr>
                <w:noProof/>
                <w:webHidden/>
              </w:rPr>
            </w:r>
            <w:r w:rsidR="00844675">
              <w:rPr>
                <w:noProof/>
                <w:webHidden/>
              </w:rPr>
              <w:fldChar w:fldCharType="separate"/>
            </w:r>
            <w:r w:rsidR="00844675">
              <w:rPr>
                <w:noProof/>
                <w:webHidden/>
              </w:rPr>
              <w:t>129</w:t>
            </w:r>
            <w:r w:rsidR="00844675">
              <w:rPr>
                <w:noProof/>
                <w:webHidden/>
              </w:rPr>
              <w:fldChar w:fldCharType="end"/>
            </w:r>
          </w:hyperlink>
        </w:p>
        <w:p w14:paraId="180645DA" w14:textId="76CEDDFB" w:rsidR="00844675" w:rsidRDefault="003C3A0E" w:rsidP="00AD20A4">
          <w:pPr>
            <w:pStyle w:val="TOC1"/>
            <w:rPr>
              <w:rFonts w:asciiTheme="minorHAnsi" w:eastAsiaTheme="minorEastAsia" w:hAnsiTheme="minorHAnsi"/>
              <w:noProof/>
              <w:color w:val="auto"/>
              <w:szCs w:val="24"/>
            </w:rPr>
          </w:pPr>
          <w:hyperlink w:anchor="_Toc200377003" w:history="1">
            <w:r w:rsidR="00844675" w:rsidRPr="00F5198F">
              <w:rPr>
                <w:rStyle w:val="Hyperlink"/>
                <w:noProof/>
                <w:lang w:bidi="en-US"/>
              </w:rPr>
              <w:t>CHAPTER 15: REEXAMINATIONS AND CONTINUED OCCUPANCY</w:t>
            </w:r>
            <w:r w:rsidR="00844675">
              <w:rPr>
                <w:noProof/>
                <w:webHidden/>
              </w:rPr>
              <w:tab/>
            </w:r>
            <w:r w:rsidR="00844675">
              <w:rPr>
                <w:noProof/>
                <w:webHidden/>
              </w:rPr>
              <w:fldChar w:fldCharType="begin"/>
            </w:r>
            <w:r w:rsidR="00844675">
              <w:rPr>
                <w:noProof/>
                <w:webHidden/>
              </w:rPr>
              <w:instrText xml:space="preserve"> PAGEREF _Toc200377003 \h </w:instrText>
            </w:r>
            <w:r w:rsidR="00844675">
              <w:rPr>
                <w:noProof/>
                <w:webHidden/>
              </w:rPr>
            </w:r>
            <w:r w:rsidR="00844675">
              <w:rPr>
                <w:noProof/>
                <w:webHidden/>
              </w:rPr>
              <w:fldChar w:fldCharType="separate"/>
            </w:r>
            <w:r w:rsidR="00844675">
              <w:rPr>
                <w:noProof/>
                <w:webHidden/>
              </w:rPr>
              <w:t>130</w:t>
            </w:r>
            <w:r w:rsidR="00844675">
              <w:rPr>
                <w:noProof/>
                <w:webHidden/>
              </w:rPr>
              <w:fldChar w:fldCharType="end"/>
            </w:r>
          </w:hyperlink>
        </w:p>
        <w:p w14:paraId="43B28088" w14:textId="60D7BE5F" w:rsidR="00844675" w:rsidRDefault="003C3A0E">
          <w:pPr>
            <w:pStyle w:val="TOC2"/>
            <w:rPr>
              <w:rFonts w:asciiTheme="minorHAnsi" w:eastAsiaTheme="minorEastAsia" w:hAnsiTheme="minorHAnsi"/>
              <w:noProof/>
              <w:sz w:val="24"/>
              <w:szCs w:val="24"/>
            </w:rPr>
          </w:pPr>
          <w:hyperlink w:anchor="_Toc200377004" w:history="1">
            <w:r w:rsidR="00844675" w:rsidRPr="00F5198F">
              <w:rPr>
                <w:rStyle w:val="Hyperlink"/>
                <w:noProof/>
              </w:rPr>
              <w:t>15.1</w:t>
            </w:r>
            <w:r w:rsidR="00844675">
              <w:rPr>
                <w:rFonts w:asciiTheme="minorHAnsi" w:eastAsiaTheme="minorEastAsia" w:hAnsiTheme="minorHAnsi"/>
                <w:noProof/>
                <w:sz w:val="24"/>
                <w:szCs w:val="24"/>
              </w:rPr>
              <w:tab/>
            </w:r>
            <w:r w:rsidR="00844675" w:rsidRPr="00F5198F">
              <w:rPr>
                <w:rStyle w:val="Hyperlink"/>
                <w:noProof/>
              </w:rPr>
              <w:t>Introduction</w:t>
            </w:r>
            <w:r w:rsidR="00844675">
              <w:rPr>
                <w:noProof/>
                <w:webHidden/>
              </w:rPr>
              <w:tab/>
            </w:r>
            <w:r w:rsidR="00844675">
              <w:rPr>
                <w:noProof/>
                <w:webHidden/>
              </w:rPr>
              <w:fldChar w:fldCharType="begin"/>
            </w:r>
            <w:r w:rsidR="00844675">
              <w:rPr>
                <w:noProof/>
                <w:webHidden/>
              </w:rPr>
              <w:instrText xml:space="preserve"> PAGEREF _Toc200377004 \h </w:instrText>
            </w:r>
            <w:r w:rsidR="00844675">
              <w:rPr>
                <w:noProof/>
                <w:webHidden/>
              </w:rPr>
            </w:r>
            <w:r w:rsidR="00844675">
              <w:rPr>
                <w:noProof/>
                <w:webHidden/>
              </w:rPr>
              <w:fldChar w:fldCharType="separate"/>
            </w:r>
            <w:r w:rsidR="00844675">
              <w:rPr>
                <w:noProof/>
                <w:webHidden/>
              </w:rPr>
              <w:t>130</w:t>
            </w:r>
            <w:r w:rsidR="00844675">
              <w:rPr>
                <w:noProof/>
                <w:webHidden/>
              </w:rPr>
              <w:fldChar w:fldCharType="end"/>
            </w:r>
          </w:hyperlink>
        </w:p>
        <w:p w14:paraId="31F9AE0F" w14:textId="10A24389" w:rsidR="00844675" w:rsidRDefault="003C3A0E">
          <w:pPr>
            <w:pStyle w:val="TOC2"/>
            <w:rPr>
              <w:rFonts w:asciiTheme="minorHAnsi" w:eastAsiaTheme="minorEastAsia" w:hAnsiTheme="minorHAnsi"/>
              <w:noProof/>
              <w:sz w:val="24"/>
              <w:szCs w:val="24"/>
            </w:rPr>
          </w:pPr>
          <w:hyperlink w:anchor="_Toc200377005" w:history="1">
            <w:r w:rsidR="00844675" w:rsidRPr="00F5198F">
              <w:rPr>
                <w:rStyle w:val="Hyperlink"/>
                <w:noProof/>
              </w:rPr>
              <w:t>15.2</w:t>
            </w:r>
            <w:r w:rsidR="00844675">
              <w:rPr>
                <w:rFonts w:asciiTheme="minorHAnsi" w:eastAsiaTheme="minorEastAsia" w:hAnsiTheme="minorHAnsi"/>
                <w:noProof/>
                <w:sz w:val="24"/>
                <w:szCs w:val="24"/>
              </w:rPr>
              <w:tab/>
            </w:r>
            <w:r w:rsidR="00844675" w:rsidRPr="00F5198F">
              <w:rPr>
                <w:rStyle w:val="Hyperlink"/>
                <w:noProof/>
              </w:rPr>
              <w:t>Requirements for Continued Occupancy</w:t>
            </w:r>
            <w:r w:rsidR="00844675">
              <w:rPr>
                <w:noProof/>
                <w:webHidden/>
              </w:rPr>
              <w:tab/>
            </w:r>
            <w:r w:rsidR="00844675">
              <w:rPr>
                <w:noProof/>
                <w:webHidden/>
              </w:rPr>
              <w:fldChar w:fldCharType="begin"/>
            </w:r>
            <w:r w:rsidR="00844675">
              <w:rPr>
                <w:noProof/>
                <w:webHidden/>
              </w:rPr>
              <w:instrText xml:space="preserve"> PAGEREF _Toc200377005 \h </w:instrText>
            </w:r>
            <w:r w:rsidR="00844675">
              <w:rPr>
                <w:noProof/>
                <w:webHidden/>
              </w:rPr>
            </w:r>
            <w:r w:rsidR="00844675">
              <w:rPr>
                <w:noProof/>
                <w:webHidden/>
              </w:rPr>
              <w:fldChar w:fldCharType="separate"/>
            </w:r>
            <w:r w:rsidR="00844675">
              <w:rPr>
                <w:noProof/>
                <w:webHidden/>
              </w:rPr>
              <w:t>130</w:t>
            </w:r>
            <w:r w:rsidR="00844675">
              <w:rPr>
                <w:noProof/>
                <w:webHidden/>
              </w:rPr>
              <w:fldChar w:fldCharType="end"/>
            </w:r>
          </w:hyperlink>
        </w:p>
        <w:p w14:paraId="52974852" w14:textId="3F51EF55" w:rsidR="00844675" w:rsidRDefault="003C3A0E">
          <w:pPr>
            <w:pStyle w:val="TOC2"/>
            <w:rPr>
              <w:rFonts w:asciiTheme="minorHAnsi" w:eastAsiaTheme="minorEastAsia" w:hAnsiTheme="minorHAnsi"/>
              <w:noProof/>
              <w:sz w:val="24"/>
              <w:szCs w:val="24"/>
            </w:rPr>
          </w:pPr>
          <w:hyperlink w:anchor="_Toc200377006" w:history="1">
            <w:r w:rsidR="00844675" w:rsidRPr="00F5198F">
              <w:rPr>
                <w:rStyle w:val="Hyperlink"/>
                <w:noProof/>
              </w:rPr>
              <w:t>15.3</w:t>
            </w:r>
            <w:r w:rsidR="00844675">
              <w:rPr>
                <w:rFonts w:asciiTheme="minorHAnsi" w:eastAsiaTheme="minorEastAsia" w:hAnsiTheme="minorHAnsi"/>
                <w:noProof/>
                <w:sz w:val="24"/>
                <w:szCs w:val="24"/>
              </w:rPr>
              <w:tab/>
            </w:r>
            <w:r w:rsidR="00844675" w:rsidRPr="00F5198F">
              <w:rPr>
                <w:rStyle w:val="Hyperlink"/>
                <w:noProof/>
              </w:rPr>
              <w:t>Over-Income Families</w:t>
            </w:r>
            <w:r w:rsidR="00844675">
              <w:rPr>
                <w:noProof/>
                <w:webHidden/>
              </w:rPr>
              <w:tab/>
            </w:r>
            <w:r w:rsidR="00844675">
              <w:rPr>
                <w:noProof/>
                <w:webHidden/>
              </w:rPr>
              <w:fldChar w:fldCharType="begin"/>
            </w:r>
            <w:r w:rsidR="00844675">
              <w:rPr>
                <w:noProof/>
                <w:webHidden/>
              </w:rPr>
              <w:instrText xml:space="preserve"> PAGEREF _Toc200377006 \h </w:instrText>
            </w:r>
            <w:r w:rsidR="00844675">
              <w:rPr>
                <w:noProof/>
                <w:webHidden/>
              </w:rPr>
            </w:r>
            <w:r w:rsidR="00844675">
              <w:rPr>
                <w:noProof/>
                <w:webHidden/>
              </w:rPr>
              <w:fldChar w:fldCharType="separate"/>
            </w:r>
            <w:r w:rsidR="00844675">
              <w:rPr>
                <w:noProof/>
                <w:webHidden/>
              </w:rPr>
              <w:t>130</w:t>
            </w:r>
            <w:r w:rsidR="00844675">
              <w:rPr>
                <w:noProof/>
                <w:webHidden/>
              </w:rPr>
              <w:fldChar w:fldCharType="end"/>
            </w:r>
          </w:hyperlink>
        </w:p>
        <w:p w14:paraId="10BE4796" w14:textId="43D61CA8" w:rsidR="00844675" w:rsidRDefault="003C3A0E">
          <w:pPr>
            <w:pStyle w:val="TOC2"/>
            <w:rPr>
              <w:rFonts w:asciiTheme="minorHAnsi" w:eastAsiaTheme="minorEastAsia" w:hAnsiTheme="minorHAnsi"/>
              <w:noProof/>
              <w:sz w:val="24"/>
              <w:szCs w:val="24"/>
            </w:rPr>
          </w:pPr>
          <w:hyperlink w:anchor="_Toc200377007" w:history="1">
            <w:r w:rsidR="00844675" w:rsidRPr="00F5198F">
              <w:rPr>
                <w:rStyle w:val="Hyperlink"/>
                <w:noProof/>
                <w:spacing w:val="-2"/>
              </w:rPr>
              <w:t>15.4</w:t>
            </w:r>
            <w:r w:rsidR="00844675">
              <w:rPr>
                <w:rFonts w:asciiTheme="minorHAnsi" w:eastAsiaTheme="minorEastAsia" w:hAnsiTheme="minorHAnsi"/>
                <w:noProof/>
                <w:sz w:val="24"/>
                <w:szCs w:val="24"/>
              </w:rPr>
              <w:tab/>
            </w:r>
            <w:r w:rsidR="00844675" w:rsidRPr="00F5198F">
              <w:rPr>
                <w:rStyle w:val="Hyperlink"/>
                <w:noProof/>
                <w:spacing w:val="-2"/>
              </w:rPr>
              <w:t>Time Frames for Reporting Changes Required by Family Obligations</w:t>
            </w:r>
            <w:r w:rsidR="00844675">
              <w:rPr>
                <w:noProof/>
                <w:webHidden/>
              </w:rPr>
              <w:tab/>
            </w:r>
            <w:r w:rsidR="00844675">
              <w:rPr>
                <w:noProof/>
                <w:webHidden/>
              </w:rPr>
              <w:fldChar w:fldCharType="begin"/>
            </w:r>
            <w:r w:rsidR="00844675">
              <w:rPr>
                <w:noProof/>
                <w:webHidden/>
              </w:rPr>
              <w:instrText xml:space="preserve"> PAGEREF _Toc200377007 \h </w:instrText>
            </w:r>
            <w:r w:rsidR="00844675">
              <w:rPr>
                <w:noProof/>
                <w:webHidden/>
              </w:rPr>
            </w:r>
            <w:r w:rsidR="00844675">
              <w:rPr>
                <w:noProof/>
                <w:webHidden/>
              </w:rPr>
              <w:fldChar w:fldCharType="separate"/>
            </w:r>
            <w:r w:rsidR="00844675">
              <w:rPr>
                <w:noProof/>
                <w:webHidden/>
              </w:rPr>
              <w:t>130</w:t>
            </w:r>
            <w:r w:rsidR="00844675">
              <w:rPr>
                <w:noProof/>
                <w:webHidden/>
              </w:rPr>
              <w:fldChar w:fldCharType="end"/>
            </w:r>
          </w:hyperlink>
        </w:p>
        <w:p w14:paraId="6ECCF824" w14:textId="5603AE2F" w:rsidR="00844675" w:rsidRDefault="003C3A0E">
          <w:pPr>
            <w:pStyle w:val="TOC2"/>
            <w:rPr>
              <w:rFonts w:asciiTheme="minorHAnsi" w:eastAsiaTheme="minorEastAsia" w:hAnsiTheme="minorHAnsi"/>
              <w:noProof/>
              <w:sz w:val="24"/>
              <w:szCs w:val="24"/>
            </w:rPr>
          </w:pPr>
          <w:hyperlink w:anchor="_Toc200377008" w:history="1">
            <w:r w:rsidR="00844675" w:rsidRPr="00F5198F">
              <w:rPr>
                <w:rStyle w:val="Hyperlink"/>
                <w:noProof/>
              </w:rPr>
              <w:t>15.5</w:t>
            </w:r>
            <w:r w:rsidR="00844675">
              <w:rPr>
                <w:rFonts w:asciiTheme="minorHAnsi" w:eastAsiaTheme="minorEastAsia" w:hAnsiTheme="minorHAnsi"/>
                <w:noProof/>
                <w:sz w:val="24"/>
                <w:szCs w:val="24"/>
              </w:rPr>
              <w:tab/>
            </w:r>
            <w:r w:rsidR="00844675" w:rsidRPr="00F5198F">
              <w:rPr>
                <w:rStyle w:val="Hyperlink"/>
                <w:noProof/>
              </w:rPr>
              <w:t>Regular Reexaminations</w:t>
            </w:r>
            <w:r w:rsidR="00844675">
              <w:rPr>
                <w:noProof/>
                <w:webHidden/>
              </w:rPr>
              <w:tab/>
            </w:r>
            <w:r w:rsidR="00844675">
              <w:rPr>
                <w:noProof/>
                <w:webHidden/>
              </w:rPr>
              <w:fldChar w:fldCharType="begin"/>
            </w:r>
            <w:r w:rsidR="00844675">
              <w:rPr>
                <w:noProof/>
                <w:webHidden/>
              </w:rPr>
              <w:instrText xml:space="preserve"> PAGEREF _Toc200377008 \h </w:instrText>
            </w:r>
            <w:r w:rsidR="00844675">
              <w:rPr>
                <w:noProof/>
                <w:webHidden/>
              </w:rPr>
            </w:r>
            <w:r w:rsidR="00844675">
              <w:rPr>
                <w:noProof/>
                <w:webHidden/>
              </w:rPr>
              <w:fldChar w:fldCharType="separate"/>
            </w:r>
            <w:r w:rsidR="00844675">
              <w:rPr>
                <w:noProof/>
                <w:webHidden/>
              </w:rPr>
              <w:t>131</w:t>
            </w:r>
            <w:r w:rsidR="00844675">
              <w:rPr>
                <w:noProof/>
                <w:webHidden/>
              </w:rPr>
              <w:fldChar w:fldCharType="end"/>
            </w:r>
          </w:hyperlink>
        </w:p>
        <w:p w14:paraId="48587530" w14:textId="78DD4631" w:rsidR="00844675" w:rsidRDefault="003C3A0E">
          <w:pPr>
            <w:pStyle w:val="TOC2"/>
            <w:rPr>
              <w:rFonts w:asciiTheme="minorHAnsi" w:eastAsiaTheme="minorEastAsia" w:hAnsiTheme="minorHAnsi"/>
              <w:noProof/>
              <w:sz w:val="24"/>
              <w:szCs w:val="24"/>
            </w:rPr>
          </w:pPr>
          <w:hyperlink w:anchor="_Toc200377009" w:history="1">
            <w:r w:rsidR="00844675" w:rsidRPr="00F5198F">
              <w:rPr>
                <w:rStyle w:val="Hyperlink"/>
                <w:noProof/>
              </w:rPr>
              <w:t>15.6</w:t>
            </w:r>
            <w:r w:rsidR="00844675">
              <w:rPr>
                <w:rFonts w:asciiTheme="minorHAnsi" w:eastAsiaTheme="minorEastAsia" w:hAnsiTheme="minorHAnsi"/>
                <w:noProof/>
                <w:sz w:val="24"/>
                <w:szCs w:val="24"/>
              </w:rPr>
              <w:tab/>
            </w:r>
            <w:r w:rsidR="00844675" w:rsidRPr="00F5198F">
              <w:rPr>
                <w:rStyle w:val="Hyperlink"/>
                <w:noProof/>
              </w:rPr>
              <w:t>Reexamination and Pending Lease Termination</w:t>
            </w:r>
            <w:r w:rsidR="00844675">
              <w:rPr>
                <w:noProof/>
                <w:webHidden/>
              </w:rPr>
              <w:tab/>
            </w:r>
            <w:r w:rsidR="00844675">
              <w:rPr>
                <w:noProof/>
                <w:webHidden/>
              </w:rPr>
              <w:fldChar w:fldCharType="begin"/>
            </w:r>
            <w:r w:rsidR="00844675">
              <w:rPr>
                <w:noProof/>
                <w:webHidden/>
              </w:rPr>
              <w:instrText xml:space="preserve"> PAGEREF _Toc200377009 \h </w:instrText>
            </w:r>
            <w:r w:rsidR="00844675">
              <w:rPr>
                <w:noProof/>
                <w:webHidden/>
              </w:rPr>
            </w:r>
            <w:r w:rsidR="00844675">
              <w:rPr>
                <w:noProof/>
                <w:webHidden/>
              </w:rPr>
              <w:fldChar w:fldCharType="separate"/>
            </w:r>
            <w:r w:rsidR="00844675">
              <w:rPr>
                <w:noProof/>
                <w:webHidden/>
              </w:rPr>
              <w:t>134</w:t>
            </w:r>
            <w:r w:rsidR="00844675">
              <w:rPr>
                <w:noProof/>
                <w:webHidden/>
              </w:rPr>
              <w:fldChar w:fldCharType="end"/>
            </w:r>
          </w:hyperlink>
        </w:p>
        <w:p w14:paraId="049492E0" w14:textId="72ABA8F4" w:rsidR="00844675" w:rsidRDefault="003C3A0E">
          <w:pPr>
            <w:pStyle w:val="TOC2"/>
            <w:rPr>
              <w:rFonts w:asciiTheme="minorHAnsi" w:eastAsiaTheme="minorEastAsia" w:hAnsiTheme="minorHAnsi"/>
              <w:noProof/>
              <w:sz w:val="24"/>
              <w:szCs w:val="24"/>
            </w:rPr>
          </w:pPr>
          <w:hyperlink w:anchor="_Toc200377010" w:history="1">
            <w:r w:rsidR="00844675" w:rsidRPr="00F5198F">
              <w:rPr>
                <w:rStyle w:val="Hyperlink"/>
                <w:noProof/>
              </w:rPr>
              <w:t>15.7</w:t>
            </w:r>
            <w:r w:rsidR="00844675">
              <w:rPr>
                <w:rFonts w:asciiTheme="minorHAnsi" w:eastAsiaTheme="minorEastAsia" w:hAnsiTheme="minorHAnsi"/>
                <w:noProof/>
                <w:sz w:val="24"/>
                <w:szCs w:val="24"/>
              </w:rPr>
              <w:tab/>
            </w:r>
            <w:r w:rsidR="00844675" w:rsidRPr="00F5198F">
              <w:rPr>
                <w:rStyle w:val="Hyperlink"/>
                <w:noProof/>
              </w:rPr>
              <w:t>Interim Reexaminations</w:t>
            </w:r>
            <w:r w:rsidR="00844675">
              <w:rPr>
                <w:noProof/>
                <w:webHidden/>
              </w:rPr>
              <w:tab/>
            </w:r>
            <w:r w:rsidR="00844675">
              <w:rPr>
                <w:noProof/>
                <w:webHidden/>
              </w:rPr>
              <w:fldChar w:fldCharType="begin"/>
            </w:r>
            <w:r w:rsidR="00844675">
              <w:rPr>
                <w:noProof/>
                <w:webHidden/>
              </w:rPr>
              <w:instrText xml:space="preserve"> PAGEREF _Toc200377010 \h </w:instrText>
            </w:r>
            <w:r w:rsidR="00844675">
              <w:rPr>
                <w:noProof/>
                <w:webHidden/>
              </w:rPr>
            </w:r>
            <w:r w:rsidR="00844675">
              <w:rPr>
                <w:noProof/>
                <w:webHidden/>
              </w:rPr>
              <w:fldChar w:fldCharType="separate"/>
            </w:r>
            <w:r w:rsidR="00844675">
              <w:rPr>
                <w:noProof/>
                <w:webHidden/>
              </w:rPr>
              <w:t>134</w:t>
            </w:r>
            <w:r w:rsidR="00844675">
              <w:rPr>
                <w:noProof/>
                <w:webHidden/>
              </w:rPr>
              <w:fldChar w:fldCharType="end"/>
            </w:r>
          </w:hyperlink>
        </w:p>
        <w:p w14:paraId="52D34615" w14:textId="70AE670C" w:rsidR="00844675" w:rsidRDefault="003C3A0E">
          <w:pPr>
            <w:pStyle w:val="TOC2"/>
            <w:rPr>
              <w:rFonts w:asciiTheme="minorHAnsi" w:eastAsiaTheme="minorEastAsia" w:hAnsiTheme="minorHAnsi"/>
              <w:noProof/>
              <w:sz w:val="24"/>
              <w:szCs w:val="24"/>
            </w:rPr>
          </w:pPr>
          <w:hyperlink w:anchor="_Toc200377011" w:history="1">
            <w:r w:rsidR="00844675" w:rsidRPr="00F5198F">
              <w:rPr>
                <w:rStyle w:val="Hyperlink"/>
                <w:noProof/>
              </w:rPr>
              <w:t>15.8</w:t>
            </w:r>
            <w:r w:rsidR="00844675">
              <w:rPr>
                <w:rFonts w:asciiTheme="minorHAnsi" w:eastAsiaTheme="minorEastAsia" w:hAnsiTheme="minorHAnsi"/>
                <w:noProof/>
                <w:sz w:val="24"/>
                <w:szCs w:val="24"/>
              </w:rPr>
              <w:tab/>
            </w:r>
            <w:r w:rsidR="00844675" w:rsidRPr="00F5198F">
              <w:rPr>
                <w:rStyle w:val="Hyperlink"/>
                <w:noProof/>
              </w:rPr>
              <w:t>Non-Interim Reexamination Transactions</w:t>
            </w:r>
            <w:r w:rsidR="00844675">
              <w:rPr>
                <w:noProof/>
                <w:webHidden/>
              </w:rPr>
              <w:tab/>
            </w:r>
            <w:r w:rsidR="00844675">
              <w:rPr>
                <w:noProof/>
                <w:webHidden/>
              </w:rPr>
              <w:fldChar w:fldCharType="begin"/>
            </w:r>
            <w:r w:rsidR="00844675">
              <w:rPr>
                <w:noProof/>
                <w:webHidden/>
              </w:rPr>
              <w:instrText xml:space="preserve"> PAGEREF _Toc200377011 \h </w:instrText>
            </w:r>
            <w:r w:rsidR="00844675">
              <w:rPr>
                <w:noProof/>
                <w:webHidden/>
              </w:rPr>
            </w:r>
            <w:r w:rsidR="00844675">
              <w:rPr>
                <w:noProof/>
                <w:webHidden/>
              </w:rPr>
              <w:fldChar w:fldCharType="separate"/>
            </w:r>
            <w:r w:rsidR="00844675">
              <w:rPr>
                <w:noProof/>
                <w:webHidden/>
              </w:rPr>
              <w:t>138</w:t>
            </w:r>
            <w:r w:rsidR="00844675">
              <w:rPr>
                <w:noProof/>
                <w:webHidden/>
              </w:rPr>
              <w:fldChar w:fldCharType="end"/>
            </w:r>
          </w:hyperlink>
        </w:p>
        <w:p w14:paraId="0E348200" w14:textId="33D31782" w:rsidR="00844675" w:rsidRDefault="003C3A0E">
          <w:pPr>
            <w:pStyle w:val="TOC2"/>
            <w:rPr>
              <w:rFonts w:asciiTheme="minorHAnsi" w:eastAsiaTheme="minorEastAsia" w:hAnsiTheme="minorHAnsi"/>
              <w:noProof/>
              <w:sz w:val="24"/>
              <w:szCs w:val="24"/>
            </w:rPr>
          </w:pPr>
          <w:hyperlink w:anchor="_Toc200377012" w:history="1">
            <w:r w:rsidR="00844675" w:rsidRPr="00F5198F">
              <w:rPr>
                <w:rStyle w:val="Hyperlink"/>
                <w:noProof/>
              </w:rPr>
              <w:t>15.9</w:t>
            </w:r>
            <w:r w:rsidR="00844675">
              <w:rPr>
                <w:rFonts w:asciiTheme="minorHAnsi" w:eastAsiaTheme="minorEastAsia" w:hAnsiTheme="minorHAnsi"/>
                <w:noProof/>
                <w:sz w:val="24"/>
                <w:szCs w:val="24"/>
              </w:rPr>
              <w:tab/>
            </w:r>
            <w:r w:rsidR="00844675" w:rsidRPr="00F5198F">
              <w:rPr>
                <w:rStyle w:val="Hyperlink"/>
                <w:noProof/>
              </w:rPr>
              <w:t>Recalculating Tenant Rent</w:t>
            </w:r>
            <w:r w:rsidR="00844675">
              <w:rPr>
                <w:noProof/>
                <w:webHidden/>
              </w:rPr>
              <w:tab/>
            </w:r>
            <w:r w:rsidR="00844675">
              <w:rPr>
                <w:noProof/>
                <w:webHidden/>
              </w:rPr>
              <w:fldChar w:fldCharType="begin"/>
            </w:r>
            <w:r w:rsidR="00844675">
              <w:rPr>
                <w:noProof/>
                <w:webHidden/>
              </w:rPr>
              <w:instrText xml:space="preserve"> PAGEREF _Toc200377012 \h </w:instrText>
            </w:r>
            <w:r w:rsidR="00844675">
              <w:rPr>
                <w:noProof/>
                <w:webHidden/>
              </w:rPr>
            </w:r>
            <w:r w:rsidR="00844675">
              <w:rPr>
                <w:noProof/>
                <w:webHidden/>
              </w:rPr>
              <w:fldChar w:fldCharType="separate"/>
            </w:r>
            <w:r w:rsidR="00844675">
              <w:rPr>
                <w:noProof/>
                <w:webHidden/>
              </w:rPr>
              <w:t>139</w:t>
            </w:r>
            <w:r w:rsidR="00844675">
              <w:rPr>
                <w:noProof/>
                <w:webHidden/>
              </w:rPr>
              <w:fldChar w:fldCharType="end"/>
            </w:r>
          </w:hyperlink>
        </w:p>
        <w:p w14:paraId="0F6C02D5" w14:textId="73C851FC" w:rsidR="00844675" w:rsidRDefault="003C3A0E">
          <w:pPr>
            <w:pStyle w:val="TOC2"/>
            <w:rPr>
              <w:rFonts w:asciiTheme="minorHAnsi" w:eastAsiaTheme="minorEastAsia" w:hAnsiTheme="minorHAnsi"/>
              <w:noProof/>
              <w:sz w:val="24"/>
              <w:szCs w:val="24"/>
            </w:rPr>
          </w:pPr>
          <w:hyperlink w:anchor="_Toc200377013" w:history="1">
            <w:r w:rsidR="00844675" w:rsidRPr="00F5198F">
              <w:rPr>
                <w:rStyle w:val="Hyperlink"/>
                <w:noProof/>
              </w:rPr>
              <w:t>15.10</w:t>
            </w:r>
            <w:r w:rsidR="00844675">
              <w:rPr>
                <w:rFonts w:asciiTheme="minorHAnsi" w:eastAsiaTheme="minorEastAsia" w:hAnsiTheme="minorHAnsi"/>
                <w:noProof/>
                <w:sz w:val="24"/>
                <w:szCs w:val="24"/>
              </w:rPr>
              <w:tab/>
            </w:r>
            <w:r w:rsidR="00844675" w:rsidRPr="00F5198F">
              <w:rPr>
                <w:rStyle w:val="Hyperlink"/>
                <w:noProof/>
              </w:rPr>
              <w:t>Discrepancies</w:t>
            </w:r>
            <w:r w:rsidR="00844675">
              <w:rPr>
                <w:noProof/>
                <w:webHidden/>
              </w:rPr>
              <w:tab/>
            </w:r>
            <w:r w:rsidR="00844675">
              <w:rPr>
                <w:noProof/>
                <w:webHidden/>
              </w:rPr>
              <w:fldChar w:fldCharType="begin"/>
            </w:r>
            <w:r w:rsidR="00844675">
              <w:rPr>
                <w:noProof/>
                <w:webHidden/>
              </w:rPr>
              <w:instrText xml:space="preserve"> PAGEREF _Toc200377013 \h </w:instrText>
            </w:r>
            <w:r w:rsidR="00844675">
              <w:rPr>
                <w:noProof/>
                <w:webHidden/>
              </w:rPr>
            </w:r>
            <w:r w:rsidR="00844675">
              <w:rPr>
                <w:noProof/>
                <w:webHidden/>
              </w:rPr>
              <w:fldChar w:fldCharType="separate"/>
            </w:r>
            <w:r w:rsidR="00844675">
              <w:rPr>
                <w:noProof/>
                <w:webHidden/>
              </w:rPr>
              <w:t>139</w:t>
            </w:r>
            <w:r w:rsidR="00844675">
              <w:rPr>
                <w:noProof/>
                <w:webHidden/>
              </w:rPr>
              <w:fldChar w:fldCharType="end"/>
            </w:r>
          </w:hyperlink>
        </w:p>
        <w:p w14:paraId="3DB56E22" w14:textId="3D53ED85" w:rsidR="00844675" w:rsidRDefault="003C3A0E">
          <w:pPr>
            <w:pStyle w:val="TOC2"/>
            <w:rPr>
              <w:rFonts w:asciiTheme="minorHAnsi" w:eastAsiaTheme="minorEastAsia" w:hAnsiTheme="minorHAnsi"/>
              <w:noProof/>
              <w:sz w:val="24"/>
              <w:szCs w:val="24"/>
            </w:rPr>
          </w:pPr>
          <w:hyperlink w:anchor="_Toc200377014" w:history="1">
            <w:r w:rsidR="00844675" w:rsidRPr="00F5198F">
              <w:rPr>
                <w:rStyle w:val="Hyperlink"/>
                <w:noProof/>
              </w:rPr>
              <w:t>15.11</w:t>
            </w:r>
            <w:r w:rsidR="00844675">
              <w:rPr>
                <w:rFonts w:asciiTheme="minorHAnsi" w:eastAsiaTheme="minorEastAsia" w:hAnsiTheme="minorHAnsi"/>
                <w:noProof/>
                <w:sz w:val="24"/>
                <w:szCs w:val="24"/>
              </w:rPr>
              <w:tab/>
            </w:r>
            <w:r w:rsidR="00844675" w:rsidRPr="00F5198F">
              <w:rPr>
                <w:rStyle w:val="Hyperlink"/>
                <w:noProof/>
              </w:rPr>
              <w:t>Other Continued Occupancy Policies</w:t>
            </w:r>
            <w:r w:rsidR="00844675">
              <w:rPr>
                <w:noProof/>
                <w:webHidden/>
              </w:rPr>
              <w:tab/>
            </w:r>
            <w:r w:rsidR="00844675">
              <w:rPr>
                <w:noProof/>
                <w:webHidden/>
              </w:rPr>
              <w:fldChar w:fldCharType="begin"/>
            </w:r>
            <w:r w:rsidR="00844675">
              <w:rPr>
                <w:noProof/>
                <w:webHidden/>
              </w:rPr>
              <w:instrText xml:space="preserve"> PAGEREF _Toc200377014 \h </w:instrText>
            </w:r>
            <w:r w:rsidR="00844675">
              <w:rPr>
                <w:noProof/>
                <w:webHidden/>
              </w:rPr>
            </w:r>
            <w:r w:rsidR="00844675">
              <w:rPr>
                <w:noProof/>
                <w:webHidden/>
              </w:rPr>
              <w:fldChar w:fldCharType="separate"/>
            </w:r>
            <w:r w:rsidR="00844675">
              <w:rPr>
                <w:noProof/>
                <w:webHidden/>
              </w:rPr>
              <w:t>139</w:t>
            </w:r>
            <w:r w:rsidR="00844675">
              <w:rPr>
                <w:noProof/>
                <w:webHidden/>
              </w:rPr>
              <w:fldChar w:fldCharType="end"/>
            </w:r>
          </w:hyperlink>
        </w:p>
        <w:p w14:paraId="744EF680" w14:textId="421C7DA1" w:rsidR="00844675" w:rsidRDefault="003C3A0E" w:rsidP="00AD20A4">
          <w:pPr>
            <w:pStyle w:val="TOC1"/>
            <w:rPr>
              <w:rFonts w:asciiTheme="minorHAnsi" w:eastAsiaTheme="minorEastAsia" w:hAnsiTheme="minorHAnsi"/>
              <w:noProof/>
              <w:color w:val="auto"/>
              <w:szCs w:val="24"/>
            </w:rPr>
          </w:pPr>
          <w:hyperlink w:anchor="_Toc200377015" w:history="1">
            <w:r w:rsidR="00844675" w:rsidRPr="00F5198F">
              <w:rPr>
                <w:rStyle w:val="Hyperlink"/>
                <w:noProof/>
                <w:lang w:bidi="en-US"/>
              </w:rPr>
              <w:t>CHAPTER 16: PETS AND ASSISTANCE ANIMALS</w:t>
            </w:r>
            <w:r w:rsidR="00844675">
              <w:rPr>
                <w:noProof/>
                <w:webHidden/>
              </w:rPr>
              <w:tab/>
            </w:r>
            <w:r w:rsidR="00844675">
              <w:rPr>
                <w:noProof/>
                <w:webHidden/>
              </w:rPr>
              <w:fldChar w:fldCharType="begin"/>
            </w:r>
            <w:r w:rsidR="00844675">
              <w:rPr>
                <w:noProof/>
                <w:webHidden/>
              </w:rPr>
              <w:instrText xml:space="preserve"> PAGEREF _Toc200377015 \h </w:instrText>
            </w:r>
            <w:r w:rsidR="00844675">
              <w:rPr>
                <w:noProof/>
                <w:webHidden/>
              </w:rPr>
            </w:r>
            <w:r w:rsidR="00844675">
              <w:rPr>
                <w:noProof/>
                <w:webHidden/>
              </w:rPr>
              <w:fldChar w:fldCharType="separate"/>
            </w:r>
            <w:r w:rsidR="00844675">
              <w:rPr>
                <w:noProof/>
                <w:webHidden/>
              </w:rPr>
              <w:t>143</w:t>
            </w:r>
            <w:r w:rsidR="00844675">
              <w:rPr>
                <w:noProof/>
                <w:webHidden/>
              </w:rPr>
              <w:fldChar w:fldCharType="end"/>
            </w:r>
          </w:hyperlink>
        </w:p>
        <w:p w14:paraId="145378C6" w14:textId="262C17A2" w:rsidR="00844675" w:rsidRDefault="003C3A0E">
          <w:pPr>
            <w:pStyle w:val="TOC2"/>
            <w:rPr>
              <w:rFonts w:asciiTheme="minorHAnsi" w:eastAsiaTheme="minorEastAsia" w:hAnsiTheme="minorHAnsi"/>
              <w:noProof/>
              <w:sz w:val="24"/>
              <w:szCs w:val="24"/>
            </w:rPr>
          </w:pPr>
          <w:hyperlink w:anchor="_Toc200377016" w:history="1">
            <w:r w:rsidR="00844675" w:rsidRPr="00F5198F">
              <w:rPr>
                <w:rStyle w:val="Hyperlink"/>
                <w:noProof/>
              </w:rPr>
              <w:t>16.1</w:t>
            </w:r>
            <w:r w:rsidR="00844675">
              <w:rPr>
                <w:rFonts w:asciiTheme="minorHAnsi" w:eastAsiaTheme="minorEastAsia" w:hAnsiTheme="minorHAnsi"/>
                <w:noProof/>
                <w:sz w:val="24"/>
                <w:szCs w:val="24"/>
              </w:rPr>
              <w:tab/>
            </w:r>
            <w:r w:rsidR="00844675" w:rsidRPr="00F5198F">
              <w:rPr>
                <w:rStyle w:val="Hyperlink"/>
                <w:noProof/>
              </w:rPr>
              <w:t>Introduction</w:t>
            </w:r>
            <w:r w:rsidR="00844675">
              <w:rPr>
                <w:noProof/>
                <w:webHidden/>
              </w:rPr>
              <w:tab/>
            </w:r>
            <w:r w:rsidR="00844675">
              <w:rPr>
                <w:noProof/>
                <w:webHidden/>
              </w:rPr>
              <w:fldChar w:fldCharType="begin"/>
            </w:r>
            <w:r w:rsidR="00844675">
              <w:rPr>
                <w:noProof/>
                <w:webHidden/>
              </w:rPr>
              <w:instrText xml:space="preserve"> PAGEREF _Toc200377016 \h </w:instrText>
            </w:r>
            <w:r w:rsidR="00844675">
              <w:rPr>
                <w:noProof/>
                <w:webHidden/>
              </w:rPr>
            </w:r>
            <w:r w:rsidR="00844675">
              <w:rPr>
                <w:noProof/>
                <w:webHidden/>
              </w:rPr>
              <w:fldChar w:fldCharType="separate"/>
            </w:r>
            <w:r w:rsidR="00844675">
              <w:rPr>
                <w:noProof/>
                <w:webHidden/>
              </w:rPr>
              <w:t>143</w:t>
            </w:r>
            <w:r w:rsidR="00844675">
              <w:rPr>
                <w:noProof/>
                <w:webHidden/>
              </w:rPr>
              <w:fldChar w:fldCharType="end"/>
            </w:r>
          </w:hyperlink>
        </w:p>
        <w:p w14:paraId="614D0989" w14:textId="24E995EB" w:rsidR="00844675" w:rsidRDefault="003C3A0E">
          <w:pPr>
            <w:pStyle w:val="TOC2"/>
            <w:rPr>
              <w:rFonts w:asciiTheme="minorHAnsi" w:eastAsiaTheme="minorEastAsia" w:hAnsiTheme="minorHAnsi"/>
              <w:noProof/>
              <w:sz w:val="24"/>
              <w:szCs w:val="24"/>
            </w:rPr>
          </w:pPr>
          <w:hyperlink w:anchor="_Toc200377017" w:history="1">
            <w:r w:rsidR="00844675" w:rsidRPr="00F5198F">
              <w:rPr>
                <w:rStyle w:val="Hyperlink"/>
                <w:noProof/>
              </w:rPr>
              <w:t>16.2</w:t>
            </w:r>
            <w:r w:rsidR="00844675">
              <w:rPr>
                <w:rFonts w:asciiTheme="minorHAnsi" w:eastAsiaTheme="minorEastAsia" w:hAnsiTheme="minorHAnsi"/>
                <w:noProof/>
                <w:sz w:val="24"/>
                <w:szCs w:val="24"/>
              </w:rPr>
              <w:tab/>
            </w:r>
            <w:r w:rsidR="00844675" w:rsidRPr="00F5198F">
              <w:rPr>
                <w:rStyle w:val="Hyperlink"/>
                <w:noProof/>
              </w:rPr>
              <w:t>Assistance Animals</w:t>
            </w:r>
            <w:r w:rsidR="00844675">
              <w:rPr>
                <w:noProof/>
                <w:webHidden/>
              </w:rPr>
              <w:tab/>
            </w:r>
            <w:r w:rsidR="00844675">
              <w:rPr>
                <w:noProof/>
                <w:webHidden/>
              </w:rPr>
              <w:fldChar w:fldCharType="begin"/>
            </w:r>
            <w:r w:rsidR="00844675">
              <w:rPr>
                <w:noProof/>
                <w:webHidden/>
              </w:rPr>
              <w:instrText xml:space="preserve"> PAGEREF _Toc200377017 \h </w:instrText>
            </w:r>
            <w:r w:rsidR="00844675">
              <w:rPr>
                <w:noProof/>
                <w:webHidden/>
              </w:rPr>
            </w:r>
            <w:r w:rsidR="00844675">
              <w:rPr>
                <w:noProof/>
                <w:webHidden/>
              </w:rPr>
              <w:fldChar w:fldCharType="separate"/>
            </w:r>
            <w:r w:rsidR="00844675">
              <w:rPr>
                <w:noProof/>
                <w:webHidden/>
              </w:rPr>
              <w:t>143</w:t>
            </w:r>
            <w:r w:rsidR="00844675">
              <w:rPr>
                <w:noProof/>
                <w:webHidden/>
              </w:rPr>
              <w:fldChar w:fldCharType="end"/>
            </w:r>
          </w:hyperlink>
        </w:p>
        <w:p w14:paraId="6373C328" w14:textId="375E3474" w:rsidR="00844675" w:rsidRDefault="003C3A0E">
          <w:pPr>
            <w:pStyle w:val="TOC2"/>
            <w:rPr>
              <w:rFonts w:asciiTheme="minorHAnsi" w:eastAsiaTheme="minorEastAsia" w:hAnsiTheme="minorHAnsi"/>
              <w:noProof/>
              <w:sz w:val="24"/>
              <w:szCs w:val="24"/>
            </w:rPr>
          </w:pPr>
          <w:hyperlink w:anchor="_Toc200377018" w:history="1">
            <w:r w:rsidR="00844675" w:rsidRPr="00F5198F">
              <w:rPr>
                <w:rStyle w:val="Hyperlink"/>
                <w:noProof/>
              </w:rPr>
              <w:t>16.3</w:t>
            </w:r>
            <w:r w:rsidR="00844675">
              <w:rPr>
                <w:rFonts w:asciiTheme="minorHAnsi" w:eastAsiaTheme="minorEastAsia" w:hAnsiTheme="minorHAnsi"/>
                <w:noProof/>
                <w:sz w:val="24"/>
                <w:szCs w:val="24"/>
              </w:rPr>
              <w:tab/>
            </w:r>
            <w:r w:rsidR="00844675" w:rsidRPr="00F5198F">
              <w:rPr>
                <w:rStyle w:val="Hyperlink"/>
                <w:noProof/>
              </w:rPr>
              <w:t>Pets</w:t>
            </w:r>
            <w:r w:rsidR="00844675">
              <w:rPr>
                <w:noProof/>
                <w:webHidden/>
              </w:rPr>
              <w:tab/>
            </w:r>
            <w:r w:rsidR="00844675">
              <w:rPr>
                <w:noProof/>
                <w:webHidden/>
              </w:rPr>
              <w:fldChar w:fldCharType="begin"/>
            </w:r>
            <w:r w:rsidR="00844675">
              <w:rPr>
                <w:noProof/>
                <w:webHidden/>
              </w:rPr>
              <w:instrText xml:space="preserve"> PAGEREF _Toc200377018 \h </w:instrText>
            </w:r>
            <w:r w:rsidR="00844675">
              <w:rPr>
                <w:noProof/>
                <w:webHidden/>
              </w:rPr>
            </w:r>
            <w:r w:rsidR="00844675">
              <w:rPr>
                <w:noProof/>
                <w:webHidden/>
              </w:rPr>
              <w:fldChar w:fldCharType="separate"/>
            </w:r>
            <w:r w:rsidR="00844675">
              <w:rPr>
                <w:noProof/>
                <w:webHidden/>
              </w:rPr>
              <w:t>144</w:t>
            </w:r>
            <w:r w:rsidR="00844675">
              <w:rPr>
                <w:noProof/>
                <w:webHidden/>
              </w:rPr>
              <w:fldChar w:fldCharType="end"/>
            </w:r>
          </w:hyperlink>
        </w:p>
        <w:p w14:paraId="6B12AF11" w14:textId="430894D4" w:rsidR="00844675" w:rsidRDefault="003C3A0E" w:rsidP="00AD20A4">
          <w:pPr>
            <w:pStyle w:val="TOC1"/>
            <w:rPr>
              <w:rFonts w:asciiTheme="minorHAnsi" w:eastAsiaTheme="minorEastAsia" w:hAnsiTheme="minorHAnsi"/>
              <w:noProof/>
              <w:color w:val="auto"/>
              <w:szCs w:val="24"/>
            </w:rPr>
          </w:pPr>
          <w:hyperlink w:anchor="_Toc200377019" w:history="1">
            <w:r w:rsidR="00844675" w:rsidRPr="00F5198F">
              <w:rPr>
                <w:rStyle w:val="Hyperlink"/>
                <w:noProof/>
                <w:lang w:bidi="en-US"/>
              </w:rPr>
              <w:t>CHAPTER 17: COMMUNITY SERVICE</w:t>
            </w:r>
            <w:r w:rsidR="00844675">
              <w:rPr>
                <w:noProof/>
                <w:webHidden/>
              </w:rPr>
              <w:tab/>
            </w:r>
            <w:r w:rsidR="00844675">
              <w:rPr>
                <w:noProof/>
                <w:webHidden/>
              </w:rPr>
              <w:fldChar w:fldCharType="begin"/>
            </w:r>
            <w:r w:rsidR="00844675">
              <w:rPr>
                <w:noProof/>
                <w:webHidden/>
              </w:rPr>
              <w:instrText xml:space="preserve"> PAGEREF _Toc200377019 \h </w:instrText>
            </w:r>
            <w:r w:rsidR="00844675">
              <w:rPr>
                <w:noProof/>
                <w:webHidden/>
              </w:rPr>
            </w:r>
            <w:r w:rsidR="00844675">
              <w:rPr>
                <w:noProof/>
                <w:webHidden/>
              </w:rPr>
              <w:fldChar w:fldCharType="separate"/>
            </w:r>
            <w:r w:rsidR="00844675">
              <w:rPr>
                <w:noProof/>
                <w:webHidden/>
              </w:rPr>
              <w:t>152</w:t>
            </w:r>
            <w:r w:rsidR="00844675">
              <w:rPr>
                <w:noProof/>
                <w:webHidden/>
              </w:rPr>
              <w:fldChar w:fldCharType="end"/>
            </w:r>
          </w:hyperlink>
        </w:p>
        <w:p w14:paraId="46D321B3" w14:textId="7F7ABED6" w:rsidR="00844675" w:rsidRDefault="003C3A0E">
          <w:pPr>
            <w:pStyle w:val="TOC2"/>
            <w:rPr>
              <w:rFonts w:asciiTheme="minorHAnsi" w:eastAsiaTheme="minorEastAsia" w:hAnsiTheme="minorHAnsi"/>
              <w:noProof/>
              <w:sz w:val="24"/>
              <w:szCs w:val="24"/>
            </w:rPr>
          </w:pPr>
          <w:hyperlink w:anchor="_Toc200377020" w:history="1">
            <w:r w:rsidR="00844675" w:rsidRPr="00F5198F">
              <w:rPr>
                <w:rStyle w:val="Hyperlink"/>
                <w:noProof/>
              </w:rPr>
              <w:t>17.1</w:t>
            </w:r>
            <w:r w:rsidR="00844675">
              <w:rPr>
                <w:rFonts w:asciiTheme="minorHAnsi" w:eastAsiaTheme="minorEastAsia" w:hAnsiTheme="minorHAnsi"/>
                <w:noProof/>
                <w:sz w:val="24"/>
                <w:szCs w:val="24"/>
              </w:rPr>
              <w:tab/>
            </w:r>
            <w:r w:rsidR="00844675" w:rsidRPr="00F5198F">
              <w:rPr>
                <w:rStyle w:val="Hyperlink"/>
                <w:noProof/>
              </w:rPr>
              <w:t>Introduction</w:t>
            </w:r>
            <w:r w:rsidR="00844675">
              <w:rPr>
                <w:noProof/>
                <w:webHidden/>
              </w:rPr>
              <w:tab/>
            </w:r>
            <w:r w:rsidR="00844675">
              <w:rPr>
                <w:noProof/>
                <w:webHidden/>
              </w:rPr>
              <w:fldChar w:fldCharType="begin"/>
            </w:r>
            <w:r w:rsidR="00844675">
              <w:rPr>
                <w:noProof/>
                <w:webHidden/>
              </w:rPr>
              <w:instrText xml:space="preserve"> PAGEREF _Toc200377020 \h </w:instrText>
            </w:r>
            <w:r w:rsidR="00844675">
              <w:rPr>
                <w:noProof/>
                <w:webHidden/>
              </w:rPr>
            </w:r>
            <w:r w:rsidR="00844675">
              <w:rPr>
                <w:noProof/>
                <w:webHidden/>
              </w:rPr>
              <w:fldChar w:fldCharType="separate"/>
            </w:r>
            <w:r w:rsidR="00844675">
              <w:rPr>
                <w:noProof/>
                <w:webHidden/>
              </w:rPr>
              <w:t>152</w:t>
            </w:r>
            <w:r w:rsidR="00844675">
              <w:rPr>
                <w:noProof/>
                <w:webHidden/>
              </w:rPr>
              <w:fldChar w:fldCharType="end"/>
            </w:r>
          </w:hyperlink>
        </w:p>
        <w:p w14:paraId="2CC0BA0D" w14:textId="2142E188" w:rsidR="00844675" w:rsidRDefault="003C3A0E">
          <w:pPr>
            <w:pStyle w:val="TOC2"/>
            <w:rPr>
              <w:rFonts w:asciiTheme="minorHAnsi" w:eastAsiaTheme="minorEastAsia" w:hAnsiTheme="minorHAnsi"/>
              <w:noProof/>
              <w:sz w:val="24"/>
              <w:szCs w:val="24"/>
            </w:rPr>
          </w:pPr>
          <w:hyperlink w:anchor="_Toc200377021" w:history="1">
            <w:r w:rsidR="00844675" w:rsidRPr="00F5198F">
              <w:rPr>
                <w:rStyle w:val="Hyperlink"/>
                <w:noProof/>
              </w:rPr>
              <w:t>17.2</w:t>
            </w:r>
            <w:r w:rsidR="00844675">
              <w:rPr>
                <w:rFonts w:asciiTheme="minorHAnsi" w:eastAsiaTheme="minorEastAsia" w:hAnsiTheme="minorHAnsi"/>
                <w:noProof/>
                <w:sz w:val="24"/>
                <w:szCs w:val="24"/>
              </w:rPr>
              <w:tab/>
            </w:r>
            <w:r w:rsidR="00844675" w:rsidRPr="00F5198F">
              <w:rPr>
                <w:rStyle w:val="Hyperlink"/>
                <w:noProof/>
              </w:rPr>
              <w:t>Basic Community Service and Self-Sufficiency Requirements</w:t>
            </w:r>
            <w:r w:rsidR="00844675">
              <w:rPr>
                <w:noProof/>
                <w:webHidden/>
              </w:rPr>
              <w:tab/>
            </w:r>
            <w:r w:rsidR="00844675">
              <w:rPr>
                <w:noProof/>
                <w:webHidden/>
              </w:rPr>
              <w:fldChar w:fldCharType="begin"/>
            </w:r>
            <w:r w:rsidR="00844675">
              <w:rPr>
                <w:noProof/>
                <w:webHidden/>
              </w:rPr>
              <w:instrText xml:space="preserve"> PAGEREF _Toc200377021 \h </w:instrText>
            </w:r>
            <w:r w:rsidR="00844675">
              <w:rPr>
                <w:noProof/>
                <w:webHidden/>
              </w:rPr>
            </w:r>
            <w:r w:rsidR="00844675">
              <w:rPr>
                <w:noProof/>
                <w:webHidden/>
              </w:rPr>
              <w:fldChar w:fldCharType="separate"/>
            </w:r>
            <w:r w:rsidR="00844675">
              <w:rPr>
                <w:noProof/>
                <w:webHidden/>
              </w:rPr>
              <w:t>152</w:t>
            </w:r>
            <w:r w:rsidR="00844675">
              <w:rPr>
                <w:noProof/>
                <w:webHidden/>
              </w:rPr>
              <w:fldChar w:fldCharType="end"/>
            </w:r>
          </w:hyperlink>
        </w:p>
        <w:p w14:paraId="78AE5F62" w14:textId="3C23B8C4" w:rsidR="00844675" w:rsidRDefault="003C3A0E">
          <w:pPr>
            <w:pStyle w:val="TOC2"/>
            <w:rPr>
              <w:rFonts w:asciiTheme="minorHAnsi" w:eastAsiaTheme="minorEastAsia" w:hAnsiTheme="minorHAnsi"/>
              <w:noProof/>
              <w:sz w:val="24"/>
              <w:szCs w:val="24"/>
            </w:rPr>
          </w:pPr>
          <w:hyperlink w:anchor="_Toc200377022" w:history="1">
            <w:r w:rsidR="00844675" w:rsidRPr="00F5198F">
              <w:rPr>
                <w:rStyle w:val="Hyperlink"/>
                <w:noProof/>
              </w:rPr>
              <w:t>17.3</w:t>
            </w:r>
            <w:r w:rsidR="00844675">
              <w:rPr>
                <w:rFonts w:asciiTheme="minorHAnsi" w:eastAsiaTheme="minorEastAsia" w:hAnsiTheme="minorHAnsi"/>
                <w:noProof/>
                <w:sz w:val="24"/>
                <w:szCs w:val="24"/>
              </w:rPr>
              <w:tab/>
            </w:r>
            <w:r w:rsidR="00844675" w:rsidRPr="00F5198F">
              <w:rPr>
                <w:rStyle w:val="Hyperlink"/>
                <w:noProof/>
              </w:rPr>
              <w:t>Exempt Tenants</w:t>
            </w:r>
            <w:r w:rsidR="00844675">
              <w:rPr>
                <w:noProof/>
                <w:webHidden/>
              </w:rPr>
              <w:tab/>
            </w:r>
            <w:r w:rsidR="00844675">
              <w:rPr>
                <w:noProof/>
                <w:webHidden/>
              </w:rPr>
              <w:fldChar w:fldCharType="begin"/>
            </w:r>
            <w:r w:rsidR="00844675">
              <w:rPr>
                <w:noProof/>
                <w:webHidden/>
              </w:rPr>
              <w:instrText xml:space="preserve"> PAGEREF _Toc200377022 \h </w:instrText>
            </w:r>
            <w:r w:rsidR="00844675">
              <w:rPr>
                <w:noProof/>
                <w:webHidden/>
              </w:rPr>
            </w:r>
            <w:r w:rsidR="00844675">
              <w:rPr>
                <w:noProof/>
                <w:webHidden/>
              </w:rPr>
              <w:fldChar w:fldCharType="separate"/>
            </w:r>
            <w:r w:rsidR="00844675">
              <w:rPr>
                <w:noProof/>
                <w:webHidden/>
              </w:rPr>
              <w:t>152</w:t>
            </w:r>
            <w:r w:rsidR="00844675">
              <w:rPr>
                <w:noProof/>
                <w:webHidden/>
              </w:rPr>
              <w:fldChar w:fldCharType="end"/>
            </w:r>
          </w:hyperlink>
        </w:p>
        <w:p w14:paraId="548E2A90" w14:textId="1AC79B4D" w:rsidR="00844675" w:rsidRDefault="003C3A0E">
          <w:pPr>
            <w:pStyle w:val="TOC2"/>
            <w:rPr>
              <w:rFonts w:asciiTheme="minorHAnsi" w:eastAsiaTheme="minorEastAsia" w:hAnsiTheme="minorHAnsi"/>
              <w:noProof/>
              <w:sz w:val="24"/>
              <w:szCs w:val="24"/>
            </w:rPr>
          </w:pPr>
          <w:hyperlink w:anchor="_Toc200377023" w:history="1">
            <w:r w:rsidR="00844675" w:rsidRPr="00F5198F">
              <w:rPr>
                <w:rStyle w:val="Hyperlink"/>
                <w:noProof/>
              </w:rPr>
              <w:t>17.4</w:t>
            </w:r>
            <w:r w:rsidR="00844675">
              <w:rPr>
                <w:rFonts w:asciiTheme="minorHAnsi" w:eastAsiaTheme="minorEastAsia" w:hAnsiTheme="minorHAnsi"/>
                <w:noProof/>
                <w:sz w:val="24"/>
                <w:szCs w:val="24"/>
              </w:rPr>
              <w:tab/>
            </w:r>
            <w:r w:rsidR="00844675" w:rsidRPr="00F5198F">
              <w:rPr>
                <w:rStyle w:val="Hyperlink"/>
                <w:noProof/>
              </w:rPr>
              <w:t>Work Activities</w:t>
            </w:r>
            <w:r w:rsidR="00844675">
              <w:rPr>
                <w:noProof/>
                <w:webHidden/>
              </w:rPr>
              <w:tab/>
            </w:r>
            <w:r w:rsidR="00844675">
              <w:rPr>
                <w:noProof/>
                <w:webHidden/>
              </w:rPr>
              <w:fldChar w:fldCharType="begin"/>
            </w:r>
            <w:r w:rsidR="00844675">
              <w:rPr>
                <w:noProof/>
                <w:webHidden/>
              </w:rPr>
              <w:instrText xml:space="preserve"> PAGEREF _Toc200377023 \h </w:instrText>
            </w:r>
            <w:r w:rsidR="00844675">
              <w:rPr>
                <w:noProof/>
                <w:webHidden/>
              </w:rPr>
            </w:r>
            <w:r w:rsidR="00844675">
              <w:rPr>
                <w:noProof/>
                <w:webHidden/>
              </w:rPr>
              <w:fldChar w:fldCharType="separate"/>
            </w:r>
            <w:r w:rsidR="00844675">
              <w:rPr>
                <w:noProof/>
                <w:webHidden/>
              </w:rPr>
              <w:t>153</w:t>
            </w:r>
            <w:r w:rsidR="00844675">
              <w:rPr>
                <w:noProof/>
                <w:webHidden/>
              </w:rPr>
              <w:fldChar w:fldCharType="end"/>
            </w:r>
          </w:hyperlink>
        </w:p>
        <w:p w14:paraId="6D03A8CE" w14:textId="19A85555" w:rsidR="00844675" w:rsidRDefault="003C3A0E">
          <w:pPr>
            <w:pStyle w:val="TOC2"/>
            <w:rPr>
              <w:rFonts w:asciiTheme="minorHAnsi" w:eastAsiaTheme="minorEastAsia" w:hAnsiTheme="minorHAnsi"/>
              <w:noProof/>
              <w:sz w:val="24"/>
              <w:szCs w:val="24"/>
            </w:rPr>
          </w:pPr>
          <w:hyperlink w:anchor="_Toc200377024" w:history="1">
            <w:r w:rsidR="00844675" w:rsidRPr="00F5198F">
              <w:rPr>
                <w:rStyle w:val="Hyperlink"/>
                <w:noProof/>
              </w:rPr>
              <w:t>17.5</w:t>
            </w:r>
            <w:r w:rsidR="00844675">
              <w:rPr>
                <w:rFonts w:asciiTheme="minorHAnsi" w:eastAsiaTheme="minorEastAsia" w:hAnsiTheme="minorHAnsi"/>
                <w:noProof/>
                <w:sz w:val="24"/>
                <w:szCs w:val="24"/>
              </w:rPr>
              <w:tab/>
            </w:r>
            <w:r w:rsidR="00844675" w:rsidRPr="00F5198F">
              <w:rPr>
                <w:rStyle w:val="Hyperlink"/>
                <w:noProof/>
              </w:rPr>
              <w:t>Community Service</w:t>
            </w:r>
            <w:r w:rsidR="00844675">
              <w:rPr>
                <w:noProof/>
                <w:webHidden/>
              </w:rPr>
              <w:tab/>
            </w:r>
            <w:r w:rsidR="00844675">
              <w:rPr>
                <w:noProof/>
                <w:webHidden/>
              </w:rPr>
              <w:fldChar w:fldCharType="begin"/>
            </w:r>
            <w:r w:rsidR="00844675">
              <w:rPr>
                <w:noProof/>
                <w:webHidden/>
              </w:rPr>
              <w:instrText xml:space="preserve"> PAGEREF _Toc200377024 \h </w:instrText>
            </w:r>
            <w:r w:rsidR="00844675">
              <w:rPr>
                <w:noProof/>
                <w:webHidden/>
              </w:rPr>
            </w:r>
            <w:r w:rsidR="00844675">
              <w:rPr>
                <w:noProof/>
                <w:webHidden/>
              </w:rPr>
              <w:fldChar w:fldCharType="separate"/>
            </w:r>
            <w:r w:rsidR="00844675">
              <w:rPr>
                <w:noProof/>
                <w:webHidden/>
              </w:rPr>
              <w:t>153</w:t>
            </w:r>
            <w:r w:rsidR="00844675">
              <w:rPr>
                <w:noProof/>
                <w:webHidden/>
              </w:rPr>
              <w:fldChar w:fldCharType="end"/>
            </w:r>
          </w:hyperlink>
        </w:p>
        <w:p w14:paraId="406FE684" w14:textId="14E8F36F" w:rsidR="00844675" w:rsidRDefault="003C3A0E">
          <w:pPr>
            <w:pStyle w:val="TOC2"/>
            <w:rPr>
              <w:rFonts w:asciiTheme="minorHAnsi" w:eastAsiaTheme="minorEastAsia" w:hAnsiTheme="minorHAnsi"/>
              <w:noProof/>
              <w:sz w:val="24"/>
              <w:szCs w:val="24"/>
            </w:rPr>
          </w:pPr>
          <w:hyperlink w:anchor="_Toc200377025" w:history="1">
            <w:r w:rsidR="00844675" w:rsidRPr="00F5198F">
              <w:rPr>
                <w:rStyle w:val="Hyperlink"/>
                <w:noProof/>
              </w:rPr>
              <w:t>17.6</w:t>
            </w:r>
            <w:r w:rsidR="00844675">
              <w:rPr>
                <w:rFonts w:asciiTheme="minorHAnsi" w:eastAsiaTheme="minorEastAsia" w:hAnsiTheme="minorHAnsi"/>
                <w:noProof/>
                <w:sz w:val="24"/>
                <w:szCs w:val="24"/>
              </w:rPr>
              <w:tab/>
            </w:r>
            <w:r w:rsidR="00844675" w:rsidRPr="00F5198F">
              <w:rPr>
                <w:rStyle w:val="Hyperlink"/>
                <w:noProof/>
              </w:rPr>
              <w:t>Self-Sufficiency Activities</w:t>
            </w:r>
            <w:r w:rsidR="00844675">
              <w:rPr>
                <w:noProof/>
                <w:webHidden/>
              </w:rPr>
              <w:tab/>
            </w:r>
            <w:r w:rsidR="00844675">
              <w:rPr>
                <w:noProof/>
                <w:webHidden/>
              </w:rPr>
              <w:fldChar w:fldCharType="begin"/>
            </w:r>
            <w:r w:rsidR="00844675">
              <w:rPr>
                <w:noProof/>
                <w:webHidden/>
              </w:rPr>
              <w:instrText xml:space="preserve"> PAGEREF _Toc200377025 \h </w:instrText>
            </w:r>
            <w:r w:rsidR="00844675">
              <w:rPr>
                <w:noProof/>
                <w:webHidden/>
              </w:rPr>
            </w:r>
            <w:r w:rsidR="00844675">
              <w:rPr>
                <w:noProof/>
                <w:webHidden/>
              </w:rPr>
              <w:fldChar w:fldCharType="separate"/>
            </w:r>
            <w:r w:rsidR="00844675">
              <w:rPr>
                <w:noProof/>
                <w:webHidden/>
              </w:rPr>
              <w:t>154</w:t>
            </w:r>
            <w:r w:rsidR="00844675">
              <w:rPr>
                <w:noProof/>
                <w:webHidden/>
              </w:rPr>
              <w:fldChar w:fldCharType="end"/>
            </w:r>
          </w:hyperlink>
        </w:p>
        <w:p w14:paraId="1FEB1D36" w14:textId="05CD12F9" w:rsidR="00844675" w:rsidRDefault="003C3A0E">
          <w:pPr>
            <w:pStyle w:val="TOC2"/>
            <w:rPr>
              <w:rFonts w:asciiTheme="minorHAnsi" w:eastAsiaTheme="minorEastAsia" w:hAnsiTheme="minorHAnsi"/>
              <w:noProof/>
              <w:sz w:val="24"/>
              <w:szCs w:val="24"/>
            </w:rPr>
          </w:pPr>
          <w:hyperlink w:anchor="_Toc200377026" w:history="1">
            <w:r w:rsidR="00844675" w:rsidRPr="00F5198F">
              <w:rPr>
                <w:rStyle w:val="Hyperlink"/>
                <w:noProof/>
              </w:rPr>
              <w:t>17.7</w:t>
            </w:r>
            <w:r w:rsidR="00844675">
              <w:rPr>
                <w:rFonts w:asciiTheme="minorHAnsi" w:eastAsiaTheme="minorEastAsia" w:hAnsiTheme="minorHAnsi"/>
                <w:noProof/>
                <w:sz w:val="24"/>
                <w:szCs w:val="24"/>
              </w:rPr>
              <w:tab/>
            </w:r>
            <w:r w:rsidR="00844675" w:rsidRPr="00F5198F">
              <w:rPr>
                <w:rStyle w:val="Hyperlink"/>
                <w:noProof/>
              </w:rPr>
              <w:t>Notice Requirements</w:t>
            </w:r>
            <w:r w:rsidR="00844675">
              <w:rPr>
                <w:noProof/>
                <w:webHidden/>
              </w:rPr>
              <w:tab/>
            </w:r>
            <w:r w:rsidR="00844675">
              <w:rPr>
                <w:noProof/>
                <w:webHidden/>
              </w:rPr>
              <w:fldChar w:fldCharType="begin"/>
            </w:r>
            <w:r w:rsidR="00844675">
              <w:rPr>
                <w:noProof/>
                <w:webHidden/>
              </w:rPr>
              <w:instrText xml:space="preserve"> PAGEREF _Toc200377026 \h </w:instrText>
            </w:r>
            <w:r w:rsidR="00844675">
              <w:rPr>
                <w:noProof/>
                <w:webHidden/>
              </w:rPr>
            </w:r>
            <w:r w:rsidR="00844675">
              <w:rPr>
                <w:noProof/>
                <w:webHidden/>
              </w:rPr>
              <w:fldChar w:fldCharType="separate"/>
            </w:r>
            <w:r w:rsidR="00844675">
              <w:rPr>
                <w:noProof/>
                <w:webHidden/>
              </w:rPr>
              <w:t>154</w:t>
            </w:r>
            <w:r w:rsidR="00844675">
              <w:rPr>
                <w:noProof/>
                <w:webHidden/>
              </w:rPr>
              <w:fldChar w:fldCharType="end"/>
            </w:r>
          </w:hyperlink>
        </w:p>
        <w:p w14:paraId="19CC707E" w14:textId="49C7AAC2" w:rsidR="00844675" w:rsidRDefault="003C3A0E">
          <w:pPr>
            <w:pStyle w:val="TOC2"/>
            <w:rPr>
              <w:rFonts w:asciiTheme="minorHAnsi" w:eastAsiaTheme="minorEastAsia" w:hAnsiTheme="minorHAnsi"/>
              <w:noProof/>
              <w:sz w:val="24"/>
              <w:szCs w:val="24"/>
            </w:rPr>
          </w:pPr>
          <w:hyperlink w:anchor="_Toc200377027" w:history="1">
            <w:r w:rsidR="00844675" w:rsidRPr="00F5198F">
              <w:rPr>
                <w:rStyle w:val="Hyperlink"/>
                <w:noProof/>
              </w:rPr>
              <w:t>17.8</w:t>
            </w:r>
            <w:r w:rsidR="00844675">
              <w:rPr>
                <w:rFonts w:asciiTheme="minorHAnsi" w:eastAsiaTheme="minorEastAsia" w:hAnsiTheme="minorHAnsi"/>
                <w:noProof/>
                <w:sz w:val="24"/>
                <w:szCs w:val="24"/>
              </w:rPr>
              <w:tab/>
            </w:r>
            <w:r w:rsidR="00844675" w:rsidRPr="00F5198F">
              <w:rPr>
                <w:rStyle w:val="Hyperlink"/>
                <w:noProof/>
              </w:rPr>
              <w:t>Determination of Exemption Status and Compliance</w:t>
            </w:r>
            <w:r w:rsidR="00844675">
              <w:rPr>
                <w:noProof/>
                <w:webHidden/>
              </w:rPr>
              <w:tab/>
            </w:r>
            <w:r w:rsidR="00844675">
              <w:rPr>
                <w:noProof/>
                <w:webHidden/>
              </w:rPr>
              <w:fldChar w:fldCharType="begin"/>
            </w:r>
            <w:r w:rsidR="00844675">
              <w:rPr>
                <w:noProof/>
                <w:webHidden/>
              </w:rPr>
              <w:instrText xml:space="preserve"> PAGEREF _Toc200377027 \h </w:instrText>
            </w:r>
            <w:r w:rsidR="00844675">
              <w:rPr>
                <w:noProof/>
                <w:webHidden/>
              </w:rPr>
            </w:r>
            <w:r w:rsidR="00844675">
              <w:rPr>
                <w:noProof/>
                <w:webHidden/>
              </w:rPr>
              <w:fldChar w:fldCharType="separate"/>
            </w:r>
            <w:r w:rsidR="00844675">
              <w:rPr>
                <w:noProof/>
                <w:webHidden/>
              </w:rPr>
              <w:t>154</w:t>
            </w:r>
            <w:r w:rsidR="00844675">
              <w:rPr>
                <w:noProof/>
                <w:webHidden/>
              </w:rPr>
              <w:fldChar w:fldCharType="end"/>
            </w:r>
          </w:hyperlink>
        </w:p>
        <w:p w14:paraId="53045D60" w14:textId="5CB3C157" w:rsidR="00844675" w:rsidRDefault="003C3A0E">
          <w:pPr>
            <w:pStyle w:val="TOC2"/>
            <w:rPr>
              <w:rFonts w:asciiTheme="minorHAnsi" w:eastAsiaTheme="minorEastAsia" w:hAnsiTheme="minorHAnsi"/>
              <w:noProof/>
              <w:sz w:val="24"/>
              <w:szCs w:val="24"/>
            </w:rPr>
          </w:pPr>
          <w:hyperlink w:anchor="_Toc200377028" w:history="1">
            <w:r w:rsidR="00844675" w:rsidRPr="00F5198F">
              <w:rPr>
                <w:rStyle w:val="Hyperlink"/>
                <w:noProof/>
              </w:rPr>
              <w:t>17.9</w:t>
            </w:r>
            <w:r w:rsidR="00844675">
              <w:rPr>
                <w:rFonts w:asciiTheme="minorHAnsi" w:eastAsiaTheme="minorEastAsia" w:hAnsiTheme="minorHAnsi"/>
                <w:noProof/>
                <w:sz w:val="24"/>
                <w:szCs w:val="24"/>
              </w:rPr>
              <w:tab/>
            </w:r>
            <w:r w:rsidR="00844675" w:rsidRPr="00F5198F">
              <w:rPr>
                <w:rStyle w:val="Hyperlink"/>
                <w:noProof/>
              </w:rPr>
              <w:t>Documentation and Verification</w:t>
            </w:r>
            <w:r w:rsidR="00844675">
              <w:rPr>
                <w:noProof/>
                <w:webHidden/>
              </w:rPr>
              <w:tab/>
            </w:r>
            <w:r w:rsidR="00844675">
              <w:rPr>
                <w:noProof/>
                <w:webHidden/>
              </w:rPr>
              <w:fldChar w:fldCharType="begin"/>
            </w:r>
            <w:r w:rsidR="00844675">
              <w:rPr>
                <w:noProof/>
                <w:webHidden/>
              </w:rPr>
              <w:instrText xml:space="preserve"> PAGEREF _Toc200377028 \h </w:instrText>
            </w:r>
            <w:r w:rsidR="00844675">
              <w:rPr>
                <w:noProof/>
                <w:webHidden/>
              </w:rPr>
            </w:r>
            <w:r w:rsidR="00844675">
              <w:rPr>
                <w:noProof/>
                <w:webHidden/>
              </w:rPr>
              <w:fldChar w:fldCharType="separate"/>
            </w:r>
            <w:r w:rsidR="00844675">
              <w:rPr>
                <w:noProof/>
                <w:webHidden/>
              </w:rPr>
              <w:t>156</w:t>
            </w:r>
            <w:r w:rsidR="00844675">
              <w:rPr>
                <w:noProof/>
                <w:webHidden/>
              </w:rPr>
              <w:fldChar w:fldCharType="end"/>
            </w:r>
          </w:hyperlink>
        </w:p>
        <w:p w14:paraId="697F1047" w14:textId="4B83084E" w:rsidR="00844675" w:rsidRDefault="003C3A0E">
          <w:pPr>
            <w:pStyle w:val="TOC2"/>
            <w:rPr>
              <w:rFonts w:asciiTheme="minorHAnsi" w:eastAsiaTheme="minorEastAsia" w:hAnsiTheme="minorHAnsi"/>
              <w:noProof/>
              <w:sz w:val="24"/>
              <w:szCs w:val="24"/>
            </w:rPr>
          </w:pPr>
          <w:hyperlink w:anchor="_Toc200377029" w:history="1">
            <w:r w:rsidR="00844675" w:rsidRPr="00F5198F">
              <w:rPr>
                <w:rStyle w:val="Hyperlink"/>
                <w:noProof/>
              </w:rPr>
              <w:t>17.10</w:t>
            </w:r>
            <w:r w:rsidR="00844675">
              <w:rPr>
                <w:rFonts w:asciiTheme="minorHAnsi" w:eastAsiaTheme="minorEastAsia" w:hAnsiTheme="minorHAnsi"/>
                <w:noProof/>
                <w:sz w:val="24"/>
                <w:szCs w:val="24"/>
              </w:rPr>
              <w:tab/>
            </w:r>
            <w:r w:rsidR="00844675" w:rsidRPr="00F5198F">
              <w:rPr>
                <w:rStyle w:val="Hyperlink"/>
                <w:noProof/>
              </w:rPr>
              <w:t>Noncompliance</w:t>
            </w:r>
            <w:r w:rsidR="00844675">
              <w:rPr>
                <w:noProof/>
                <w:webHidden/>
              </w:rPr>
              <w:tab/>
            </w:r>
            <w:r w:rsidR="00844675">
              <w:rPr>
                <w:noProof/>
                <w:webHidden/>
              </w:rPr>
              <w:fldChar w:fldCharType="begin"/>
            </w:r>
            <w:r w:rsidR="00844675">
              <w:rPr>
                <w:noProof/>
                <w:webHidden/>
              </w:rPr>
              <w:instrText xml:space="preserve"> PAGEREF _Toc200377029 \h </w:instrText>
            </w:r>
            <w:r w:rsidR="00844675">
              <w:rPr>
                <w:noProof/>
                <w:webHidden/>
              </w:rPr>
            </w:r>
            <w:r w:rsidR="00844675">
              <w:rPr>
                <w:noProof/>
                <w:webHidden/>
              </w:rPr>
              <w:fldChar w:fldCharType="separate"/>
            </w:r>
            <w:r w:rsidR="00844675">
              <w:rPr>
                <w:noProof/>
                <w:webHidden/>
              </w:rPr>
              <w:t>157</w:t>
            </w:r>
            <w:r w:rsidR="00844675">
              <w:rPr>
                <w:noProof/>
                <w:webHidden/>
              </w:rPr>
              <w:fldChar w:fldCharType="end"/>
            </w:r>
          </w:hyperlink>
        </w:p>
        <w:p w14:paraId="4AA05CEB" w14:textId="18AFDE16" w:rsidR="00844675" w:rsidRDefault="003C3A0E" w:rsidP="00AD20A4">
          <w:pPr>
            <w:pStyle w:val="TOC1"/>
            <w:rPr>
              <w:rFonts w:asciiTheme="minorHAnsi" w:eastAsiaTheme="minorEastAsia" w:hAnsiTheme="minorHAnsi"/>
              <w:noProof/>
              <w:color w:val="auto"/>
              <w:szCs w:val="24"/>
            </w:rPr>
          </w:pPr>
          <w:hyperlink w:anchor="_Toc200377030" w:history="1">
            <w:r w:rsidR="00844675" w:rsidRPr="00F5198F">
              <w:rPr>
                <w:rStyle w:val="Hyperlink"/>
                <w:noProof/>
                <w:lang w:bidi="en-US"/>
              </w:rPr>
              <w:t>CHAPTER 18: TRANSFERS</w:t>
            </w:r>
            <w:r w:rsidR="00844675">
              <w:rPr>
                <w:noProof/>
                <w:webHidden/>
              </w:rPr>
              <w:tab/>
            </w:r>
            <w:r w:rsidR="00844675">
              <w:rPr>
                <w:noProof/>
                <w:webHidden/>
              </w:rPr>
              <w:fldChar w:fldCharType="begin"/>
            </w:r>
            <w:r w:rsidR="00844675">
              <w:rPr>
                <w:noProof/>
                <w:webHidden/>
              </w:rPr>
              <w:instrText xml:space="preserve"> PAGEREF _Toc200377030 \h </w:instrText>
            </w:r>
            <w:r w:rsidR="00844675">
              <w:rPr>
                <w:noProof/>
                <w:webHidden/>
              </w:rPr>
            </w:r>
            <w:r w:rsidR="00844675">
              <w:rPr>
                <w:noProof/>
                <w:webHidden/>
              </w:rPr>
              <w:fldChar w:fldCharType="separate"/>
            </w:r>
            <w:r w:rsidR="00844675">
              <w:rPr>
                <w:noProof/>
                <w:webHidden/>
              </w:rPr>
              <w:t>159</w:t>
            </w:r>
            <w:r w:rsidR="00844675">
              <w:rPr>
                <w:noProof/>
                <w:webHidden/>
              </w:rPr>
              <w:fldChar w:fldCharType="end"/>
            </w:r>
          </w:hyperlink>
        </w:p>
        <w:p w14:paraId="05197725" w14:textId="2F4D0A05" w:rsidR="00844675" w:rsidRDefault="003C3A0E">
          <w:pPr>
            <w:pStyle w:val="TOC2"/>
            <w:rPr>
              <w:rFonts w:asciiTheme="minorHAnsi" w:eastAsiaTheme="minorEastAsia" w:hAnsiTheme="minorHAnsi"/>
              <w:noProof/>
              <w:sz w:val="24"/>
              <w:szCs w:val="24"/>
            </w:rPr>
          </w:pPr>
          <w:hyperlink w:anchor="_Toc200377031" w:history="1">
            <w:r w:rsidR="00844675" w:rsidRPr="00F5198F">
              <w:rPr>
                <w:rStyle w:val="Hyperlink"/>
                <w:noProof/>
              </w:rPr>
              <w:t>18.1</w:t>
            </w:r>
            <w:r w:rsidR="00844675">
              <w:rPr>
                <w:rFonts w:asciiTheme="minorHAnsi" w:eastAsiaTheme="minorEastAsia" w:hAnsiTheme="minorHAnsi"/>
                <w:noProof/>
                <w:sz w:val="24"/>
                <w:szCs w:val="24"/>
              </w:rPr>
              <w:tab/>
            </w:r>
            <w:r w:rsidR="00844675" w:rsidRPr="00F5198F">
              <w:rPr>
                <w:rStyle w:val="Hyperlink"/>
                <w:noProof/>
              </w:rPr>
              <w:t>Introduction</w:t>
            </w:r>
            <w:r w:rsidR="00844675">
              <w:rPr>
                <w:noProof/>
                <w:webHidden/>
              </w:rPr>
              <w:tab/>
            </w:r>
            <w:r w:rsidR="00844675">
              <w:rPr>
                <w:noProof/>
                <w:webHidden/>
              </w:rPr>
              <w:fldChar w:fldCharType="begin"/>
            </w:r>
            <w:r w:rsidR="00844675">
              <w:rPr>
                <w:noProof/>
                <w:webHidden/>
              </w:rPr>
              <w:instrText xml:space="preserve"> PAGEREF _Toc200377031 \h </w:instrText>
            </w:r>
            <w:r w:rsidR="00844675">
              <w:rPr>
                <w:noProof/>
                <w:webHidden/>
              </w:rPr>
            </w:r>
            <w:r w:rsidR="00844675">
              <w:rPr>
                <w:noProof/>
                <w:webHidden/>
              </w:rPr>
              <w:fldChar w:fldCharType="separate"/>
            </w:r>
            <w:r w:rsidR="00844675">
              <w:rPr>
                <w:noProof/>
                <w:webHidden/>
              </w:rPr>
              <w:t>159</w:t>
            </w:r>
            <w:r w:rsidR="00844675">
              <w:rPr>
                <w:noProof/>
                <w:webHidden/>
              </w:rPr>
              <w:fldChar w:fldCharType="end"/>
            </w:r>
          </w:hyperlink>
        </w:p>
        <w:p w14:paraId="3CFC7CC4" w14:textId="6B4FC8DC" w:rsidR="00844675" w:rsidRDefault="003C3A0E">
          <w:pPr>
            <w:pStyle w:val="TOC2"/>
            <w:rPr>
              <w:rFonts w:asciiTheme="minorHAnsi" w:eastAsiaTheme="minorEastAsia" w:hAnsiTheme="minorHAnsi"/>
              <w:noProof/>
              <w:sz w:val="24"/>
              <w:szCs w:val="24"/>
            </w:rPr>
          </w:pPr>
          <w:hyperlink w:anchor="_Toc200377032" w:history="1">
            <w:r w:rsidR="00844675" w:rsidRPr="00F5198F">
              <w:rPr>
                <w:rStyle w:val="Hyperlink"/>
                <w:noProof/>
              </w:rPr>
              <w:t>18.2</w:t>
            </w:r>
            <w:r w:rsidR="00844675">
              <w:rPr>
                <w:rFonts w:asciiTheme="minorHAnsi" w:eastAsiaTheme="minorEastAsia" w:hAnsiTheme="minorHAnsi"/>
                <w:noProof/>
                <w:sz w:val="24"/>
                <w:szCs w:val="24"/>
              </w:rPr>
              <w:tab/>
            </w:r>
            <w:r w:rsidR="00844675" w:rsidRPr="00F5198F">
              <w:rPr>
                <w:rStyle w:val="Hyperlink"/>
                <w:noProof/>
              </w:rPr>
              <w:t>Types of Transfers</w:t>
            </w:r>
            <w:r w:rsidR="00844675">
              <w:rPr>
                <w:noProof/>
                <w:webHidden/>
              </w:rPr>
              <w:tab/>
            </w:r>
            <w:r w:rsidR="00844675">
              <w:rPr>
                <w:noProof/>
                <w:webHidden/>
              </w:rPr>
              <w:fldChar w:fldCharType="begin"/>
            </w:r>
            <w:r w:rsidR="00844675">
              <w:rPr>
                <w:noProof/>
                <w:webHidden/>
              </w:rPr>
              <w:instrText xml:space="preserve"> PAGEREF _Toc200377032 \h </w:instrText>
            </w:r>
            <w:r w:rsidR="00844675">
              <w:rPr>
                <w:noProof/>
                <w:webHidden/>
              </w:rPr>
            </w:r>
            <w:r w:rsidR="00844675">
              <w:rPr>
                <w:noProof/>
                <w:webHidden/>
              </w:rPr>
              <w:fldChar w:fldCharType="separate"/>
            </w:r>
            <w:r w:rsidR="00844675">
              <w:rPr>
                <w:noProof/>
                <w:webHidden/>
              </w:rPr>
              <w:t>159</w:t>
            </w:r>
            <w:r w:rsidR="00844675">
              <w:rPr>
                <w:noProof/>
                <w:webHidden/>
              </w:rPr>
              <w:fldChar w:fldCharType="end"/>
            </w:r>
          </w:hyperlink>
        </w:p>
        <w:p w14:paraId="3D4B3921" w14:textId="2B45DB61" w:rsidR="00844675" w:rsidRDefault="003C3A0E">
          <w:pPr>
            <w:pStyle w:val="TOC2"/>
            <w:rPr>
              <w:rFonts w:asciiTheme="minorHAnsi" w:eastAsiaTheme="minorEastAsia" w:hAnsiTheme="minorHAnsi"/>
              <w:noProof/>
              <w:sz w:val="24"/>
              <w:szCs w:val="24"/>
            </w:rPr>
          </w:pPr>
          <w:hyperlink w:anchor="_Toc200377033" w:history="1">
            <w:r w:rsidR="00844675" w:rsidRPr="00F5198F">
              <w:rPr>
                <w:rStyle w:val="Hyperlink"/>
                <w:noProof/>
              </w:rPr>
              <w:t>18.3</w:t>
            </w:r>
            <w:r w:rsidR="00844675">
              <w:rPr>
                <w:rFonts w:asciiTheme="minorHAnsi" w:eastAsiaTheme="minorEastAsia" w:hAnsiTheme="minorHAnsi"/>
                <w:noProof/>
                <w:sz w:val="24"/>
                <w:szCs w:val="24"/>
              </w:rPr>
              <w:tab/>
            </w:r>
            <w:r w:rsidR="00844675" w:rsidRPr="00F5198F">
              <w:rPr>
                <w:rStyle w:val="Hyperlink"/>
                <w:noProof/>
              </w:rPr>
              <w:t>Emergency Transfers</w:t>
            </w:r>
            <w:r w:rsidR="00844675">
              <w:rPr>
                <w:noProof/>
                <w:webHidden/>
              </w:rPr>
              <w:tab/>
            </w:r>
            <w:r w:rsidR="00844675">
              <w:rPr>
                <w:noProof/>
                <w:webHidden/>
              </w:rPr>
              <w:fldChar w:fldCharType="begin"/>
            </w:r>
            <w:r w:rsidR="00844675">
              <w:rPr>
                <w:noProof/>
                <w:webHidden/>
              </w:rPr>
              <w:instrText xml:space="preserve"> PAGEREF _Toc200377033 \h </w:instrText>
            </w:r>
            <w:r w:rsidR="00844675">
              <w:rPr>
                <w:noProof/>
                <w:webHidden/>
              </w:rPr>
            </w:r>
            <w:r w:rsidR="00844675">
              <w:rPr>
                <w:noProof/>
                <w:webHidden/>
              </w:rPr>
              <w:fldChar w:fldCharType="separate"/>
            </w:r>
            <w:r w:rsidR="00844675">
              <w:rPr>
                <w:noProof/>
                <w:webHidden/>
              </w:rPr>
              <w:t>159</w:t>
            </w:r>
            <w:r w:rsidR="00844675">
              <w:rPr>
                <w:noProof/>
                <w:webHidden/>
              </w:rPr>
              <w:fldChar w:fldCharType="end"/>
            </w:r>
          </w:hyperlink>
        </w:p>
        <w:p w14:paraId="09DB7D3C" w14:textId="7106F6F1" w:rsidR="00844675" w:rsidRDefault="003C3A0E">
          <w:pPr>
            <w:pStyle w:val="TOC2"/>
            <w:rPr>
              <w:rFonts w:asciiTheme="minorHAnsi" w:eastAsiaTheme="minorEastAsia" w:hAnsiTheme="minorHAnsi"/>
              <w:noProof/>
              <w:sz w:val="24"/>
              <w:szCs w:val="24"/>
            </w:rPr>
          </w:pPr>
          <w:hyperlink w:anchor="_Toc200377034" w:history="1">
            <w:r w:rsidR="00844675" w:rsidRPr="00F5198F">
              <w:rPr>
                <w:rStyle w:val="Hyperlink"/>
                <w:noProof/>
              </w:rPr>
              <w:t>18.4</w:t>
            </w:r>
            <w:r w:rsidR="00844675">
              <w:rPr>
                <w:rFonts w:asciiTheme="minorHAnsi" w:eastAsiaTheme="minorEastAsia" w:hAnsiTheme="minorHAnsi"/>
                <w:noProof/>
                <w:sz w:val="24"/>
                <w:szCs w:val="24"/>
              </w:rPr>
              <w:tab/>
            </w:r>
            <w:r w:rsidR="00844675" w:rsidRPr="00F5198F">
              <w:rPr>
                <w:rStyle w:val="Hyperlink"/>
                <w:noProof/>
              </w:rPr>
              <w:t>Administrative Transfers</w:t>
            </w:r>
            <w:r w:rsidR="00844675">
              <w:rPr>
                <w:noProof/>
                <w:webHidden/>
              </w:rPr>
              <w:tab/>
            </w:r>
            <w:r w:rsidR="00844675">
              <w:rPr>
                <w:noProof/>
                <w:webHidden/>
              </w:rPr>
              <w:fldChar w:fldCharType="begin"/>
            </w:r>
            <w:r w:rsidR="00844675">
              <w:rPr>
                <w:noProof/>
                <w:webHidden/>
              </w:rPr>
              <w:instrText xml:space="preserve"> PAGEREF _Toc200377034 \h </w:instrText>
            </w:r>
            <w:r w:rsidR="00844675">
              <w:rPr>
                <w:noProof/>
                <w:webHidden/>
              </w:rPr>
            </w:r>
            <w:r w:rsidR="00844675">
              <w:rPr>
                <w:noProof/>
                <w:webHidden/>
              </w:rPr>
              <w:fldChar w:fldCharType="separate"/>
            </w:r>
            <w:r w:rsidR="00844675">
              <w:rPr>
                <w:noProof/>
                <w:webHidden/>
              </w:rPr>
              <w:t>160</w:t>
            </w:r>
            <w:r w:rsidR="00844675">
              <w:rPr>
                <w:noProof/>
                <w:webHidden/>
              </w:rPr>
              <w:fldChar w:fldCharType="end"/>
            </w:r>
          </w:hyperlink>
        </w:p>
        <w:p w14:paraId="44601CE5" w14:textId="316D37FC" w:rsidR="00844675" w:rsidRDefault="003C3A0E">
          <w:pPr>
            <w:pStyle w:val="TOC2"/>
            <w:rPr>
              <w:rFonts w:asciiTheme="minorHAnsi" w:eastAsiaTheme="minorEastAsia" w:hAnsiTheme="minorHAnsi"/>
              <w:noProof/>
              <w:sz w:val="24"/>
              <w:szCs w:val="24"/>
            </w:rPr>
          </w:pPr>
          <w:hyperlink w:anchor="_Toc200377035" w:history="1">
            <w:r w:rsidR="00844675" w:rsidRPr="00F5198F">
              <w:rPr>
                <w:rStyle w:val="Hyperlink"/>
                <w:noProof/>
              </w:rPr>
              <w:t>18.5</w:t>
            </w:r>
            <w:r w:rsidR="00844675">
              <w:rPr>
                <w:rFonts w:asciiTheme="minorHAnsi" w:eastAsiaTheme="minorEastAsia" w:hAnsiTheme="minorHAnsi"/>
                <w:noProof/>
                <w:sz w:val="24"/>
                <w:szCs w:val="24"/>
              </w:rPr>
              <w:tab/>
            </w:r>
            <w:r w:rsidR="00844675" w:rsidRPr="00F5198F">
              <w:rPr>
                <w:rStyle w:val="Hyperlink"/>
                <w:noProof/>
              </w:rPr>
              <w:t>Resident-Initiated Transfers</w:t>
            </w:r>
            <w:r w:rsidR="00844675">
              <w:rPr>
                <w:noProof/>
                <w:webHidden/>
              </w:rPr>
              <w:tab/>
            </w:r>
            <w:r w:rsidR="00844675">
              <w:rPr>
                <w:noProof/>
                <w:webHidden/>
              </w:rPr>
              <w:fldChar w:fldCharType="begin"/>
            </w:r>
            <w:r w:rsidR="00844675">
              <w:rPr>
                <w:noProof/>
                <w:webHidden/>
              </w:rPr>
              <w:instrText xml:space="preserve"> PAGEREF _Toc200377035 \h </w:instrText>
            </w:r>
            <w:r w:rsidR="00844675">
              <w:rPr>
                <w:noProof/>
                <w:webHidden/>
              </w:rPr>
            </w:r>
            <w:r w:rsidR="00844675">
              <w:rPr>
                <w:noProof/>
                <w:webHidden/>
              </w:rPr>
              <w:fldChar w:fldCharType="separate"/>
            </w:r>
            <w:r w:rsidR="00844675">
              <w:rPr>
                <w:noProof/>
                <w:webHidden/>
              </w:rPr>
              <w:t>161</w:t>
            </w:r>
            <w:r w:rsidR="00844675">
              <w:rPr>
                <w:noProof/>
                <w:webHidden/>
              </w:rPr>
              <w:fldChar w:fldCharType="end"/>
            </w:r>
          </w:hyperlink>
        </w:p>
        <w:p w14:paraId="36415C93" w14:textId="75C0E6D2" w:rsidR="00844675" w:rsidRDefault="003C3A0E">
          <w:pPr>
            <w:pStyle w:val="TOC2"/>
            <w:rPr>
              <w:rFonts w:asciiTheme="minorHAnsi" w:eastAsiaTheme="minorEastAsia" w:hAnsiTheme="minorHAnsi"/>
              <w:noProof/>
              <w:sz w:val="24"/>
              <w:szCs w:val="24"/>
            </w:rPr>
          </w:pPr>
          <w:hyperlink w:anchor="_Toc200377036" w:history="1">
            <w:r w:rsidR="00844675" w:rsidRPr="00F5198F">
              <w:rPr>
                <w:rStyle w:val="Hyperlink"/>
                <w:noProof/>
              </w:rPr>
              <w:t>18.6</w:t>
            </w:r>
            <w:r w:rsidR="00844675">
              <w:rPr>
                <w:rFonts w:asciiTheme="minorHAnsi" w:eastAsiaTheme="minorEastAsia" w:hAnsiTheme="minorHAnsi"/>
                <w:noProof/>
                <w:sz w:val="24"/>
                <w:szCs w:val="24"/>
              </w:rPr>
              <w:tab/>
            </w:r>
            <w:r w:rsidR="00844675" w:rsidRPr="00F5198F">
              <w:rPr>
                <w:rStyle w:val="Hyperlink"/>
                <w:noProof/>
              </w:rPr>
              <w:t>Economic Self-Sufficiency Incentive Transfers</w:t>
            </w:r>
            <w:r w:rsidR="00844675">
              <w:rPr>
                <w:noProof/>
                <w:webHidden/>
              </w:rPr>
              <w:tab/>
            </w:r>
            <w:r w:rsidR="00844675">
              <w:rPr>
                <w:noProof/>
                <w:webHidden/>
              </w:rPr>
              <w:fldChar w:fldCharType="begin"/>
            </w:r>
            <w:r w:rsidR="00844675">
              <w:rPr>
                <w:noProof/>
                <w:webHidden/>
              </w:rPr>
              <w:instrText xml:space="preserve"> PAGEREF _Toc200377036 \h </w:instrText>
            </w:r>
            <w:r w:rsidR="00844675">
              <w:rPr>
                <w:noProof/>
                <w:webHidden/>
              </w:rPr>
            </w:r>
            <w:r w:rsidR="00844675">
              <w:rPr>
                <w:noProof/>
                <w:webHidden/>
              </w:rPr>
              <w:fldChar w:fldCharType="separate"/>
            </w:r>
            <w:r w:rsidR="00844675">
              <w:rPr>
                <w:noProof/>
                <w:webHidden/>
              </w:rPr>
              <w:t>162</w:t>
            </w:r>
            <w:r w:rsidR="00844675">
              <w:rPr>
                <w:noProof/>
                <w:webHidden/>
              </w:rPr>
              <w:fldChar w:fldCharType="end"/>
            </w:r>
          </w:hyperlink>
        </w:p>
        <w:p w14:paraId="04895603" w14:textId="09B0A040" w:rsidR="00844675" w:rsidRDefault="003C3A0E">
          <w:pPr>
            <w:pStyle w:val="TOC2"/>
            <w:rPr>
              <w:rFonts w:asciiTheme="minorHAnsi" w:eastAsiaTheme="minorEastAsia" w:hAnsiTheme="minorHAnsi"/>
              <w:noProof/>
              <w:sz w:val="24"/>
              <w:szCs w:val="24"/>
            </w:rPr>
          </w:pPr>
          <w:hyperlink w:anchor="_Toc200377037" w:history="1">
            <w:r w:rsidR="00844675" w:rsidRPr="00F5198F">
              <w:rPr>
                <w:rStyle w:val="Hyperlink"/>
                <w:noProof/>
              </w:rPr>
              <w:t>18.7</w:t>
            </w:r>
            <w:r w:rsidR="00844675">
              <w:rPr>
                <w:rFonts w:asciiTheme="minorHAnsi" w:eastAsiaTheme="minorEastAsia" w:hAnsiTheme="minorHAnsi"/>
                <w:noProof/>
                <w:sz w:val="24"/>
                <w:szCs w:val="24"/>
              </w:rPr>
              <w:tab/>
            </w:r>
            <w:r w:rsidR="00844675" w:rsidRPr="00F5198F">
              <w:rPr>
                <w:rStyle w:val="Hyperlink"/>
                <w:noProof/>
              </w:rPr>
              <w:t>Processing</w:t>
            </w:r>
            <w:r w:rsidR="00844675" w:rsidRPr="00F5198F">
              <w:rPr>
                <w:rStyle w:val="Hyperlink"/>
                <w:noProof/>
                <w:spacing w:val="-2"/>
              </w:rPr>
              <w:t xml:space="preserve"> </w:t>
            </w:r>
            <w:r w:rsidR="00844675" w:rsidRPr="00F5198F">
              <w:rPr>
                <w:rStyle w:val="Hyperlink"/>
                <w:noProof/>
              </w:rPr>
              <w:t>Transfers</w:t>
            </w:r>
            <w:r w:rsidR="00844675">
              <w:rPr>
                <w:noProof/>
                <w:webHidden/>
              </w:rPr>
              <w:tab/>
            </w:r>
            <w:r w:rsidR="00844675">
              <w:rPr>
                <w:noProof/>
                <w:webHidden/>
              </w:rPr>
              <w:fldChar w:fldCharType="begin"/>
            </w:r>
            <w:r w:rsidR="00844675">
              <w:rPr>
                <w:noProof/>
                <w:webHidden/>
              </w:rPr>
              <w:instrText xml:space="preserve"> PAGEREF _Toc200377037 \h </w:instrText>
            </w:r>
            <w:r w:rsidR="00844675">
              <w:rPr>
                <w:noProof/>
                <w:webHidden/>
              </w:rPr>
            </w:r>
            <w:r w:rsidR="00844675">
              <w:rPr>
                <w:noProof/>
                <w:webHidden/>
              </w:rPr>
              <w:fldChar w:fldCharType="separate"/>
            </w:r>
            <w:r w:rsidR="00844675">
              <w:rPr>
                <w:noProof/>
                <w:webHidden/>
              </w:rPr>
              <w:t>163</w:t>
            </w:r>
            <w:r w:rsidR="00844675">
              <w:rPr>
                <w:noProof/>
                <w:webHidden/>
              </w:rPr>
              <w:fldChar w:fldCharType="end"/>
            </w:r>
          </w:hyperlink>
        </w:p>
        <w:p w14:paraId="23B56611" w14:textId="21F45FCA" w:rsidR="00844675" w:rsidRDefault="003C3A0E">
          <w:pPr>
            <w:pStyle w:val="TOC2"/>
            <w:rPr>
              <w:rFonts w:asciiTheme="minorHAnsi" w:eastAsiaTheme="minorEastAsia" w:hAnsiTheme="minorHAnsi"/>
              <w:noProof/>
              <w:sz w:val="24"/>
              <w:szCs w:val="24"/>
            </w:rPr>
          </w:pPr>
          <w:hyperlink w:anchor="_Toc200377038" w:history="1">
            <w:r w:rsidR="00844675" w:rsidRPr="00F5198F">
              <w:rPr>
                <w:rStyle w:val="Hyperlink"/>
                <w:noProof/>
              </w:rPr>
              <w:t>18.8</w:t>
            </w:r>
            <w:r w:rsidR="00844675">
              <w:rPr>
                <w:rFonts w:asciiTheme="minorHAnsi" w:eastAsiaTheme="minorEastAsia" w:hAnsiTheme="minorHAnsi"/>
                <w:noProof/>
                <w:sz w:val="24"/>
                <w:szCs w:val="24"/>
              </w:rPr>
              <w:tab/>
            </w:r>
            <w:r w:rsidR="00844675" w:rsidRPr="00F5198F">
              <w:rPr>
                <w:rStyle w:val="Hyperlink"/>
                <w:noProof/>
              </w:rPr>
              <w:t>Reexamination and Moves</w:t>
            </w:r>
            <w:r w:rsidR="00844675">
              <w:rPr>
                <w:noProof/>
                <w:webHidden/>
              </w:rPr>
              <w:tab/>
            </w:r>
            <w:r w:rsidR="00844675">
              <w:rPr>
                <w:noProof/>
                <w:webHidden/>
              </w:rPr>
              <w:fldChar w:fldCharType="begin"/>
            </w:r>
            <w:r w:rsidR="00844675">
              <w:rPr>
                <w:noProof/>
                <w:webHidden/>
              </w:rPr>
              <w:instrText xml:space="preserve"> PAGEREF _Toc200377038 \h </w:instrText>
            </w:r>
            <w:r w:rsidR="00844675">
              <w:rPr>
                <w:noProof/>
                <w:webHidden/>
              </w:rPr>
            </w:r>
            <w:r w:rsidR="00844675">
              <w:rPr>
                <w:noProof/>
                <w:webHidden/>
              </w:rPr>
              <w:fldChar w:fldCharType="separate"/>
            </w:r>
            <w:r w:rsidR="00844675">
              <w:rPr>
                <w:noProof/>
                <w:webHidden/>
              </w:rPr>
              <w:t>163</w:t>
            </w:r>
            <w:r w:rsidR="00844675">
              <w:rPr>
                <w:noProof/>
                <w:webHidden/>
              </w:rPr>
              <w:fldChar w:fldCharType="end"/>
            </w:r>
          </w:hyperlink>
        </w:p>
        <w:p w14:paraId="01195DC4" w14:textId="50F43D90" w:rsidR="00844675" w:rsidRDefault="003C3A0E">
          <w:pPr>
            <w:pStyle w:val="TOC2"/>
            <w:rPr>
              <w:rFonts w:asciiTheme="minorHAnsi" w:eastAsiaTheme="minorEastAsia" w:hAnsiTheme="minorHAnsi"/>
              <w:noProof/>
              <w:sz w:val="24"/>
              <w:szCs w:val="24"/>
            </w:rPr>
          </w:pPr>
          <w:hyperlink w:anchor="_Toc200377039" w:history="1">
            <w:r w:rsidR="00844675" w:rsidRPr="00F5198F">
              <w:rPr>
                <w:rStyle w:val="Hyperlink"/>
                <w:noProof/>
              </w:rPr>
              <w:t>18.9</w:t>
            </w:r>
            <w:r w:rsidR="00844675">
              <w:rPr>
                <w:rFonts w:asciiTheme="minorHAnsi" w:eastAsiaTheme="minorEastAsia" w:hAnsiTheme="minorHAnsi"/>
                <w:noProof/>
                <w:sz w:val="24"/>
                <w:szCs w:val="24"/>
              </w:rPr>
              <w:tab/>
            </w:r>
            <w:r w:rsidR="00844675" w:rsidRPr="00F5198F">
              <w:rPr>
                <w:rStyle w:val="Hyperlink"/>
                <w:noProof/>
              </w:rPr>
              <w:t>Security Deposits for All Transfers</w:t>
            </w:r>
            <w:r w:rsidR="00844675">
              <w:rPr>
                <w:noProof/>
                <w:webHidden/>
              </w:rPr>
              <w:tab/>
            </w:r>
            <w:r w:rsidR="00844675">
              <w:rPr>
                <w:noProof/>
                <w:webHidden/>
              </w:rPr>
              <w:fldChar w:fldCharType="begin"/>
            </w:r>
            <w:r w:rsidR="00844675">
              <w:rPr>
                <w:noProof/>
                <w:webHidden/>
              </w:rPr>
              <w:instrText xml:space="preserve"> PAGEREF _Toc200377039 \h </w:instrText>
            </w:r>
            <w:r w:rsidR="00844675">
              <w:rPr>
                <w:noProof/>
                <w:webHidden/>
              </w:rPr>
            </w:r>
            <w:r w:rsidR="00844675">
              <w:rPr>
                <w:noProof/>
                <w:webHidden/>
              </w:rPr>
              <w:fldChar w:fldCharType="separate"/>
            </w:r>
            <w:r w:rsidR="00844675">
              <w:rPr>
                <w:noProof/>
                <w:webHidden/>
              </w:rPr>
              <w:t>164</w:t>
            </w:r>
            <w:r w:rsidR="00844675">
              <w:rPr>
                <w:noProof/>
                <w:webHidden/>
              </w:rPr>
              <w:fldChar w:fldCharType="end"/>
            </w:r>
          </w:hyperlink>
        </w:p>
        <w:p w14:paraId="452ED589" w14:textId="79CC0146" w:rsidR="00844675" w:rsidRDefault="003C3A0E">
          <w:pPr>
            <w:pStyle w:val="TOC2"/>
            <w:rPr>
              <w:rFonts w:asciiTheme="minorHAnsi" w:eastAsiaTheme="minorEastAsia" w:hAnsiTheme="minorHAnsi"/>
              <w:noProof/>
              <w:sz w:val="24"/>
              <w:szCs w:val="24"/>
            </w:rPr>
          </w:pPr>
          <w:hyperlink w:anchor="_Toc200377040" w:history="1">
            <w:r w:rsidR="00844675" w:rsidRPr="00F5198F">
              <w:rPr>
                <w:rStyle w:val="Hyperlink"/>
                <w:noProof/>
              </w:rPr>
              <w:t>18.10</w:t>
            </w:r>
            <w:r w:rsidR="00844675">
              <w:rPr>
                <w:rFonts w:asciiTheme="minorHAnsi" w:eastAsiaTheme="minorEastAsia" w:hAnsiTheme="minorHAnsi"/>
                <w:noProof/>
                <w:sz w:val="24"/>
                <w:szCs w:val="24"/>
              </w:rPr>
              <w:tab/>
            </w:r>
            <w:r w:rsidR="00844675" w:rsidRPr="00F5198F">
              <w:rPr>
                <w:rStyle w:val="Hyperlink"/>
                <w:noProof/>
              </w:rPr>
              <w:t>Transfer and Pending Legal Actions/Determination</w:t>
            </w:r>
            <w:r w:rsidR="00844675">
              <w:rPr>
                <w:noProof/>
                <w:webHidden/>
              </w:rPr>
              <w:tab/>
            </w:r>
            <w:r w:rsidR="00844675">
              <w:rPr>
                <w:noProof/>
                <w:webHidden/>
              </w:rPr>
              <w:fldChar w:fldCharType="begin"/>
            </w:r>
            <w:r w:rsidR="00844675">
              <w:rPr>
                <w:noProof/>
                <w:webHidden/>
              </w:rPr>
              <w:instrText xml:space="preserve"> PAGEREF _Toc200377040 \h </w:instrText>
            </w:r>
            <w:r w:rsidR="00844675">
              <w:rPr>
                <w:noProof/>
                <w:webHidden/>
              </w:rPr>
            </w:r>
            <w:r w:rsidR="00844675">
              <w:rPr>
                <w:noProof/>
                <w:webHidden/>
              </w:rPr>
              <w:fldChar w:fldCharType="separate"/>
            </w:r>
            <w:r w:rsidR="00844675">
              <w:rPr>
                <w:noProof/>
                <w:webHidden/>
              </w:rPr>
              <w:t>164</w:t>
            </w:r>
            <w:r w:rsidR="00844675">
              <w:rPr>
                <w:noProof/>
                <w:webHidden/>
              </w:rPr>
              <w:fldChar w:fldCharType="end"/>
            </w:r>
          </w:hyperlink>
        </w:p>
        <w:p w14:paraId="30C2BE7D" w14:textId="68F7CF1F" w:rsidR="00844675" w:rsidRDefault="003C3A0E">
          <w:pPr>
            <w:pStyle w:val="TOC2"/>
            <w:rPr>
              <w:rFonts w:asciiTheme="minorHAnsi" w:eastAsiaTheme="minorEastAsia" w:hAnsiTheme="minorHAnsi"/>
              <w:noProof/>
              <w:sz w:val="24"/>
              <w:szCs w:val="24"/>
            </w:rPr>
          </w:pPr>
          <w:hyperlink w:anchor="_Toc200377041" w:history="1">
            <w:r w:rsidR="00844675" w:rsidRPr="00F5198F">
              <w:rPr>
                <w:rStyle w:val="Hyperlink"/>
                <w:noProof/>
              </w:rPr>
              <w:t>18.11</w:t>
            </w:r>
            <w:r w:rsidR="00844675">
              <w:rPr>
                <w:rFonts w:asciiTheme="minorHAnsi" w:eastAsiaTheme="minorEastAsia" w:hAnsiTheme="minorHAnsi"/>
                <w:noProof/>
                <w:sz w:val="24"/>
                <w:szCs w:val="24"/>
              </w:rPr>
              <w:tab/>
            </w:r>
            <w:r w:rsidR="00844675" w:rsidRPr="00F5198F">
              <w:rPr>
                <w:rStyle w:val="Hyperlink"/>
                <w:noProof/>
              </w:rPr>
              <w:t>Transfer Offer Policy</w:t>
            </w:r>
            <w:r w:rsidR="00844675">
              <w:rPr>
                <w:noProof/>
                <w:webHidden/>
              </w:rPr>
              <w:tab/>
            </w:r>
            <w:r w:rsidR="00844675">
              <w:rPr>
                <w:noProof/>
                <w:webHidden/>
              </w:rPr>
              <w:fldChar w:fldCharType="begin"/>
            </w:r>
            <w:r w:rsidR="00844675">
              <w:rPr>
                <w:noProof/>
                <w:webHidden/>
              </w:rPr>
              <w:instrText xml:space="preserve"> PAGEREF _Toc200377041 \h </w:instrText>
            </w:r>
            <w:r w:rsidR="00844675">
              <w:rPr>
                <w:noProof/>
                <w:webHidden/>
              </w:rPr>
            </w:r>
            <w:r w:rsidR="00844675">
              <w:rPr>
                <w:noProof/>
                <w:webHidden/>
              </w:rPr>
              <w:fldChar w:fldCharType="separate"/>
            </w:r>
            <w:r w:rsidR="00844675">
              <w:rPr>
                <w:noProof/>
                <w:webHidden/>
              </w:rPr>
              <w:t>164</w:t>
            </w:r>
            <w:r w:rsidR="00844675">
              <w:rPr>
                <w:noProof/>
                <w:webHidden/>
              </w:rPr>
              <w:fldChar w:fldCharType="end"/>
            </w:r>
          </w:hyperlink>
        </w:p>
        <w:p w14:paraId="3A129EEC" w14:textId="5AE66761" w:rsidR="00844675" w:rsidRDefault="003C3A0E">
          <w:pPr>
            <w:pStyle w:val="TOC2"/>
            <w:rPr>
              <w:rFonts w:asciiTheme="minorHAnsi" w:eastAsiaTheme="minorEastAsia" w:hAnsiTheme="minorHAnsi"/>
              <w:noProof/>
              <w:sz w:val="24"/>
              <w:szCs w:val="24"/>
            </w:rPr>
          </w:pPr>
          <w:hyperlink w:anchor="_Toc200377042" w:history="1">
            <w:r w:rsidR="00844675" w:rsidRPr="00F5198F">
              <w:rPr>
                <w:rStyle w:val="Hyperlink"/>
                <w:noProof/>
              </w:rPr>
              <w:t>18.12</w:t>
            </w:r>
            <w:r w:rsidR="00844675">
              <w:rPr>
                <w:rFonts w:asciiTheme="minorHAnsi" w:eastAsiaTheme="minorEastAsia" w:hAnsiTheme="minorHAnsi"/>
                <w:noProof/>
                <w:sz w:val="24"/>
                <w:szCs w:val="24"/>
              </w:rPr>
              <w:tab/>
            </w:r>
            <w:r w:rsidR="00844675" w:rsidRPr="00F5198F">
              <w:rPr>
                <w:rStyle w:val="Hyperlink"/>
                <w:noProof/>
              </w:rPr>
              <w:t>Good Cause for Unit Refusal</w:t>
            </w:r>
            <w:r w:rsidR="00844675">
              <w:rPr>
                <w:noProof/>
                <w:webHidden/>
              </w:rPr>
              <w:tab/>
            </w:r>
            <w:r w:rsidR="00844675">
              <w:rPr>
                <w:noProof/>
                <w:webHidden/>
              </w:rPr>
              <w:fldChar w:fldCharType="begin"/>
            </w:r>
            <w:r w:rsidR="00844675">
              <w:rPr>
                <w:noProof/>
                <w:webHidden/>
              </w:rPr>
              <w:instrText xml:space="preserve"> PAGEREF _Toc200377042 \h </w:instrText>
            </w:r>
            <w:r w:rsidR="00844675">
              <w:rPr>
                <w:noProof/>
                <w:webHidden/>
              </w:rPr>
            </w:r>
            <w:r w:rsidR="00844675">
              <w:rPr>
                <w:noProof/>
                <w:webHidden/>
              </w:rPr>
              <w:fldChar w:fldCharType="separate"/>
            </w:r>
            <w:r w:rsidR="00844675">
              <w:rPr>
                <w:noProof/>
                <w:webHidden/>
              </w:rPr>
              <w:t>164</w:t>
            </w:r>
            <w:r w:rsidR="00844675">
              <w:rPr>
                <w:noProof/>
                <w:webHidden/>
              </w:rPr>
              <w:fldChar w:fldCharType="end"/>
            </w:r>
          </w:hyperlink>
        </w:p>
        <w:p w14:paraId="77679195" w14:textId="5A2A5E75" w:rsidR="00844675" w:rsidRDefault="003C3A0E">
          <w:pPr>
            <w:pStyle w:val="TOC2"/>
            <w:rPr>
              <w:rFonts w:asciiTheme="minorHAnsi" w:eastAsiaTheme="minorEastAsia" w:hAnsiTheme="minorHAnsi"/>
              <w:noProof/>
              <w:sz w:val="24"/>
              <w:szCs w:val="24"/>
            </w:rPr>
          </w:pPr>
          <w:hyperlink w:anchor="_Toc200377043" w:history="1">
            <w:r w:rsidR="00844675" w:rsidRPr="00F5198F">
              <w:rPr>
                <w:rStyle w:val="Hyperlink"/>
                <w:noProof/>
              </w:rPr>
              <w:t>18.13</w:t>
            </w:r>
            <w:r w:rsidR="00844675">
              <w:rPr>
                <w:rFonts w:asciiTheme="minorHAnsi" w:eastAsiaTheme="minorEastAsia" w:hAnsiTheme="minorHAnsi"/>
                <w:noProof/>
                <w:sz w:val="24"/>
                <w:szCs w:val="24"/>
              </w:rPr>
              <w:tab/>
            </w:r>
            <w:r w:rsidR="00844675" w:rsidRPr="00F5198F">
              <w:rPr>
                <w:rStyle w:val="Hyperlink"/>
                <w:noProof/>
              </w:rPr>
              <w:t>Deconcentration</w:t>
            </w:r>
            <w:r w:rsidR="00844675">
              <w:rPr>
                <w:noProof/>
                <w:webHidden/>
              </w:rPr>
              <w:tab/>
            </w:r>
            <w:r w:rsidR="00844675">
              <w:rPr>
                <w:noProof/>
                <w:webHidden/>
              </w:rPr>
              <w:fldChar w:fldCharType="begin"/>
            </w:r>
            <w:r w:rsidR="00844675">
              <w:rPr>
                <w:noProof/>
                <w:webHidden/>
              </w:rPr>
              <w:instrText xml:space="preserve"> PAGEREF _Toc200377043 \h </w:instrText>
            </w:r>
            <w:r w:rsidR="00844675">
              <w:rPr>
                <w:noProof/>
                <w:webHidden/>
              </w:rPr>
            </w:r>
            <w:r w:rsidR="00844675">
              <w:rPr>
                <w:noProof/>
                <w:webHidden/>
              </w:rPr>
              <w:fldChar w:fldCharType="separate"/>
            </w:r>
            <w:r w:rsidR="00844675">
              <w:rPr>
                <w:noProof/>
                <w:webHidden/>
              </w:rPr>
              <w:t>165</w:t>
            </w:r>
            <w:r w:rsidR="00844675">
              <w:rPr>
                <w:noProof/>
                <w:webHidden/>
              </w:rPr>
              <w:fldChar w:fldCharType="end"/>
            </w:r>
          </w:hyperlink>
        </w:p>
        <w:p w14:paraId="5B48F6C4" w14:textId="2E72F175" w:rsidR="00844675" w:rsidRDefault="003C3A0E" w:rsidP="00AD20A4">
          <w:pPr>
            <w:pStyle w:val="TOC1"/>
            <w:rPr>
              <w:rFonts w:asciiTheme="minorHAnsi" w:eastAsiaTheme="minorEastAsia" w:hAnsiTheme="minorHAnsi"/>
              <w:noProof/>
              <w:color w:val="auto"/>
              <w:szCs w:val="24"/>
            </w:rPr>
          </w:pPr>
          <w:hyperlink w:anchor="_Toc200377044" w:history="1">
            <w:r w:rsidR="00844675" w:rsidRPr="00F5198F">
              <w:rPr>
                <w:rStyle w:val="Hyperlink"/>
                <w:noProof/>
                <w:lang w:bidi="en-US"/>
              </w:rPr>
              <w:t>CHAPTER 19: HEARINGS AND GRIEVANCES</w:t>
            </w:r>
            <w:r w:rsidR="00844675">
              <w:rPr>
                <w:noProof/>
                <w:webHidden/>
              </w:rPr>
              <w:tab/>
            </w:r>
            <w:r w:rsidR="00844675">
              <w:rPr>
                <w:noProof/>
                <w:webHidden/>
              </w:rPr>
              <w:fldChar w:fldCharType="begin"/>
            </w:r>
            <w:r w:rsidR="00844675">
              <w:rPr>
                <w:noProof/>
                <w:webHidden/>
              </w:rPr>
              <w:instrText xml:space="preserve"> PAGEREF _Toc200377044 \h </w:instrText>
            </w:r>
            <w:r w:rsidR="00844675">
              <w:rPr>
                <w:noProof/>
                <w:webHidden/>
              </w:rPr>
            </w:r>
            <w:r w:rsidR="00844675">
              <w:rPr>
                <w:noProof/>
                <w:webHidden/>
              </w:rPr>
              <w:fldChar w:fldCharType="separate"/>
            </w:r>
            <w:r w:rsidR="00844675">
              <w:rPr>
                <w:noProof/>
                <w:webHidden/>
              </w:rPr>
              <w:t>166</w:t>
            </w:r>
            <w:r w:rsidR="00844675">
              <w:rPr>
                <w:noProof/>
                <w:webHidden/>
              </w:rPr>
              <w:fldChar w:fldCharType="end"/>
            </w:r>
          </w:hyperlink>
        </w:p>
        <w:p w14:paraId="192F9DF0" w14:textId="1A493B3D" w:rsidR="00844675" w:rsidRDefault="003C3A0E">
          <w:pPr>
            <w:pStyle w:val="TOC2"/>
            <w:rPr>
              <w:rFonts w:asciiTheme="minorHAnsi" w:eastAsiaTheme="minorEastAsia" w:hAnsiTheme="minorHAnsi"/>
              <w:noProof/>
              <w:sz w:val="24"/>
              <w:szCs w:val="24"/>
            </w:rPr>
          </w:pPr>
          <w:hyperlink w:anchor="_Toc200377045" w:history="1">
            <w:r w:rsidR="00844675" w:rsidRPr="00F5198F">
              <w:rPr>
                <w:rStyle w:val="Hyperlink"/>
                <w:noProof/>
              </w:rPr>
              <w:t>19.1</w:t>
            </w:r>
            <w:r w:rsidR="00844675">
              <w:rPr>
                <w:rFonts w:asciiTheme="minorHAnsi" w:eastAsiaTheme="minorEastAsia" w:hAnsiTheme="minorHAnsi"/>
                <w:noProof/>
                <w:sz w:val="24"/>
                <w:szCs w:val="24"/>
              </w:rPr>
              <w:tab/>
            </w:r>
            <w:r w:rsidR="00844675" w:rsidRPr="00F5198F">
              <w:rPr>
                <w:rStyle w:val="Hyperlink"/>
                <w:noProof/>
              </w:rPr>
              <w:t>Overview</w:t>
            </w:r>
            <w:r w:rsidR="00844675">
              <w:rPr>
                <w:noProof/>
                <w:webHidden/>
              </w:rPr>
              <w:tab/>
            </w:r>
            <w:r w:rsidR="00844675">
              <w:rPr>
                <w:noProof/>
                <w:webHidden/>
              </w:rPr>
              <w:fldChar w:fldCharType="begin"/>
            </w:r>
            <w:r w:rsidR="00844675">
              <w:rPr>
                <w:noProof/>
                <w:webHidden/>
              </w:rPr>
              <w:instrText xml:space="preserve"> PAGEREF _Toc200377045 \h </w:instrText>
            </w:r>
            <w:r w:rsidR="00844675">
              <w:rPr>
                <w:noProof/>
                <w:webHidden/>
              </w:rPr>
            </w:r>
            <w:r w:rsidR="00844675">
              <w:rPr>
                <w:noProof/>
                <w:webHidden/>
              </w:rPr>
              <w:fldChar w:fldCharType="separate"/>
            </w:r>
            <w:r w:rsidR="00844675">
              <w:rPr>
                <w:noProof/>
                <w:webHidden/>
              </w:rPr>
              <w:t>166</w:t>
            </w:r>
            <w:r w:rsidR="00844675">
              <w:rPr>
                <w:noProof/>
                <w:webHidden/>
              </w:rPr>
              <w:fldChar w:fldCharType="end"/>
            </w:r>
          </w:hyperlink>
        </w:p>
        <w:p w14:paraId="52CAC6C5" w14:textId="6BBBADFA" w:rsidR="00844675" w:rsidRDefault="003C3A0E">
          <w:pPr>
            <w:pStyle w:val="TOC2"/>
            <w:rPr>
              <w:rFonts w:asciiTheme="minorHAnsi" w:eastAsiaTheme="minorEastAsia" w:hAnsiTheme="minorHAnsi"/>
              <w:noProof/>
              <w:sz w:val="24"/>
              <w:szCs w:val="24"/>
            </w:rPr>
          </w:pPr>
          <w:hyperlink w:anchor="_Toc200377046" w:history="1">
            <w:r w:rsidR="00844675" w:rsidRPr="00F5198F">
              <w:rPr>
                <w:rStyle w:val="Hyperlink"/>
                <w:noProof/>
              </w:rPr>
              <w:t>19.2</w:t>
            </w:r>
            <w:r w:rsidR="00844675">
              <w:rPr>
                <w:rFonts w:asciiTheme="minorHAnsi" w:eastAsiaTheme="minorEastAsia" w:hAnsiTheme="minorHAnsi"/>
                <w:noProof/>
                <w:sz w:val="24"/>
                <w:szCs w:val="24"/>
              </w:rPr>
              <w:tab/>
            </w:r>
            <w:r w:rsidR="00844675" w:rsidRPr="00F5198F">
              <w:rPr>
                <w:rStyle w:val="Hyperlink"/>
                <w:noProof/>
              </w:rPr>
              <w:t>Informal Hearings for Applicants</w:t>
            </w:r>
            <w:r w:rsidR="00844675">
              <w:rPr>
                <w:noProof/>
                <w:webHidden/>
              </w:rPr>
              <w:tab/>
            </w:r>
            <w:r w:rsidR="00844675">
              <w:rPr>
                <w:noProof/>
                <w:webHidden/>
              </w:rPr>
              <w:fldChar w:fldCharType="begin"/>
            </w:r>
            <w:r w:rsidR="00844675">
              <w:rPr>
                <w:noProof/>
                <w:webHidden/>
              </w:rPr>
              <w:instrText xml:space="preserve"> PAGEREF _Toc200377046 \h </w:instrText>
            </w:r>
            <w:r w:rsidR="00844675">
              <w:rPr>
                <w:noProof/>
                <w:webHidden/>
              </w:rPr>
            </w:r>
            <w:r w:rsidR="00844675">
              <w:rPr>
                <w:noProof/>
                <w:webHidden/>
              </w:rPr>
              <w:fldChar w:fldCharType="separate"/>
            </w:r>
            <w:r w:rsidR="00844675">
              <w:rPr>
                <w:noProof/>
                <w:webHidden/>
              </w:rPr>
              <w:t>166</w:t>
            </w:r>
            <w:r w:rsidR="00844675">
              <w:rPr>
                <w:noProof/>
                <w:webHidden/>
              </w:rPr>
              <w:fldChar w:fldCharType="end"/>
            </w:r>
          </w:hyperlink>
        </w:p>
        <w:p w14:paraId="48385174" w14:textId="2E2FD53F" w:rsidR="00844675" w:rsidRDefault="003C3A0E">
          <w:pPr>
            <w:pStyle w:val="TOC2"/>
            <w:rPr>
              <w:rFonts w:asciiTheme="minorHAnsi" w:eastAsiaTheme="minorEastAsia" w:hAnsiTheme="minorHAnsi"/>
              <w:noProof/>
              <w:sz w:val="24"/>
              <w:szCs w:val="24"/>
            </w:rPr>
          </w:pPr>
          <w:hyperlink w:anchor="_Toc200377047" w:history="1">
            <w:r w:rsidR="00844675" w:rsidRPr="00F5198F">
              <w:rPr>
                <w:rStyle w:val="Hyperlink"/>
                <w:noProof/>
              </w:rPr>
              <w:t>19.3</w:t>
            </w:r>
            <w:r w:rsidR="00844675">
              <w:rPr>
                <w:rFonts w:asciiTheme="minorHAnsi" w:eastAsiaTheme="minorEastAsia" w:hAnsiTheme="minorHAnsi"/>
                <w:noProof/>
                <w:sz w:val="24"/>
                <w:szCs w:val="24"/>
              </w:rPr>
              <w:tab/>
            </w:r>
            <w:r w:rsidR="00844675" w:rsidRPr="00F5198F">
              <w:rPr>
                <w:rStyle w:val="Hyperlink"/>
                <w:noProof/>
              </w:rPr>
              <w:t>Hearings and Appeals for Noncitizens</w:t>
            </w:r>
            <w:r w:rsidR="00844675">
              <w:rPr>
                <w:noProof/>
                <w:webHidden/>
              </w:rPr>
              <w:tab/>
            </w:r>
            <w:r w:rsidR="00844675">
              <w:rPr>
                <w:noProof/>
                <w:webHidden/>
              </w:rPr>
              <w:fldChar w:fldCharType="begin"/>
            </w:r>
            <w:r w:rsidR="00844675">
              <w:rPr>
                <w:noProof/>
                <w:webHidden/>
              </w:rPr>
              <w:instrText xml:space="preserve"> PAGEREF _Toc200377047 \h </w:instrText>
            </w:r>
            <w:r w:rsidR="00844675">
              <w:rPr>
                <w:noProof/>
                <w:webHidden/>
              </w:rPr>
            </w:r>
            <w:r w:rsidR="00844675">
              <w:rPr>
                <w:noProof/>
                <w:webHidden/>
              </w:rPr>
              <w:fldChar w:fldCharType="separate"/>
            </w:r>
            <w:r w:rsidR="00844675">
              <w:rPr>
                <w:noProof/>
                <w:webHidden/>
              </w:rPr>
              <w:t>168</w:t>
            </w:r>
            <w:r w:rsidR="00844675">
              <w:rPr>
                <w:noProof/>
                <w:webHidden/>
              </w:rPr>
              <w:fldChar w:fldCharType="end"/>
            </w:r>
          </w:hyperlink>
        </w:p>
        <w:p w14:paraId="33999978" w14:textId="3E49848C" w:rsidR="00844675" w:rsidRDefault="003C3A0E">
          <w:pPr>
            <w:pStyle w:val="TOC2"/>
            <w:rPr>
              <w:rFonts w:asciiTheme="minorHAnsi" w:eastAsiaTheme="minorEastAsia" w:hAnsiTheme="minorHAnsi"/>
              <w:noProof/>
              <w:sz w:val="24"/>
              <w:szCs w:val="24"/>
            </w:rPr>
          </w:pPr>
          <w:hyperlink w:anchor="_Toc200377048" w:history="1">
            <w:r w:rsidR="00844675" w:rsidRPr="00F5198F">
              <w:rPr>
                <w:rStyle w:val="Hyperlink"/>
                <w:noProof/>
              </w:rPr>
              <w:t>19.4</w:t>
            </w:r>
            <w:r w:rsidR="00844675">
              <w:rPr>
                <w:rFonts w:asciiTheme="minorHAnsi" w:eastAsiaTheme="minorEastAsia" w:hAnsiTheme="minorHAnsi"/>
                <w:noProof/>
                <w:sz w:val="24"/>
                <w:szCs w:val="24"/>
              </w:rPr>
              <w:tab/>
            </w:r>
            <w:r w:rsidR="00844675" w:rsidRPr="00F5198F">
              <w:rPr>
                <w:rStyle w:val="Hyperlink"/>
                <w:noProof/>
              </w:rPr>
              <w:t>Grievance Hearings for Public Housing Residents</w:t>
            </w:r>
            <w:r w:rsidR="00844675">
              <w:rPr>
                <w:noProof/>
                <w:webHidden/>
              </w:rPr>
              <w:tab/>
            </w:r>
            <w:r w:rsidR="00844675">
              <w:rPr>
                <w:noProof/>
                <w:webHidden/>
              </w:rPr>
              <w:fldChar w:fldCharType="begin"/>
            </w:r>
            <w:r w:rsidR="00844675">
              <w:rPr>
                <w:noProof/>
                <w:webHidden/>
              </w:rPr>
              <w:instrText xml:space="preserve"> PAGEREF _Toc200377048 \h </w:instrText>
            </w:r>
            <w:r w:rsidR="00844675">
              <w:rPr>
                <w:noProof/>
                <w:webHidden/>
              </w:rPr>
            </w:r>
            <w:r w:rsidR="00844675">
              <w:rPr>
                <w:noProof/>
                <w:webHidden/>
              </w:rPr>
              <w:fldChar w:fldCharType="separate"/>
            </w:r>
            <w:r w:rsidR="00844675">
              <w:rPr>
                <w:noProof/>
                <w:webHidden/>
              </w:rPr>
              <w:t>168</w:t>
            </w:r>
            <w:r w:rsidR="00844675">
              <w:rPr>
                <w:noProof/>
                <w:webHidden/>
              </w:rPr>
              <w:fldChar w:fldCharType="end"/>
            </w:r>
          </w:hyperlink>
        </w:p>
        <w:p w14:paraId="26A171A1" w14:textId="25419645" w:rsidR="00844675" w:rsidRDefault="003C3A0E" w:rsidP="00AD20A4">
          <w:pPr>
            <w:pStyle w:val="TOC1"/>
            <w:rPr>
              <w:rFonts w:asciiTheme="minorHAnsi" w:eastAsiaTheme="minorEastAsia" w:hAnsiTheme="minorHAnsi"/>
              <w:noProof/>
              <w:color w:val="auto"/>
              <w:szCs w:val="24"/>
            </w:rPr>
          </w:pPr>
          <w:hyperlink w:anchor="_Toc200377049" w:history="1">
            <w:r w:rsidR="00844675" w:rsidRPr="00F5198F">
              <w:rPr>
                <w:rStyle w:val="Hyperlink"/>
                <w:noProof/>
                <w:lang w:bidi="en-US"/>
              </w:rPr>
              <w:t>CHAPTER 20: LEASE TERMINATIONS</w:t>
            </w:r>
            <w:r w:rsidR="00844675">
              <w:rPr>
                <w:noProof/>
                <w:webHidden/>
              </w:rPr>
              <w:tab/>
            </w:r>
            <w:r w:rsidR="00844675">
              <w:rPr>
                <w:noProof/>
                <w:webHidden/>
              </w:rPr>
              <w:fldChar w:fldCharType="begin"/>
            </w:r>
            <w:r w:rsidR="00844675">
              <w:rPr>
                <w:noProof/>
                <w:webHidden/>
              </w:rPr>
              <w:instrText xml:space="preserve"> PAGEREF _Toc200377049 \h </w:instrText>
            </w:r>
            <w:r w:rsidR="00844675">
              <w:rPr>
                <w:noProof/>
                <w:webHidden/>
              </w:rPr>
            </w:r>
            <w:r w:rsidR="00844675">
              <w:rPr>
                <w:noProof/>
                <w:webHidden/>
              </w:rPr>
              <w:fldChar w:fldCharType="separate"/>
            </w:r>
            <w:r w:rsidR="00844675">
              <w:rPr>
                <w:noProof/>
                <w:webHidden/>
              </w:rPr>
              <w:t>169</w:t>
            </w:r>
            <w:r w:rsidR="00844675">
              <w:rPr>
                <w:noProof/>
                <w:webHidden/>
              </w:rPr>
              <w:fldChar w:fldCharType="end"/>
            </w:r>
          </w:hyperlink>
        </w:p>
        <w:p w14:paraId="1A90E995" w14:textId="799CD017" w:rsidR="00844675" w:rsidRDefault="003C3A0E">
          <w:pPr>
            <w:pStyle w:val="TOC2"/>
            <w:rPr>
              <w:rFonts w:asciiTheme="minorHAnsi" w:eastAsiaTheme="minorEastAsia" w:hAnsiTheme="minorHAnsi"/>
              <w:noProof/>
              <w:sz w:val="24"/>
              <w:szCs w:val="24"/>
            </w:rPr>
          </w:pPr>
          <w:hyperlink w:anchor="_Toc200377050" w:history="1">
            <w:r w:rsidR="00844675" w:rsidRPr="00F5198F">
              <w:rPr>
                <w:rStyle w:val="Hyperlink"/>
                <w:noProof/>
              </w:rPr>
              <w:t>20.1</w:t>
            </w:r>
            <w:r w:rsidR="00844675">
              <w:rPr>
                <w:rFonts w:asciiTheme="minorHAnsi" w:eastAsiaTheme="minorEastAsia" w:hAnsiTheme="minorHAnsi"/>
                <w:noProof/>
                <w:sz w:val="24"/>
                <w:szCs w:val="24"/>
              </w:rPr>
              <w:tab/>
            </w:r>
            <w:r w:rsidR="00844675" w:rsidRPr="00F5198F">
              <w:rPr>
                <w:rStyle w:val="Hyperlink"/>
                <w:noProof/>
              </w:rPr>
              <w:t>Introduction</w:t>
            </w:r>
            <w:r w:rsidR="00844675">
              <w:rPr>
                <w:noProof/>
                <w:webHidden/>
              </w:rPr>
              <w:tab/>
            </w:r>
            <w:r w:rsidR="00844675">
              <w:rPr>
                <w:noProof/>
                <w:webHidden/>
              </w:rPr>
              <w:fldChar w:fldCharType="begin"/>
            </w:r>
            <w:r w:rsidR="00844675">
              <w:rPr>
                <w:noProof/>
                <w:webHidden/>
              </w:rPr>
              <w:instrText xml:space="preserve"> PAGEREF _Toc200377050 \h </w:instrText>
            </w:r>
            <w:r w:rsidR="00844675">
              <w:rPr>
                <w:noProof/>
                <w:webHidden/>
              </w:rPr>
            </w:r>
            <w:r w:rsidR="00844675">
              <w:rPr>
                <w:noProof/>
                <w:webHidden/>
              </w:rPr>
              <w:fldChar w:fldCharType="separate"/>
            </w:r>
            <w:r w:rsidR="00844675">
              <w:rPr>
                <w:noProof/>
                <w:webHidden/>
              </w:rPr>
              <w:t>169</w:t>
            </w:r>
            <w:r w:rsidR="00844675">
              <w:rPr>
                <w:noProof/>
                <w:webHidden/>
              </w:rPr>
              <w:fldChar w:fldCharType="end"/>
            </w:r>
          </w:hyperlink>
        </w:p>
        <w:p w14:paraId="445DC688" w14:textId="4F69DFB8" w:rsidR="00844675" w:rsidRDefault="003C3A0E">
          <w:pPr>
            <w:pStyle w:val="TOC2"/>
            <w:rPr>
              <w:rFonts w:asciiTheme="minorHAnsi" w:eastAsiaTheme="minorEastAsia" w:hAnsiTheme="minorHAnsi"/>
              <w:noProof/>
              <w:sz w:val="24"/>
              <w:szCs w:val="24"/>
            </w:rPr>
          </w:pPr>
          <w:hyperlink w:anchor="_Toc200377051" w:history="1">
            <w:r w:rsidR="00844675" w:rsidRPr="00F5198F">
              <w:rPr>
                <w:rStyle w:val="Hyperlink"/>
                <w:noProof/>
              </w:rPr>
              <w:t>20.2</w:t>
            </w:r>
            <w:r w:rsidR="00844675">
              <w:rPr>
                <w:rFonts w:asciiTheme="minorHAnsi" w:eastAsiaTheme="minorEastAsia" w:hAnsiTheme="minorHAnsi"/>
                <w:noProof/>
                <w:sz w:val="24"/>
                <w:szCs w:val="24"/>
              </w:rPr>
              <w:tab/>
            </w:r>
            <w:r w:rsidR="00844675" w:rsidRPr="00F5198F">
              <w:rPr>
                <w:rStyle w:val="Hyperlink"/>
                <w:noProof/>
              </w:rPr>
              <w:t>Termination by Resident</w:t>
            </w:r>
            <w:r w:rsidR="00844675">
              <w:rPr>
                <w:noProof/>
                <w:webHidden/>
              </w:rPr>
              <w:tab/>
            </w:r>
            <w:r w:rsidR="00844675">
              <w:rPr>
                <w:noProof/>
                <w:webHidden/>
              </w:rPr>
              <w:fldChar w:fldCharType="begin"/>
            </w:r>
            <w:r w:rsidR="00844675">
              <w:rPr>
                <w:noProof/>
                <w:webHidden/>
              </w:rPr>
              <w:instrText xml:space="preserve"> PAGEREF _Toc200377051 \h </w:instrText>
            </w:r>
            <w:r w:rsidR="00844675">
              <w:rPr>
                <w:noProof/>
                <w:webHidden/>
              </w:rPr>
            </w:r>
            <w:r w:rsidR="00844675">
              <w:rPr>
                <w:noProof/>
                <w:webHidden/>
              </w:rPr>
              <w:fldChar w:fldCharType="separate"/>
            </w:r>
            <w:r w:rsidR="00844675">
              <w:rPr>
                <w:noProof/>
                <w:webHidden/>
              </w:rPr>
              <w:t>169</w:t>
            </w:r>
            <w:r w:rsidR="00844675">
              <w:rPr>
                <w:noProof/>
                <w:webHidden/>
              </w:rPr>
              <w:fldChar w:fldCharType="end"/>
            </w:r>
          </w:hyperlink>
        </w:p>
        <w:p w14:paraId="5C961B3B" w14:textId="5C344EAB" w:rsidR="00844675" w:rsidRDefault="003C3A0E">
          <w:pPr>
            <w:pStyle w:val="TOC2"/>
            <w:rPr>
              <w:rFonts w:asciiTheme="minorHAnsi" w:eastAsiaTheme="minorEastAsia" w:hAnsiTheme="minorHAnsi"/>
              <w:noProof/>
              <w:sz w:val="24"/>
              <w:szCs w:val="24"/>
            </w:rPr>
          </w:pPr>
          <w:hyperlink w:anchor="_Toc200377052" w:history="1">
            <w:r w:rsidR="00844675" w:rsidRPr="00F5198F">
              <w:rPr>
                <w:rStyle w:val="Hyperlink"/>
                <w:noProof/>
              </w:rPr>
              <w:t>20.3</w:t>
            </w:r>
            <w:r w:rsidR="00844675">
              <w:rPr>
                <w:rFonts w:asciiTheme="minorHAnsi" w:eastAsiaTheme="minorEastAsia" w:hAnsiTheme="minorHAnsi"/>
                <w:noProof/>
                <w:sz w:val="24"/>
                <w:szCs w:val="24"/>
              </w:rPr>
              <w:tab/>
            </w:r>
            <w:r w:rsidR="00844675" w:rsidRPr="00F5198F">
              <w:rPr>
                <w:rStyle w:val="Hyperlink"/>
                <w:noProof/>
              </w:rPr>
              <w:t>Termination by HHA</w:t>
            </w:r>
            <w:r w:rsidR="00844675">
              <w:rPr>
                <w:noProof/>
                <w:webHidden/>
              </w:rPr>
              <w:tab/>
            </w:r>
            <w:r w:rsidR="00844675">
              <w:rPr>
                <w:noProof/>
                <w:webHidden/>
              </w:rPr>
              <w:fldChar w:fldCharType="begin"/>
            </w:r>
            <w:r w:rsidR="00844675">
              <w:rPr>
                <w:noProof/>
                <w:webHidden/>
              </w:rPr>
              <w:instrText xml:space="preserve"> PAGEREF _Toc200377052 \h </w:instrText>
            </w:r>
            <w:r w:rsidR="00844675">
              <w:rPr>
                <w:noProof/>
                <w:webHidden/>
              </w:rPr>
            </w:r>
            <w:r w:rsidR="00844675">
              <w:rPr>
                <w:noProof/>
                <w:webHidden/>
              </w:rPr>
              <w:fldChar w:fldCharType="separate"/>
            </w:r>
            <w:r w:rsidR="00844675">
              <w:rPr>
                <w:noProof/>
                <w:webHidden/>
              </w:rPr>
              <w:t>169</w:t>
            </w:r>
            <w:r w:rsidR="00844675">
              <w:rPr>
                <w:noProof/>
                <w:webHidden/>
              </w:rPr>
              <w:fldChar w:fldCharType="end"/>
            </w:r>
          </w:hyperlink>
        </w:p>
        <w:p w14:paraId="059F9FBF" w14:textId="66695844" w:rsidR="00844675" w:rsidRDefault="003C3A0E">
          <w:pPr>
            <w:pStyle w:val="TOC2"/>
            <w:rPr>
              <w:rFonts w:asciiTheme="minorHAnsi" w:eastAsiaTheme="minorEastAsia" w:hAnsiTheme="minorHAnsi"/>
              <w:noProof/>
              <w:sz w:val="24"/>
              <w:szCs w:val="24"/>
            </w:rPr>
          </w:pPr>
          <w:hyperlink w:anchor="_Toc200377053" w:history="1">
            <w:r w:rsidR="00844675" w:rsidRPr="00F5198F">
              <w:rPr>
                <w:rStyle w:val="Hyperlink"/>
                <w:noProof/>
              </w:rPr>
              <w:t>20.4</w:t>
            </w:r>
            <w:r w:rsidR="00844675">
              <w:rPr>
                <w:rFonts w:asciiTheme="minorHAnsi" w:eastAsiaTheme="minorEastAsia" w:hAnsiTheme="minorHAnsi"/>
                <w:noProof/>
                <w:sz w:val="24"/>
                <w:szCs w:val="24"/>
              </w:rPr>
              <w:tab/>
            </w:r>
            <w:r w:rsidR="00844675" w:rsidRPr="00F5198F">
              <w:rPr>
                <w:rStyle w:val="Hyperlink"/>
                <w:noProof/>
              </w:rPr>
              <w:t>Criteria for Deciding to Terminate Assistance</w:t>
            </w:r>
            <w:r w:rsidR="00844675">
              <w:rPr>
                <w:noProof/>
                <w:webHidden/>
              </w:rPr>
              <w:tab/>
            </w:r>
            <w:r w:rsidR="00844675">
              <w:rPr>
                <w:noProof/>
                <w:webHidden/>
              </w:rPr>
              <w:fldChar w:fldCharType="begin"/>
            </w:r>
            <w:r w:rsidR="00844675">
              <w:rPr>
                <w:noProof/>
                <w:webHidden/>
              </w:rPr>
              <w:instrText xml:space="preserve"> PAGEREF _Toc200377053 \h </w:instrText>
            </w:r>
            <w:r w:rsidR="00844675">
              <w:rPr>
                <w:noProof/>
                <w:webHidden/>
              </w:rPr>
            </w:r>
            <w:r w:rsidR="00844675">
              <w:rPr>
                <w:noProof/>
                <w:webHidden/>
              </w:rPr>
              <w:fldChar w:fldCharType="separate"/>
            </w:r>
            <w:r w:rsidR="00844675">
              <w:rPr>
                <w:noProof/>
                <w:webHidden/>
              </w:rPr>
              <w:t>173</w:t>
            </w:r>
            <w:r w:rsidR="00844675">
              <w:rPr>
                <w:noProof/>
                <w:webHidden/>
              </w:rPr>
              <w:fldChar w:fldCharType="end"/>
            </w:r>
          </w:hyperlink>
        </w:p>
        <w:p w14:paraId="57C018C9" w14:textId="3656ACE6" w:rsidR="00844675" w:rsidRDefault="003C3A0E">
          <w:pPr>
            <w:pStyle w:val="TOC2"/>
            <w:rPr>
              <w:rFonts w:asciiTheme="minorHAnsi" w:eastAsiaTheme="minorEastAsia" w:hAnsiTheme="minorHAnsi"/>
              <w:noProof/>
              <w:sz w:val="24"/>
              <w:szCs w:val="24"/>
            </w:rPr>
          </w:pPr>
          <w:hyperlink w:anchor="_Toc200377054" w:history="1">
            <w:r w:rsidR="00844675" w:rsidRPr="00F5198F">
              <w:rPr>
                <w:rStyle w:val="Hyperlink"/>
                <w:rFonts w:cs="Arial"/>
                <w:noProof/>
              </w:rPr>
              <w:t>20.5</w:t>
            </w:r>
            <w:r w:rsidR="00844675">
              <w:rPr>
                <w:rFonts w:asciiTheme="minorHAnsi" w:eastAsiaTheme="minorEastAsia" w:hAnsiTheme="minorHAnsi"/>
                <w:noProof/>
                <w:sz w:val="24"/>
                <w:szCs w:val="24"/>
              </w:rPr>
              <w:tab/>
            </w:r>
            <w:r w:rsidR="00844675" w:rsidRPr="00F5198F">
              <w:rPr>
                <w:rStyle w:val="Hyperlink"/>
                <w:rFonts w:cs="Arial"/>
                <w:noProof/>
              </w:rPr>
              <w:t>Criminal Records</w:t>
            </w:r>
            <w:r w:rsidR="00844675">
              <w:rPr>
                <w:noProof/>
                <w:webHidden/>
              </w:rPr>
              <w:tab/>
            </w:r>
            <w:r w:rsidR="00844675">
              <w:rPr>
                <w:noProof/>
                <w:webHidden/>
              </w:rPr>
              <w:fldChar w:fldCharType="begin"/>
            </w:r>
            <w:r w:rsidR="00844675">
              <w:rPr>
                <w:noProof/>
                <w:webHidden/>
              </w:rPr>
              <w:instrText xml:space="preserve"> PAGEREF _Toc200377054 \h </w:instrText>
            </w:r>
            <w:r w:rsidR="00844675">
              <w:rPr>
                <w:noProof/>
                <w:webHidden/>
              </w:rPr>
            </w:r>
            <w:r w:rsidR="00844675">
              <w:rPr>
                <w:noProof/>
                <w:webHidden/>
              </w:rPr>
              <w:fldChar w:fldCharType="separate"/>
            </w:r>
            <w:r w:rsidR="00844675">
              <w:rPr>
                <w:noProof/>
                <w:webHidden/>
              </w:rPr>
              <w:t>173</w:t>
            </w:r>
            <w:r w:rsidR="00844675">
              <w:rPr>
                <w:noProof/>
                <w:webHidden/>
              </w:rPr>
              <w:fldChar w:fldCharType="end"/>
            </w:r>
          </w:hyperlink>
        </w:p>
        <w:p w14:paraId="7F83ABE9" w14:textId="7C446E65" w:rsidR="00844675" w:rsidRDefault="003C3A0E">
          <w:pPr>
            <w:pStyle w:val="TOC2"/>
            <w:rPr>
              <w:rFonts w:asciiTheme="minorHAnsi" w:eastAsiaTheme="minorEastAsia" w:hAnsiTheme="minorHAnsi"/>
              <w:noProof/>
              <w:sz w:val="24"/>
              <w:szCs w:val="24"/>
            </w:rPr>
          </w:pPr>
          <w:hyperlink w:anchor="_Toc200377055" w:history="1">
            <w:r w:rsidR="00844675" w:rsidRPr="00F5198F">
              <w:rPr>
                <w:rStyle w:val="Hyperlink"/>
                <w:noProof/>
              </w:rPr>
              <w:t>20.6</w:t>
            </w:r>
            <w:r w:rsidR="00844675">
              <w:rPr>
                <w:rFonts w:asciiTheme="minorHAnsi" w:eastAsiaTheme="minorEastAsia" w:hAnsiTheme="minorHAnsi"/>
                <w:noProof/>
                <w:sz w:val="24"/>
                <w:szCs w:val="24"/>
              </w:rPr>
              <w:tab/>
            </w:r>
            <w:r w:rsidR="00844675" w:rsidRPr="00F5198F">
              <w:rPr>
                <w:rStyle w:val="Hyperlink"/>
                <w:noProof/>
              </w:rPr>
              <w:t>Lease Termination Notice</w:t>
            </w:r>
            <w:r w:rsidR="00844675">
              <w:rPr>
                <w:noProof/>
                <w:webHidden/>
              </w:rPr>
              <w:tab/>
            </w:r>
            <w:r w:rsidR="00844675">
              <w:rPr>
                <w:noProof/>
                <w:webHidden/>
              </w:rPr>
              <w:fldChar w:fldCharType="begin"/>
            </w:r>
            <w:r w:rsidR="00844675">
              <w:rPr>
                <w:noProof/>
                <w:webHidden/>
              </w:rPr>
              <w:instrText xml:space="preserve"> PAGEREF _Toc200377055 \h </w:instrText>
            </w:r>
            <w:r w:rsidR="00844675">
              <w:rPr>
                <w:noProof/>
                <w:webHidden/>
              </w:rPr>
            </w:r>
            <w:r w:rsidR="00844675">
              <w:rPr>
                <w:noProof/>
                <w:webHidden/>
              </w:rPr>
              <w:fldChar w:fldCharType="separate"/>
            </w:r>
            <w:r w:rsidR="00844675">
              <w:rPr>
                <w:noProof/>
                <w:webHidden/>
              </w:rPr>
              <w:t>174</w:t>
            </w:r>
            <w:r w:rsidR="00844675">
              <w:rPr>
                <w:noProof/>
                <w:webHidden/>
              </w:rPr>
              <w:fldChar w:fldCharType="end"/>
            </w:r>
          </w:hyperlink>
        </w:p>
        <w:p w14:paraId="79670220" w14:textId="4983A506" w:rsidR="00844675" w:rsidRDefault="003C3A0E">
          <w:pPr>
            <w:pStyle w:val="TOC2"/>
            <w:rPr>
              <w:rFonts w:asciiTheme="minorHAnsi" w:eastAsiaTheme="minorEastAsia" w:hAnsiTheme="minorHAnsi"/>
              <w:noProof/>
              <w:sz w:val="24"/>
              <w:szCs w:val="24"/>
            </w:rPr>
          </w:pPr>
          <w:hyperlink w:anchor="_Toc200377056" w:history="1">
            <w:r w:rsidR="00844675" w:rsidRPr="00F5198F">
              <w:rPr>
                <w:rStyle w:val="Hyperlink"/>
                <w:noProof/>
              </w:rPr>
              <w:t>20.7</w:t>
            </w:r>
            <w:r w:rsidR="00844675">
              <w:rPr>
                <w:rFonts w:asciiTheme="minorHAnsi" w:eastAsiaTheme="minorEastAsia" w:hAnsiTheme="minorHAnsi"/>
                <w:noProof/>
                <w:sz w:val="24"/>
                <w:szCs w:val="24"/>
              </w:rPr>
              <w:tab/>
            </w:r>
            <w:r w:rsidR="00844675" w:rsidRPr="00F5198F">
              <w:rPr>
                <w:rStyle w:val="Hyperlink"/>
                <w:noProof/>
              </w:rPr>
              <w:t>Eviction</w:t>
            </w:r>
            <w:r w:rsidR="00844675">
              <w:rPr>
                <w:noProof/>
                <w:webHidden/>
              </w:rPr>
              <w:tab/>
            </w:r>
            <w:r w:rsidR="00844675">
              <w:rPr>
                <w:noProof/>
                <w:webHidden/>
              </w:rPr>
              <w:fldChar w:fldCharType="begin"/>
            </w:r>
            <w:r w:rsidR="00844675">
              <w:rPr>
                <w:noProof/>
                <w:webHidden/>
              </w:rPr>
              <w:instrText xml:space="preserve"> PAGEREF _Toc200377056 \h </w:instrText>
            </w:r>
            <w:r w:rsidR="00844675">
              <w:rPr>
                <w:noProof/>
                <w:webHidden/>
              </w:rPr>
            </w:r>
            <w:r w:rsidR="00844675">
              <w:rPr>
                <w:noProof/>
                <w:webHidden/>
              </w:rPr>
              <w:fldChar w:fldCharType="separate"/>
            </w:r>
            <w:r w:rsidR="00844675">
              <w:rPr>
                <w:noProof/>
                <w:webHidden/>
              </w:rPr>
              <w:t>175</w:t>
            </w:r>
            <w:r w:rsidR="00844675">
              <w:rPr>
                <w:noProof/>
                <w:webHidden/>
              </w:rPr>
              <w:fldChar w:fldCharType="end"/>
            </w:r>
          </w:hyperlink>
        </w:p>
        <w:p w14:paraId="7FC988D2" w14:textId="00E19A27" w:rsidR="00844675" w:rsidRDefault="003C3A0E">
          <w:pPr>
            <w:pStyle w:val="TOC2"/>
            <w:rPr>
              <w:rFonts w:asciiTheme="minorHAnsi" w:eastAsiaTheme="minorEastAsia" w:hAnsiTheme="minorHAnsi"/>
              <w:noProof/>
              <w:sz w:val="24"/>
              <w:szCs w:val="24"/>
            </w:rPr>
          </w:pPr>
          <w:hyperlink w:anchor="_Toc200377057" w:history="1">
            <w:r w:rsidR="00844675" w:rsidRPr="00F5198F">
              <w:rPr>
                <w:rStyle w:val="Hyperlink"/>
                <w:noProof/>
              </w:rPr>
              <w:t>20.8</w:t>
            </w:r>
            <w:r w:rsidR="00844675">
              <w:rPr>
                <w:rFonts w:asciiTheme="minorHAnsi" w:eastAsiaTheme="minorEastAsia" w:hAnsiTheme="minorHAnsi"/>
                <w:noProof/>
                <w:sz w:val="24"/>
                <w:szCs w:val="24"/>
              </w:rPr>
              <w:tab/>
            </w:r>
            <w:r w:rsidR="00844675" w:rsidRPr="00F5198F">
              <w:rPr>
                <w:rStyle w:val="Hyperlink"/>
                <w:noProof/>
              </w:rPr>
              <w:t>Notification to the Post Office</w:t>
            </w:r>
            <w:r w:rsidR="00844675">
              <w:rPr>
                <w:noProof/>
                <w:webHidden/>
              </w:rPr>
              <w:tab/>
            </w:r>
            <w:r w:rsidR="00844675">
              <w:rPr>
                <w:noProof/>
                <w:webHidden/>
              </w:rPr>
              <w:fldChar w:fldCharType="begin"/>
            </w:r>
            <w:r w:rsidR="00844675">
              <w:rPr>
                <w:noProof/>
                <w:webHidden/>
              </w:rPr>
              <w:instrText xml:space="preserve"> PAGEREF _Toc200377057 \h </w:instrText>
            </w:r>
            <w:r w:rsidR="00844675">
              <w:rPr>
                <w:noProof/>
                <w:webHidden/>
              </w:rPr>
            </w:r>
            <w:r w:rsidR="00844675">
              <w:rPr>
                <w:noProof/>
                <w:webHidden/>
              </w:rPr>
              <w:fldChar w:fldCharType="separate"/>
            </w:r>
            <w:r w:rsidR="00844675">
              <w:rPr>
                <w:noProof/>
                <w:webHidden/>
              </w:rPr>
              <w:t>176</w:t>
            </w:r>
            <w:r w:rsidR="00844675">
              <w:rPr>
                <w:noProof/>
                <w:webHidden/>
              </w:rPr>
              <w:fldChar w:fldCharType="end"/>
            </w:r>
          </w:hyperlink>
        </w:p>
        <w:p w14:paraId="7192E296" w14:textId="5635A1AD" w:rsidR="00844675" w:rsidRDefault="003C3A0E">
          <w:pPr>
            <w:pStyle w:val="TOC2"/>
            <w:rPr>
              <w:rFonts w:asciiTheme="minorHAnsi" w:eastAsiaTheme="minorEastAsia" w:hAnsiTheme="minorHAnsi"/>
              <w:noProof/>
              <w:sz w:val="24"/>
              <w:szCs w:val="24"/>
            </w:rPr>
          </w:pPr>
          <w:hyperlink w:anchor="_Toc200377058" w:history="1">
            <w:r w:rsidR="00844675" w:rsidRPr="00F5198F">
              <w:rPr>
                <w:rStyle w:val="Hyperlink"/>
                <w:noProof/>
              </w:rPr>
              <w:t>20.9</w:t>
            </w:r>
            <w:r w:rsidR="00844675">
              <w:rPr>
                <w:rFonts w:asciiTheme="minorHAnsi" w:eastAsiaTheme="minorEastAsia" w:hAnsiTheme="minorHAnsi"/>
                <w:noProof/>
                <w:sz w:val="24"/>
                <w:szCs w:val="24"/>
              </w:rPr>
              <w:tab/>
            </w:r>
            <w:r w:rsidR="00844675" w:rsidRPr="00F5198F">
              <w:rPr>
                <w:rStyle w:val="Hyperlink"/>
                <w:noProof/>
              </w:rPr>
              <w:t>Record Keeping</w:t>
            </w:r>
            <w:r w:rsidR="00844675">
              <w:rPr>
                <w:noProof/>
                <w:webHidden/>
              </w:rPr>
              <w:tab/>
            </w:r>
            <w:r w:rsidR="00844675">
              <w:rPr>
                <w:noProof/>
                <w:webHidden/>
              </w:rPr>
              <w:fldChar w:fldCharType="begin"/>
            </w:r>
            <w:r w:rsidR="00844675">
              <w:rPr>
                <w:noProof/>
                <w:webHidden/>
              </w:rPr>
              <w:instrText xml:space="preserve"> PAGEREF _Toc200377058 \h </w:instrText>
            </w:r>
            <w:r w:rsidR="00844675">
              <w:rPr>
                <w:noProof/>
                <w:webHidden/>
              </w:rPr>
            </w:r>
            <w:r w:rsidR="00844675">
              <w:rPr>
                <w:noProof/>
                <w:webHidden/>
              </w:rPr>
              <w:fldChar w:fldCharType="separate"/>
            </w:r>
            <w:r w:rsidR="00844675">
              <w:rPr>
                <w:noProof/>
                <w:webHidden/>
              </w:rPr>
              <w:t>176</w:t>
            </w:r>
            <w:r w:rsidR="00844675">
              <w:rPr>
                <w:noProof/>
                <w:webHidden/>
              </w:rPr>
              <w:fldChar w:fldCharType="end"/>
            </w:r>
          </w:hyperlink>
        </w:p>
        <w:p w14:paraId="2B0B8FE7" w14:textId="2162BF8F" w:rsidR="00844675" w:rsidRDefault="003C3A0E" w:rsidP="00AD20A4">
          <w:pPr>
            <w:pStyle w:val="TOC1"/>
            <w:rPr>
              <w:rFonts w:asciiTheme="minorHAnsi" w:eastAsiaTheme="minorEastAsia" w:hAnsiTheme="minorHAnsi"/>
              <w:noProof/>
              <w:color w:val="auto"/>
              <w:szCs w:val="24"/>
            </w:rPr>
          </w:pPr>
          <w:hyperlink w:anchor="_Toc200377059" w:history="1">
            <w:r w:rsidR="00844675" w:rsidRPr="00F5198F">
              <w:rPr>
                <w:rStyle w:val="Hyperlink"/>
                <w:noProof/>
                <w:lang w:bidi="en-US"/>
              </w:rPr>
              <w:t>CHAPTER 21: PROGRAM INTEGRITY</w:t>
            </w:r>
            <w:r w:rsidR="00844675">
              <w:rPr>
                <w:noProof/>
                <w:webHidden/>
              </w:rPr>
              <w:tab/>
            </w:r>
            <w:r w:rsidR="00844675">
              <w:rPr>
                <w:noProof/>
                <w:webHidden/>
              </w:rPr>
              <w:fldChar w:fldCharType="begin"/>
            </w:r>
            <w:r w:rsidR="00844675">
              <w:rPr>
                <w:noProof/>
                <w:webHidden/>
              </w:rPr>
              <w:instrText xml:space="preserve"> PAGEREF _Toc200377059 \h </w:instrText>
            </w:r>
            <w:r w:rsidR="00844675">
              <w:rPr>
                <w:noProof/>
                <w:webHidden/>
              </w:rPr>
            </w:r>
            <w:r w:rsidR="00844675">
              <w:rPr>
                <w:noProof/>
                <w:webHidden/>
              </w:rPr>
              <w:fldChar w:fldCharType="separate"/>
            </w:r>
            <w:r w:rsidR="00844675">
              <w:rPr>
                <w:noProof/>
                <w:webHidden/>
              </w:rPr>
              <w:t>177</w:t>
            </w:r>
            <w:r w:rsidR="00844675">
              <w:rPr>
                <w:noProof/>
                <w:webHidden/>
              </w:rPr>
              <w:fldChar w:fldCharType="end"/>
            </w:r>
          </w:hyperlink>
        </w:p>
        <w:p w14:paraId="759C4AAF" w14:textId="28A5FC3C" w:rsidR="00844675" w:rsidRDefault="003C3A0E">
          <w:pPr>
            <w:pStyle w:val="TOC2"/>
            <w:rPr>
              <w:rFonts w:asciiTheme="minorHAnsi" w:eastAsiaTheme="minorEastAsia" w:hAnsiTheme="minorHAnsi"/>
              <w:noProof/>
              <w:sz w:val="24"/>
              <w:szCs w:val="24"/>
            </w:rPr>
          </w:pPr>
          <w:hyperlink w:anchor="_Toc200377060" w:history="1">
            <w:r w:rsidR="00844675" w:rsidRPr="00F5198F">
              <w:rPr>
                <w:rStyle w:val="Hyperlink"/>
                <w:noProof/>
              </w:rPr>
              <w:t>21.1</w:t>
            </w:r>
            <w:r w:rsidR="00844675">
              <w:rPr>
                <w:rFonts w:asciiTheme="minorHAnsi" w:eastAsiaTheme="minorEastAsia" w:hAnsiTheme="minorHAnsi"/>
                <w:noProof/>
                <w:sz w:val="24"/>
                <w:szCs w:val="24"/>
              </w:rPr>
              <w:tab/>
            </w:r>
            <w:r w:rsidR="00844675" w:rsidRPr="00F5198F">
              <w:rPr>
                <w:rStyle w:val="Hyperlink"/>
                <w:noProof/>
              </w:rPr>
              <w:t>Introduction</w:t>
            </w:r>
            <w:r w:rsidR="00844675">
              <w:rPr>
                <w:noProof/>
                <w:webHidden/>
              </w:rPr>
              <w:tab/>
            </w:r>
            <w:r w:rsidR="00844675">
              <w:rPr>
                <w:noProof/>
                <w:webHidden/>
              </w:rPr>
              <w:fldChar w:fldCharType="begin"/>
            </w:r>
            <w:r w:rsidR="00844675">
              <w:rPr>
                <w:noProof/>
                <w:webHidden/>
              </w:rPr>
              <w:instrText xml:space="preserve"> PAGEREF _Toc200377060 \h </w:instrText>
            </w:r>
            <w:r w:rsidR="00844675">
              <w:rPr>
                <w:noProof/>
                <w:webHidden/>
              </w:rPr>
            </w:r>
            <w:r w:rsidR="00844675">
              <w:rPr>
                <w:noProof/>
                <w:webHidden/>
              </w:rPr>
              <w:fldChar w:fldCharType="separate"/>
            </w:r>
            <w:r w:rsidR="00844675">
              <w:rPr>
                <w:noProof/>
                <w:webHidden/>
              </w:rPr>
              <w:t>177</w:t>
            </w:r>
            <w:r w:rsidR="00844675">
              <w:rPr>
                <w:noProof/>
                <w:webHidden/>
              </w:rPr>
              <w:fldChar w:fldCharType="end"/>
            </w:r>
          </w:hyperlink>
        </w:p>
        <w:p w14:paraId="07EA1D81" w14:textId="24CE2A65" w:rsidR="00844675" w:rsidRDefault="003C3A0E">
          <w:pPr>
            <w:pStyle w:val="TOC2"/>
            <w:rPr>
              <w:rFonts w:asciiTheme="minorHAnsi" w:eastAsiaTheme="minorEastAsia" w:hAnsiTheme="minorHAnsi"/>
              <w:noProof/>
              <w:sz w:val="24"/>
              <w:szCs w:val="24"/>
            </w:rPr>
          </w:pPr>
          <w:hyperlink w:anchor="_Toc200377061" w:history="1">
            <w:r w:rsidR="00844675" w:rsidRPr="00F5198F">
              <w:rPr>
                <w:rStyle w:val="Hyperlink"/>
                <w:noProof/>
              </w:rPr>
              <w:t>21.2</w:t>
            </w:r>
            <w:r w:rsidR="00844675">
              <w:rPr>
                <w:rFonts w:asciiTheme="minorHAnsi" w:eastAsiaTheme="minorEastAsia" w:hAnsiTheme="minorHAnsi"/>
                <w:noProof/>
                <w:sz w:val="24"/>
                <w:szCs w:val="24"/>
              </w:rPr>
              <w:tab/>
            </w:r>
            <w:r w:rsidR="00844675" w:rsidRPr="00F5198F">
              <w:rPr>
                <w:rStyle w:val="Hyperlink"/>
                <w:noProof/>
              </w:rPr>
              <w:t>Detecting Errors and Program Abuse</w:t>
            </w:r>
            <w:r w:rsidR="00844675">
              <w:rPr>
                <w:noProof/>
                <w:webHidden/>
              </w:rPr>
              <w:tab/>
            </w:r>
            <w:r w:rsidR="00844675">
              <w:rPr>
                <w:noProof/>
                <w:webHidden/>
              </w:rPr>
              <w:fldChar w:fldCharType="begin"/>
            </w:r>
            <w:r w:rsidR="00844675">
              <w:rPr>
                <w:noProof/>
                <w:webHidden/>
              </w:rPr>
              <w:instrText xml:space="preserve"> PAGEREF _Toc200377061 \h </w:instrText>
            </w:r>
            <w:r w:rsidR="00844675">
              <w:rPr>
                <w:noProof/>
                <w:webHidden/>
              </w:rPr>
            </w:r>
            <w:r w:rsidR="00844675">
              <w:rPr>
                <w:noProof/>
                <w:webHidden/>
              </w:rPr>
              <w:fldChar w:fldCharType="separate"/>
            </w:r>
            <w:r w:rsidR="00844675">
              <w:rPr>
                <w:noProof/>
                <w:webHidden/>
              </w:rPr>
              <w:t>177</w:t>
            </w:r>
            <w:r w:rsidR="00844675">
              <w:rPr>
                <w:noProof/>
                <w:webHidden/>
              </w:rPr>
              <w:fldChar w:fldCharType="end"/>
            </w:r>
          </w:hyperlink>
        </w:p>
        <w:p w14:paraId="3B7A9024" w14:textId="0A4A6A78" w:rsidR="00844675" w:rsidRDefault="003C3A0E">
          <w:pPr>
            <w:pStyle w:val="TOC2"/>
            <w:rPr>
              <w:rFonts w:asciiTheme="minorHAnsi" w:eastAsiaTheme="minorEastAsia" w:hAnsiTheme="minorHAnsi"/>
              <w:noProof/>
              <w:sz w:val="24"/>
              <w:szCs w:val="24"/>
            </w:rPr>
          </w:pPr>
          <w:hyperlink w:anchor="_Toc200377062" w:history="1">
            <w:r w:rsidR="00844675" w:rsidRPr="00F5198F">
              <w:rPr>
                <w:rStyle w:val="Hyperlink"/>
                <w:noProof/>
              </w:rPr>
              <w:t>21.3</w:t>
            </w:r>
            <w:r w:rsidR="00844675">
              <w:rPr>
                <w:rFonts w:asciiTheme="minorHAnsi" w:eastAsiaTheme="minorEastAsia" w:hAnsiTheme="minorHAnsi"/>
                <w:noProof/>
                <w:sz w:val="24"/>
                <w:szCs w:val="24"/>
              </w:rPr>
              <w:tab/>
            </w:r>
            <w:r w:rsidR="00844675" w:rsidRPr="00F5198F">
              <w:rPr>
                <w:rStyle w:val="Hyperlink"/>
                <w:noProof/>
              </w:rPr>
              <w:t>Investigation</w:t>
            </w:r>
            <w:r w:rsidR="00844675">
              <w:rPr>
                <w:noProof/>
                <w:webHidden/>
              </w:rPr>
              <w:tab/>
            </w:r>
            <w:r w:rsidR="00844675">
              <w:rPr>
                <w:noProof/>
                <w:webHidden/>
              </w:rPr>
              <w:fldChar w:fldCharType="begin"/>
            </w:r>
            <w:r w:rsidR="00844675">
              <w:rPr>
                <w:noProof/>
                <w:webHidden/>
              </w:rPr>
              <w:instrText xml:space="preserve"> PAGEREF _Toc200377062 \h </w:instrText>
            </w:r>
            <w:r w:rsidR="00844675">
              <w:rPr>
                <w:noProof/>
                <w:webHidden/>
              </w:rPr>
            </w:r>
            <w:r w:rsidR="00844675">
              <w:rPr>
                <w:noProof/>
                <w:webHidden/>
              </w:rPr>
              <w:fldChar w:fldCharType="separate"/>
            </w:r>
            <w:r w:rsidR="00844675">
              <w:rPr>
                <w:noProof/>
                <w:webHidden/>
              </w:rPr>
              <w:t>178</w:t>
            </w:r>
            <w:r w:rsidR="00844675">
              <w:rPr>
                <w:noProof/>
                <w:webHidden/>
              </w:rPr>
              <w:fldChar w:fldCharType="end"/>
            </w:r>
          </w:hyperlink>
        </w:p>
        <w:p w14:paraId="67F88A58" w14:textId="1BF2C754" w:rsidR="00844675" w:rsidRDefault="003C3A0E">
          <w:pPr>
            <w:pStyle w:val="TOC2"/>
            <w:rPr>
              <w:rFonts w:asciiTheme="minorHAnsi" w:eastAsiaTheme="minorEastAsia" w:hAnsiTheme="minorHAnsi"/>
              <w:noProof/>
              <w:sz w:val="24"/>
              <w:szCs w:val="24"/>
            </w:rPr>
          </w:pPr>
          <w:hyperlink w:anchor="_Toc200377063" w:history="1">
            <w:r w:rsidR="00844675" w:rsidRPr="00F5198F">
              <w:rPr>
                <w:rStyle w:val="Hyperlink"/>
                <w:noProof/>
              </w:rPr>
              <w:t>21.4</w:t>
            </w:r>
            <w:r w:rsidR="00844675">
              <w:rPr>
                <w:rFonts w:asciiTheme="minorHAnsi" w:eastAsiaTheme="minorEastAsia" w:hAnsiTheme="minorHAnsi"/>
                <w:noProof/>
                <w:sz w:val="24"/>
                <w:szCs w:val="24"/>
              </w:rPr>
              <w:tab/>
            </w:r>
            <w:r w:rsidR="00844675" w:rsidRPr="00F5198F">
              <w:rPr>
                <w:rStyle w:val="Hyperlink"/>
                <w:noProof/>
              </w:rPr>
              <w:t>De Minimis Errors</w:t>
            </w:r>
            <w:r w:rsidR="00844675">
              <w:rPr>
                <w:noProof/>
                <w:webHidden/>
              </w:rPr>
              <w:tab/>
            </w:r>
            <w:r w:rsidR="00844675">
              <w:rPr>
                <w:noProof/>
                <w:webHidden/>
              </w:rPr>
              <w:fldChar w:fldCharType="begin"/>
            </w:r>
            <w:r w:rsidR="00844675">
              <w:rPr>
                <w:noProof/>
                <w:webHidden/>
              </w:rPr>
              <w:instrText xml:space="preserve"> PAGEREF _Toc200377063 \h </w:instrText>
            </w:r>
            <w:r w:rsidR="00844675">
              <w:rPr>
                <w:noProof/>
                <w:webHidden/>
              </w:rPr>
            </w:r>
            <w:r w:rsidR="00844675">
              <w:rPr>
                <w:noProof/>
                <w:webHidden/>
              </w:rPr>
              <w:fldChar w:fldCharType="separate"/>
            </w:r>
            <w:r w:rsidR="00844675">
              <w:rPr>
                <w:noProof/>
                <w:webHidden/>
              </w:rPr>
              <w:t>179</w:t>
            </w:r>
            <w:r w:rsidR="00844675">
              <w:rPr>
                <w:noProof/>
                <w:webHidden/>
              </w:rPr>
              <w:fldChar w:fldCharType="end"/>
            </w:r>
          </w:hyperlink>
        </w:p>
        <w:p w14:paraId="44E046EF" w14:textId="5DCFAE47" w:rsidR="00844675" w:rsidRDefault="003C3A0E">
          <w:pPr>
            <w:pStyle w:val="TOC2"/>
            <w:rPr>
              <w:rFonts w:asciiTheme="minorHAnsi" w:eastAsiaTheme="minorEastAsia" w:hAnsiTheme="minorHAnsi"/>
              <w:noProof/>
              <w:sz w:val="24"/>
              <w:szCs w:val="24"/>
            </w:rPr>
          </w:pPr>
          <w:hyperlink w:anchor="_Toc200377064" w:history="1">
            <w:r w:rsidR="00844675" w:rsidRPr="00F5198F">
              <w:rPr>
                <w:rStyle w:val="Hyperlink"/>
                <w:noProof/>
              </w:rPr>
              <w:t>21.5</w:t>
            </w:r>
            <w:r w:rsidR="00844675">
              <w:rPr>
                <w:rFonts w:asciiTheme="minorHAnsi" w:eastAsiaTheme="minorEastAsia" w:hAnsiTheme="minorHAnsi"/>
                <w:noProof/>
                <w:sz w:val="24"/>
                <w:szCs w:val="24"/>
              </w:rPr>
              <w:tab/>
            </w:r>
            <w:r w:rsidR="00844675" w:rsidRPr="00F5198F">
              <w:rPr>
                <w:rStyle w:val="Hyperlink"/>
                <w:noProof/>
              </w:rPr>
              <w:t>Family-Caused Errors and/or Program Abuse</w:t>
            </w:r>
            <w:r w:rsidR="00844675">
              <w:rPr>
                <w:noProof/>
                <w:webHidden/>
              </w:rPr>
              <w:tab/>
            </w:r>
            <w:r w:rsidR="00844675">
              <w:rPr>
                <w:noProof/>
                <w:webHidden/>
              </w:rPr>
              <w:fldChar w:fldCharType="begin"/>
            </w:r>
            <w:r w:rsidR="00844675">
              <w:rPr>
                <w:noProof/>
                <w:webHidden/>
              </w:rPr>
              <w:instrText xml:space="preserve"> PAGEREF _Toc200377064 \h </w:instrText>
            </w:r>
            <w:r w:rsidR="00844675">
              <w:rPr>
                <w:noProof/>
                <w:webHidden/>
              </w:rPr>
            </w:r>
            <w:r w:rsidR="00844675">
              <w:rPr>
                <w:noProof/>
                <w:webHidden/>
              </w:rPr>
              <w:fldChar w:fldCharType="separate"/>
            </w:r>
            <w:r w:rsidR="00844675">
              <w:rPr>
                <w:noProof/>
                <w:webHidden/>
              </w:rPr>
              <w:t>179</w:t>
            </w:r>
            <w:r w:rsidR="00844675">
              <w:rPr>
                <w:noProof/>
                <w:webHidden/>
              </w:rPr>
              <w:fldChar w:fldCharType="end"/>
            </w:r>
          </w:hyperlink>
        </w:p>
        <w:p w14:paraId="6B0E070E" w14:textId="3EA6E9AB" w:rsidR="00844675" w:rsidRDefault="003C3A0E">
          <w:pPr>
            <w:pStyle w:val="TOC2"/>
            <w:rPr>
              <w:rFonts w:asciiTheme="minorHAnsi" w:eastAsiaTheme="minorEastAsia" w:hAnsiTheme="minorHAnsi"/>
              <w:noProof/>
              <w:sz w:val="24"/>
              <w:szCs w:val="24"/>
            </w:rPr>
          </w:pPr>
          <w:hyperlink w:anchor="_Toc200377065" w:history="1">
            <w:r w:rsidR="00844675" w:rsidRPr="00F5198F">
              <w:rPr>
                <w:rStyle w:val="Hyperlink"/>
                <w:noProof/>
              </w:rPr>
              <w:t>21.6</w:t>
            </w:r>
            <w:r w:rsidR="00844675">
              <w:rPr>
                <w:rFonts w:asciiTheme="minorHAnsi" w:eastAsiaTheme="minorEastAsia" w:hAnsiTheme="minorHAnsi"/>
                <w:noProof/>
                <w:sz w:val="24"/>
                <w:szCs w:val="24"/>
              </w:rPr>
              <w:tab/>
            </w:r>
            <w:r w:rsidR="00844675" w:rsidRPr="00F5198F">
              <w:rPr>
                <w:rStyle w:val="Hyperlink"/>
                <w:noProof/>
              </w:rPr>
              <w:t>Debts Owed to HHA</w:t>
            </w:r>
            <w:r w:rsidR="00844675">
              <w:rPr>
                <w:noProof/>
                <w:webHidden/>
              </w:rPr>
              <w:tab/>
            </w:r>
            <w:r w:rsidR="00844675">
              <w:rPr>
                <w:noProof/>
                <w:webHidden/>
              </w:rPr>
              <w:fldChar w:fldCharType="begin"/>
            </w:r>
            <w:r w:rsidR="00844675">
              <w:rPr>
                <w:noProof/>
                <w:webHidden/>
              </w:rPr>
              <w:instrText xml:space="preserve"> PAGEREF _Toc200377065 \h </w:instrText>
            </w:r>
            <w:r w:rsidR="00844675">
              <w:rPr>
                <w:noProof/>
                <w:webHidden/>
              </w:rPr>
            </w:r>
            <w:r w:rsidR="00844675">
              <w:rPr>
                <w:noProof/>
                <w:webHidden/>
              </w:rPr>
              <w:fldChar w:fldCharType="separate"/>
            </w:r>
            <w:r w:rsidR="00844675">
              <w:rPr>
                <w:noProof/>
                <w:webHidden/>
              </w:rPr>
              <w:t>180</w:t>
            </w:r>
            <w:r w:rsidR="00844675">
              <w:rPr>
                <w:noProof/>
                <w:webHidden/>
              </w:rPr>
              <w:fldChar w:fldCharType="end"/>
            </w:r>
          </w:hyperlink>
        </w:p>
        <w:p w14:paraId="143181D3" w14:textId="6F3F4007" w:rsidR="00844675" w:rsidRDefault="003C3A0E">
          <w:pPr>
            <w:pStyle w:val="TOC2"/>
            <w:rPr>
              <w:rFonts w:asciiTheme="minorHAnsi" w:eastAsiaTheme="minorEastAsia" w:hAnsiTheme="minorHAnsi"/>
              <w:noProof/>
              <w:sz w:val="24"/>
              <w:szCs w:val="24"/>
            </w:rPr>
          </w:pPr>
          <w:hyperlink w:anchor="_Toc200377066" w:history="1">
            <w:r w:rsidR="00844675" w:rsidRPr="00F5198F">
              <w:rPr>
                <w:rStyle w:val="Hyperlink"/>
                <w:noProof/>
              </w:rPr>
              <w:t>21.7</w:t>
            </w:r>
            <w:r w:rsidR="00844675">
              <w:rPr>
                <w:rFonts w:asciiTheme="minorHAnsi" w:eastAsiaTheme="minorEastAsia" w:hAnsiTheme="minorHAnsi"/>
                <w:noProof/>
                <w:sz w:val="24"/>
                <w:szCs w:val="24"/>
              </w:rPr>
              <w:tab/>
            </w:r>
            <w:r w:rsidR="00844675" w:rsidRPr="00F5198F">
              <w:rPr>
                <w:rStyle w:val="Hyperlink"/>
                <w:noProof/>
              </w:rPr>
              <w:t>Income Fraud</w:t>
            </w:r>
            <w:r w:rsidR="00844675">
              <w:rPr>
                <w:noProof/>
                <w:webHidden/>
              </w:rPr>
              <w:tab/>
            </w:r>
            <w:r w:rsidR="00844675">
              <w:rPr>
                <w:noProof/>
                <w:webHidden/>
              </w:rPr>
              <w:fldChar w:fldCharType="begin"/>
            </w:r>
            <w:r w:rsidR="00844675">
              <w:rPr>
                <w:noProof/>
                <w:webHidden/>
              </w:rPr>
              <w:instrText xml:space="preserve"> PAGEREF _Toc200377066 \h </w:instrText>
            </w:r>
            <w:r w:rsidR="00844675">
              <w:rPr>
                <w:noProof/>
                <w:webHidden/>
              </w:rPr>
            </w:r>
            <w:r w:rsidR="00844675">
              <w:rPr>
                <w:noProof/>
                <w:webHidden/>
              </w:rPr>
              <w:fldChar w:fldCharType="separate"/>
            </w:r>
            <w:r w:rsidR="00844675">
              <w:rPr>
                <w:noProof/>
                <w:webHidden/>
              </w:rPr>
              <w:t>180</w:t>
            </w:r>
            <w:r w:rsidR="00844675">
              <w:rPr>
                <w:noProof/>
                <w:webHidden/>
              </w:rPr>
              <w:fldChar w:fldCharType="end"/>
            </w:r>
          </w:hyperlink>
        </w:p>
        <w:p w14:paraId="4A4E381F" w14:textId="50A4652B" w:rsidR="00844675" w:rsidRDefault="003C3A0E">
          <w:pPr>
            <w:pStyle w:val="TOC2"/>
            <w:rPr>
              <w:rFonts w:asciiTheme="minorHAnsi" w:eastAsiaTheme="minorEastAsia" w:hAnsiTheme="minorHAnsi"/>
              <w:noProof/>
              <w:sz w:val="24"/>
              <w:szCs w:val="24"/>
            </w:rPr>
          </w:pPr>
          <w:hyperlink w:anchor="_Toc200377067" w:history="1">
            <w:r w:rsidR="00844675" w:rsidRPr="00F5198F">
              <w:rPr>
                <w:rStyle w:val="Hyperlink"/>
                <w:noProof/>
              </w:rPr>
              <w:t>21.8</w:t>
            </w:r>
            <w:r w:rsidR="00844675">
              <w:rPr>
                <w:rFonts w:asciiTheme="minorHAnsi" w:eastAsiaTheme="minorEastAsia" w:hAnsiTheme="minorHAnsi"/>
                <w:noProof/>
                <w:sz w:val="24"/>
                <w:szCs w:val="24"/>
              </w:rPr>
              <w:tab/>
            </w:r>
            <w:r w:rsidR="00844675" w:rsidRPr="00F5198F">
              <w:rPr>
                <w:rStyle w:val="Hyperlink"/>
                <w:noProof/>
              </w:rPr>
              <w:t>Repayment Agreements</w:t>
            </w:r>
            <w:r w:rsidR="00844675">
              <w:rPr>
                <w:noProof/>
                <w:webHidden/>
              </w:rPr>
              <w:tab/>
            </w:r>
            <w:r w:rsidR="00844675">
              <w:rPr>
                <w:noProof/>
                <w:webHidden/>
              </w:rPr>
              <w:fldChar w:fldCharType="begin"/>
            </w:r>
            <w:r w:rsidR="00844675">
              <w:rPr>
                <w:noProof/>
                <w:webHidden/>
              </w:rPr>
              <w:instrText xml:space="preserve"> PAGEREF _Toc200377067 \h </w:instrText>
            </w:r>
            <w:r w:rsidR="00844675">
              <w:rPr>
                <w:noProof/>
                <w:webHidden/>
              </w:rPr>
            </w:r>
            <w:r w:rsidR="00844675">
              <w:rPr>
                <w:noProof/>
                <w:webHidden/>
              </w:rPr>
              <w:fldChar w:fldCharType="separate"/>
            </w:r>
            <w:r w:rsidR="00844675">
              <w:rPr>
                <w:noProof/>
                <w:webHidden/>
              </w:rPr>
              <w:t>181</w:t>
            </w:r>
            <w:r w:rsidR="00844675">
              <w:rPr>
                <w:noProof/>
                <w:webHidden/>
              </w:rPr>
              <w:fldChar w:fldCharType="end"/>
            </w:r>
          </w:hyperlink>
        </w:p>
        <w:p w14:paraId="35CBC724" w14:textId="5B680FB3" w:rsidR="00844675" w:rsidRDefault="003C3A0E">
          <w:pPr>
            <w:pStyle w:val="TOC2"/>
            <w:rPr>
              <w:rFonts w:asciiTheme="minorHAnsi" w:eastAsiaTheme="minorEastAsia" w:hAnsiTheme="minorHAnsi"/>
              <w:noProof/>
              <w:sz w:val="24"/>
              <w:szCs w:val="24"/>
            </w:rPr>
          </w:pPr>
          <w:hyperlink w:anchor="_Toc200377068" w:history="1">
            <w:r w:rsidR="00844675" w:rsidRPr="00F5198F">
              <w:rPr>
                <w:rStyle w:val="Hyperlink"/>
                <w:noProof/>
              </w:rPr>
              <w:t>21.9</w:t>
            </w:r>
            <w:r w:rsidR="00844675">
              <w:rPr>
                <w:rFonts w:asciiTheme="minorHAnsi" w:eastAsiaTheme="minorEastAsia" w:hAnsiTheme="minorHAnsi"/>
                <w:noProof/>
                <w:sz w:val="24"/>
                <w:szCs w:val="24"/>
              </w:rPr>
              <w:tab/>
            </w:r>
            <w:r w:rsidR="00844675" w:rsidRPr="00F5198F">
              <w:rPr>
                <w:rStyle w:val="Hyperlink"/>
                <w:noProof/>
              </w:rPr>
              <w:t>Criminal Prosecution</w:t>
            </w:r>
            <w:r w:rsidR="00844675">
              <w:rPr>
                <w:noProof/>
                <w:webHidden/>
              </w:rPr>
              <w:tab/>
            </w:r>
            <w:r w:rsidR="00844675">
              <w:rPr>
                <w:noProof/>
                <w:webHidden/>
              </w:rPr>
              <w:fldChar w:fldCharType="begin"/>
            </w:r>
            <w:r w:rsidR="00844675">
              <w:rPr>
                <w:noProof/>
                <w:webHidden/>
              </w:rPr>
              <w:instrText xml:space="preserve"> PAGEREF _Toc200377068 \h </w:instrText>
            </w:r>
            <w:r w:rsidR="00844675">
              <w:rPr>
                <w:noProof/>
                <w:webHidden/>
              </w:rPr>
            </w:r>
            <w:r w:rsidR="00844675">
              <w:rPr>
                <w:noProof/>
                <w:webHidden/>
              </w:rPr>
              <w:fldChar w:fldCharType="separate"/>
            </w:r>
            <w:r w:rsidR="00844675">
              <w:rPr>
                <w:noProof/>
                <w:webHidden/>
              </w:rPr>
              <w:t>182</w:t>
            </w:r>
            <w:r w:rsidR="00844675">
              <w:rPr>
                <w:noProof/>
                <w:webHidden/>
              </w:rPr>
              <w:fldChar w:fldCharType="end"/>
            </w:r>
          </w:hyperlink>
        </w:p>
        <w:p w14:paraId="65A38DA9" w14:textId="25173720" w:rsidR="00844675" w:rsidRDefault="003C3A0E">
          <w:pPr>
            <w:pStyle w:val="TOC2"/>
            <w:rPr>
              <w:rFonts w:asciiTheme="minorHAnsi" w:eastAsiaTheme="minorEastAsia" w:hAnsiTheme="minorHAnsi"/>
              <w:noProof/>
              <w:sz w:val="24"/>
              <w:szCs w:val="24"/>
            </w:rPr>
          </w:pPr>
          <w:hyperlink w:anchor="_Toc200377069" w:history="1">
            <w:r w:rsidR="00844675" w:rsidRPr="00F5198F">
              <w:rPr>
                <w:rStyle w:val="Hyperlink"/>
                <w:noProof/>
              </w:rPr>
              <w:t>21.10</w:t>
            </w:r>
            <w:r w:rsidR="00844675">
              <w:rPr>
                <w:rFonts w:asciiTheme="minorHAnsi" w:eastAsiaTheme="minorEastAsia" w:hAnsiTheme="minorHAnsi"/>
                <w:noProof/>
                <w:sz w:val="24"/>
                <w:szCs w:val="24"/>
              </w:rPr>
              <w:tab/>
            </w:r>
            <w:r w:rsidR="00844675" w:rsidRPr="00F5198F">
              <w:rPr>
                <w:rStyle w:val="Hyperlink"/>
                <w:noProof/>
              </w:rPr>
              <w:t>Recovery of Funds</w:t>
            </w:r>
            <w:r w:rsidR="00844675">
              <w:rPr>
                <w:noProof/>
                <w:webHidden/>
              </w:rPr>
              <w:tab/>
            </w:r>
            <w:r w:rsidR="00844675">
              <w:rPr>
                <w:noProof/>
                <w:webHidden/>
              </w:rPr>
              <w:fldChar w:fldCharType="begin"/>
            </w:r>
            <w:r w:rsidR="00844675">
              <w:rPr>
                <w:noProof/>
                <w:webHidden/>
              </w:rPr>
              <w:instrText xml:space="preserve"> PAGEREF _Toc200377069 \h </w:instrText>
            </w:r>
            <w:r w:rsidR="00844675">
              <w:rPr>
                <w:noProof/>
                <w:webHidden/>
              </w:rPr>
            </w:r>
            <w:r w:rsidR="00844675">
              <w:rPr>
                <w:noProof/>
                <w:webHidden/>
              </w:rPr>
              <w:fldChar w:fldCharType="separate"/>
            </w:r>
            <w:r w:rsidR="00844675">
              <w:rPr>
                <w:noProof/>
                <w:webHidden/>
              </w:rPr>
              <w:t>183</w:t>
            </w:r>
            <w:r w:rsidR="00844675">
              <w:rPr>
                <w:noProof/>
                <w:webHidden/>
              </w:rPr>
              <w:fldChar w:fldCharType="end"/>
            </w:r>
          </w:hyperlink>
        </w:p>
        <w:p w14:paraId="4E7E8793" w14:textId="56099E62" w:rsidR="00844675" w:rsidRDefault="003C3A0E">
          <w:pPr>
            <w:pStyle w:val="TOC2"/>
            <w:rPr>
              <w:rFonts w:asciiTheme="minorHAnsi" w:eastAsiaTheme="minorEastAsia" w:hAnsiTheme="minorHAnsi"/>
              <w:noProof/>
              <w:sz w:val="24"/>
              <w:szCs w:val="24"/>
            </w:rPr>
          </w:pPr>
          <w:hyperlink w:anchor="_Toc200377070" w:history="1">
            <w:r w:rsidR="00844675" w:rsidRPr="00F5198F">
              <w:rPr>
                <w:rStyle w:val="Hyperlink"/>
                <w:noProof/>
              </w:rPr>
              <w:t>21.11</w:t>
            </w:r>
            <w:r w:rsidR="00844675">
              <w:rPr>
                <w:rFonts w:asciiTheme="minorHAnsi" w:eastAsiaTheme="minorEastAsia" w:hAnsiTheme="minorHAnsi"/>
                <w:noProof/>
                <w:sz w:val="24"/>
                <w:szCs w:val="24"/>
              </w:rPr>
              <w:tab/>
            </w:r>
            <w:r w:rsidR="00844675" w:rsidRPr="00F5198F">
              <w:rPr>
                <w:rStyle w:val="Hyperlink"/>
                <w:noProof/>
              </w:rPr>
              <w:t>Public Housing Assessment System (PHAS)</w:t>
            </w:r>
            <w:r w:rsidR="00844675">
              <w:rPr>
                <w:noProof/>
                <w:webHidden/>
              </w:rPr>
              <w:tab/>
            </w:r>
            <w:r w:rsidR="00844675">
              <w:rPr>
                <w:noProof/>
                <w:webHidden/>
              </w:rPr>
              <w:fldChar w:fldCharType="begin"/>
            </w:r>
            <w:r w:rsidR="00844675">
              <w:rPr>
                <w:noProof/>
                <w:webHidden/>
              </w:rPr>
              <w:instrText xml:space="preserve"> PAGEREF _Toc200377070 \h </w:instrText>
            </w:r>
            <w:r w:rsidR="00844675">
              <w:rPr>
                <w:noProof/>
                <w:webHidden/>
              </w:rPr>
            </w:r>
            <w:r w:rsidR="00844675">
              <w:rPr>
                <w:noProof/>
                <w:webHidden/>
              </w:rPr>
              <w:fldChar w:fldCharType="separate"/>
            </w:r>
            <w:r w:rsidR="00844675">
              <w:rPr>
                <w:noProof/>
                <w:webHidden/>
              </w:rPr>
              <w:t>183</w:t>
            </w:r>
            <w:r w:rsidR="00844675">
              <w:rPr>
                <w:noProof/>
                <w:webHidden/>
              </w:rPr>
              <w:fldChar w:fldCharType="end"/>
            </w:r>
          </w:hyperlink>
        </w:p>
        <w:p w14:paraId="672403EB" w14:textId="1411EEF1" w:rsidR="00844675" w:rsidRDefault="003C3A0E" w:rsidP="00AD20A4">
          <w:pPr>
            <w:pStyle w:val="TOC1"/>
            <w:rPr>
              <w:rFonts w:asciiTheme="minorHAnsi" w:eastAsiaTheme="minorEastAsia" w:hAnsiTheme="minorHAnsi"/>
              <w:noProof/>
              <w:color w:val="auto"/>
              <w:szCs w:val="24"/>
            </w:rPr>
          </w:pPr>
          <w:hyperlink w:anchor="_Toc200377071" w:history="1">
            <w:r w:rsidR="00844675" w:rsidRPr="00F5198F">
              <w:rPr>
                <w:rStyle w:val="Hyperlink"/>
                <w:noProof/>
                <w:lang w:bidi="en-US"/>
              </w:rPr>
              <w:t>GLOSSARY OF TERMS AND DEFINITIONS</w:t>
            </w:r>
            <w:r w:rsidR="00844675">
              <w:rPr>
                <w:noProof/>
                <w:webHidden/>
              </w:rPr>
              <w:tab/>
            </w:r>
            <w:r w:rsidR="00844675">
              <w:rPr>
                <w:noProof/>
                <w:webHidden/>
              </w:rPr>
              <w:fldChar w:fldCharType="begin"/>
            </w:r>
            <w:r w:rsidR="00844675">
              <w:rPr>
                <w:noProof/>
                <w:webHidden/>
              </w:rPr>
              <w:instrText xml:space="preserve"> PAGEREF _Toc200377071 \h </w:instrText>
            </w:r>
            <w:r w:rsidR="00844675">
              <w:rPr>
                <w:noProof/>
                <w:webHidden/>
              </w:rPr>
            </w:r>
            <w:r w:rsidR="00844675">
              <w:rPr>
                <w:noProof/>
                <w:webHidden/>
              </w:rPr>
              <w:fldChar w:fldCharType="separate"/>
            </w:r>
            <w:r w:rsidR="00844675">
              <w:rPr>
                <w:noProof/>
                <w:webHidden/>
              </w:rPr>
              <w:t>185</w:t>
            </w:r>
            <w:r w:rsidR="00844675">
              <w:rPr>
                <w:noProof/>
                <w:webHidden/>
              </w:rPr>
              <w:fldChar w:fldCharType="end"/>
            </w:r>
          </w:hyperlink>
        </w:p>
        <w:p w14:paraId="6BB72F53" w14:textId="4BADC84F" w:rsidR="00844675" w:rsidRDefault="003C3A0E" w:rsidP="00AD20A4">
          <w:pPr>
            <w:pStyle w:val="TOC1"/>
            <w:rPr>
              <w:rFonts w:asciiTheme="minorHAnsi" w:eastAsiaTheme="minorEastAsia" w:hAnsiTheme="minorHAnsi"/>
              <w:noProof/>
              <w:color w:val="auto"/>
              <w:szCs w:val="24"/>
            </w:rPr>
          </w:pPr>
          <w:hyperlink w:anchor="_Toc200377072" w:history="1">
            <w:r w:rsidR="00844675" w:rsidRPr="00F5198F">
              <w:rPr>
                <w:rStyle w:val="Hyperlink"/>
                <w:noProof/>
                <w:lang w:bidi="en-US"/>
              </w:rPr>
              <w:t>APPENDIX A: REASONABLE ACCOMMODATION POLICY AND PROCEDURES</w:t>
            </w:r>
            <w:r w:rsidR="00844675">
              <w:rPr>
                <w:noProof/>
                <w:webHidden/>
              </w:rPr>
              <w:tab/>
            </w:r>
            <w:r w:rsidR="00844675">
              <w:rPr>
                <w:noProof/>
                <w:webHidden/>
              </w:rPr>
              <w:fldChar w:fldCharType="begin"/>
            </w:r>
            <w:r w:rsidR="00844675">
              <w:rPr>
                <w:noProof/>
                <w:webHidden/>
              </w:rPr>
              <w:instrText xml:space="preserve"> PAGEREF _Toc200377072 \h </w:instrText>
            </w:r>
            <w:r w:rsidR="00844675">
              <w:rPr>
                <w:noProof/>
                <w:webHidden/>
              </w:rPr>
            </w:r>
            <w:r w:rsidR="00844675">
              <w:rPr>
                <w:noProof/>
                <w:webHidden/>
              </w:rPr>
              <w:fldChar w:fldCharType="separate"/>
            </w:r>
            <w:r w:rsidR="00844675">
              <w:rPr>
                <w:noProof/>
                <w:webHidden/>
              </w:rPr>
              <w:t>198</w:t>
            </w:r>
            <w:r w:rsidR="00844675">
              <w:rPr>
                <w:noProof/>
                <w:webHidden/>
              </w:rPr>
              <w:fldChar w:fldCharType="end"/>
            </w:r>
          </w:hyperlink>
        </w:p>
        <w:p w14:paraId="6D9F8500" w14:textId="0EAF4829" w:rsidR="00844675" w:rsidRDefault="003C3A0E" w:rsidP="00AD20A4">
          <w:pPr>
            <w:pStyle w:val="TOC1"/>
            <w:rPr>
              <w:rFonts w:asciiTheme="minorHAnsi" w:eastAsiaTheme="minorEastAsia" w:hAnsiTheme="minorHAnsi"/>
              <w:noProof/>
              <w:color w:val="auto"/>
              <w:szCs w:val="24"/>
            </w:rPr>
          </w:pPr>
          <w:hyperlink w:anchor="_Toc200377073" w:history="1">
            <w:r w:rsidR="00844675" w:rsidRPr="00F5198F">
              <w:rPr>
                <w:rStyle w:val="Hyperlink"/>
                <w:noProof/>
                <w:lang w:bidi="en-US"/>
              </w:rPr>
              <w:t>APPENDIX B: LANGUAGE ASSISTANCE PLAN AND LIMITED ENGLISH PROFICIENCY (LEP) POLICY</w:t>
            </w:r>
            <w:r w:rsidR="00844675">
              <w:rPr>
                <w:noProof/>
                <w:webHidden/>
              </w:rPr>
              <w:tab/>
            </w:r>
            <w:r w:rsidR="00844675">
              <w:rPr>
                <w:noProof/>
                <w:webHidden/>
              </w:rPr>
              <w:fldChar w:fldCharType="begin"/>
            </w:r>
            <w:r w:rsidR="00844675">
              <w:rPr>
                <w:noProof/>
                <w:webHidden/>
              </w:rPr>
              <w:instrText xml:space="preserve"> PAGEREF _Toc200377073 \h </w:instrText>
            </w:r>
            <w:r w:rsidR="00844675">
              <w:rPr>
                <w:noProof/>
                <w:webHidden/>
              </w:rPr>
            </w:r>
            <w:r w:rsidR="00844675">
              <w:rPr>
                <w:noProof/>
                <w:webHidden/>
              </w:rPr>
              <w:fldChar w:fldCharType="separate"/>
            </w:r>
            <w:r w:rsidR="00844675">
              <w:rPr>
                <w:noProof/>
                <w:webHidden/>
              </w:rPr>
              <w:t>203</w:t>
            </w:r>
            <w:r w:rsidR="00844675">
              <w:rPr>
                <w:noProof/>
                <w:webHidden/>
              </w:rPr>
              <w:fldChar w:fldCharType="end"/>
            </w:r>
          </w:hyperlink>
        </w:p>
        <w:p w14:paraId="1BBE48F6" w14:textId="64BCAED4" w:rsidR="00844675" w:rsidRDefault="003C3A0E" w:rsidP="00AD20A4">
          <w:pPr>
            <w:pStyle w:val="TOC1"/>
            <w:rPr>
              <w:rFonts w:asciiTheme="minorHAnsi" w:eastAsiaTheme="minorEastAsia" w:hAnsiTheme="minorHAnsi"/>
              <w:noProof/>
              <w:color w:val="auto"/>
              <w:szCs w:val="24"/>
            </w:rPr>
          </w:pPr>
          <w:hyperlink w:anchor="_Toc200377074" w:history="1">
            <w:r w:rsidR="00844675" w:rsidRPr="00F5198F">
              <w:rPr>
                <w:rStyle w:val="Hyperlink"/>
                <w:noProof/>
                <w:lang w:bidi="en-US"/>
              </w:rPr>
              <w:t>APPENDIX C: VIOLENCE AGAINST WOMEN ACT (VAWA) POLICY</w:t>
            </w:r>
            <w:r w:rsidR="00844675">
              <w:rPr>
                <w:noProof/>
                <w:webHidden/>
              </w:rPr>
              <w:tab/>
            </w:r>
            <w:r w:rsidR="00844675">
              <w:rPr>
                <w:noProof/>
                <w:webHidden/>
              </w:rPr>
              <w:fldChar w:fldCharType="begin"/>
            </w:r>
            <w:r w:rsidR="00844675">
              <w:rPr>
                <w:noProof/>
                <w:webHidden/>
              </w:rPr>
              <w:instrText xml:space="preserve"> PAGEREF _Toc200377074 \h </w:instrText>
            </w:r>
            <w:r w:rsidR="00844675">
              <w:rPr>
                <w:noProof/>
                <w:webHidden/>
              </w:rPr>
            </w:r>
            <w:r w:rsidR="00844675">
              <w:rPr>
                <w:noProof/>
                <w:webHidden/>
              </w:rPr>
              <w:fldChar w:fldCharType="separate"/>
            </w:r>
            <w:r w:rsidR="00844675">
              <w:rPr>
                <w:noProof/>
                <w:webHidden/>
              </w:rPr>
              <w:t>208</w:t>
            </w:r>
            <w:r w:rsidR="00844675">
              <w:rPr>
                <w:noProof/>
                <w:webHidden/>
              </w:rPr>
              <w:fldChar w:fldCharType="end"/>
            </w:r>
          </w:hyperlink>
        </w:p>
        <w:p w14:paraId="6E01D7DC" w14:textId="5379C450" w:rsidR="00844675" w:rsidRDefault="003C3A0E" w:rsidP="00AD20A4">
          <w:pPr>
            <w:pStyle w:val="TOC1"/>
            <w:rPr>
              <w:rFonts w:asciiTheme="minorHAnsi" w:eastAsiaTheme="minorEastAsia" w:hAnsiTheme="minorHAnsi"/>
              <w:noProof/>
              <w:color w:val="auto"/>
              <w:szCs w:val="24"/>
            </w:rPr>
          </w:pPr>
          <w:hyperlink w:anchor="_Toc200377075" w:history="1">
            <w:r w:rsidR="00844675" w:rsidRPr="00F5198F">
              <w:rPr>
                <w:rStyle w:val="Hyperlink"/>
                <w:noProof/>
                <w:lang w:bidi="en-US"/>
              </w:rPr>
              <w:t>APPENDIX D: GRIEVANCE POLICY</w:t>
            </w:r>
            <w:r w:rsidR="00844675">
              <w:rPr>
                <w:noProof/>
                <w:webHidden/>
              </w:rPr>
              <w:tab/>
            </w:r>
            <w:r w:rsidR="00844675">
              <w:rPr>
                <w:noProof/>
                <w:webHidden/>
              </w:rPr>
              <w:fldChar w:fldCharType="begin"/>
            </w:r>
            <w:r w:rsidR="00844675">
              <w:rPr>
                <w:noProof/>
                <w:webHidden/>
              </w:rPr>
              <w:instrText xml:space="preserve"> PAGEREF _Toc200377075 \h </w:instrText>
            </w:r>
            <w:r w:rsidR="00844675">
              <w:rPr>
                <w:noProof/>
                <w:webHidden/>
              </w:rPr>
            </w:r>
            <w:r w:rsidR="00844675">
              <w:rPr>
                <w:noProof/>
                <w:webHidden/>
              </w:rPr>
              <w:fldChar w:fldCharType="separate"/>
            </w:r>
            <w:r w:rsidR="00844675">
              <w:rPr>
                <w:noProof/>
                <w:webHidden/>
              </w:rPr>
              <w:t>219</w:t>
            </w:r>
            <w:r w:rsidR="00844675">
              <w:rPr>
                <w:noProof/>
                <w:webHidden/>
              </w:rPr>
              <w:fldChar w:fldCharType="end"/>
            </w:r>
          </w:hyperlink>
        </w:p>
        <w:p w14:paraId="57C31299" w14:textId="4F3112A0" w:rsidR="00844675" w:rsidRDefault="003C3A0E" w:rsidP="00AD20A4">
          <w:pPr>
            <w:pStyle w:val="TOC1"/>
            <w:rPr>
              <w:rFonts w:asciiTheme="minorHAnsi" w:eastAsiaTheme="minorEastAsia" w:hAnsiTheme="minorHAnsi"/>
              <w:noProof/>
              <w:color w:val="auto"/>
              <w:szCs w:val="24"/>
            </w:rPr>
          </w:pPr>
          <w:hyperlink w:anchor="_Toc200377076" w:history="1">
            <w:r w:rsidR="00844675" w:rsidRPr="00F5198F">
              <w:rPr>
                <w:rStyle w:val="Hyperlink"/>
                <w:noProof/>
                <w:lang w:bidi="en-US"/>
              </w:rPr>
              <w:t>APPENDIX E: TIERED RENT TABLE</w:t>
            </w:r>
            <w:r w:rsidR="00844675">
              <w:rPr>
                <w:noProof/>
                <w:webHidden/>
              </w:rPr>
              <w:tab/>
            </w:r>
            <w:r w:rsidR="00844675">
              <w:rPr>
                <w:noProof/>
                <w:webHidden/>
              </w:rPr>
              <w:fldChar w:fldCharType="begin"/>
            </w:r>
            <w:r w:rsidR="00844675">
              <w:rPr>
                <w:noProof/>
                <w:webHidden/>
              </w:rPr>
              <w:instrText xml:space="preserve"> PAGEREF _Toc200377076 \h </w:instrText>
            </w:r>
            <w:r w:rsidR="00844675">
              <w:rPr>
                <w:noProof/>
                <w:webHidden/>
              </w:rPr>
            </w:r>
            <w:r w:rsidR="00844675">
              <w:rPr>
                <w:noProof/>
                <w:webHidden/>
              </w:rPr>
              <w:fldChar w:fldCharType="separate"/>
            </w:r>
            <w:r w:rsidR="00844675">
              <w:rPr>
                <w:noProof/>
                <w:webHidden/>
              </w:rPr>
              <w:t>225</w:t>
            </w:r>
            <w:r w:rsidR="00844675">
              <w:rPr>
                <w:noProof/>
                <w:webHidden/>
              </w:rPr>
              <w:fldChar w:fldCharType="end"/>
            </w:r>
          </w:hyperlink>
        </w:p>
        <w:p w14:paraId="71AD6533" w14:textId="43D573F4" w:rsidR="00844675" w:rsidRDefault="003C3A0E" w:rsidP="00AD20A4">
          <w:pPr>
            <w:pStyle w:val="TOC1"/>
            <w:rPr>
              <w:rFonts w:asciiTheme="minorHAnsi" w:eastAsiaTheme="minorEastAsia" w:hAnsiTheme="minorHAnsi"/>
              <w:noProof/>
              <w:color w:val="auto"/>
              <w:szCs w:val="24"/>
            </w:rPr>
          </w:pPr>
          <w:hyperlink w:anchor="_Toc200377077" w:history="1">
            <w:r w:rsidR="00844675" w:rsidRPr="00F5198F">
              <w:rPr>
                <w:rStyle w:val="Hyperlink"/>
                <w:noProof/>
                <w:lang w:bidi="en-US"/>
              </w:rPr>
              <w:t>APPENDIX F: OVER-INCOME LIMITS FOR 2025</w:t>
            </w:r>
            <w:r w:rsidR="00844675">
              <w:rPr>
                <w:noProof/>
                <w:webHidden/>
              </w:rPr>
              <w:tab/>
            </w:r>
            <w:r w:rsidR="00844675">
              <w:rPr>
                <w:noProof/>
                <w:webHidden/>
              </w:rPr>
              <w:fldChar w:fldCharType="begin"/>
            </w:r>
            <w:r w:rsidR="00844675">
              <w:rPr>
                <w:noProof/>
                <w:webHidden/>
              </w:rPr>
              <w:instrText xml:space="preserve"> PAGEREF _Toc200377077 \h </w:instrText>
            </w:r>
            <w:r w:rsidR="00844675">
              <w:rPr>
                <w:noProof/>
                <w:webHidden/>
              </w:rPr>
            </w:r>
            <w:r w:rsidR="00844675">
              <w:rPr>
                <w:noProof/>
                <w:webHidden/>
              </w:rPr>
              <w:fldChar w:fldCharType="separate"/>
            </w:r>
            <w:r w:rsidR="00844675">
              <w:rPr>
                <w:noProof/>
                <w:webHidden/>
              </w:rPr>
              <w:t>227</w:t>
            </w:r>
            <w:r w:rsidR="00844675">
              <w:rPr>
                <w:noProof/>
                <w:webHidden/>
              </w:rPr>
              <w:fldChar w:fldCharType="end"/>
            </w:r>
          </w:hyperlink>
        </w:p>
        <w:p w14:paraId="054D20AD" w14:textId="465B9165" w:rsidR="00B70D77" w:rsidRPr="00AD20A4" w:rsidRDefault="00844675" w:rsidP="00AD20A4">
          <w:pPr>
            <w:rPr>
              <w:b/>
              <w:bCs/>
              <w:noProof/>
            </w:rPr>
          </w:pPr>
          <w:r>
            <w:rPr>
              <w:b/>
              <w:bCs/>
              <w:color w:val="44546A" w:themeColor="text2"/>
              <w:sz w:val="24"/>
              <w:szCs w:val="28"/>
            </w:rPr>
            <w:fldChar w:fldCharType="end"/>
          </w:r>
        </w:p>
      </w:sdtContent>
    </w:sdt>
    <w:p w14:paraId="7AEB3A7A" w14:textId="77777777" w:rsidR="001708B8" w:rsidRDefault="001708B8" w:rsidP="00F77349">
      <w:pPr>
        <w:sectPr w:rsidR="001708B8" w:rsidSect="00EE2233">
          <w:pgSz w:w="12240" w:h="15840"/>
          <w:pgMar w:top="1440" w:right="1440" w:bottom="1440" w:left="1440" w:header="720" w:footer="720" w:gutter="0"/>
          <w:cols w:space="720"/>
          <w:docGrid w:linePitch="360"/>
        </w:sectPr>
      </w:pPr>
    </w:p>
    <w:p w14:paraId="2D2F4BEA" w14:textId="77777777" w:rsidR="006E6E1A" w:rsidRPr="005315DA" w:rsidRDefault="006E6E1A" w:rsidP="006E6E1A">
      <w:pPr>
        <w:pStyle w:val="Heading1"/>
        <w:numPr>
          <w:ilvl w:val="0"/>
          <w:numId w:val="1"/>
        </w:numPr>
        <w:ind w:left="0" w:firstLine="0"/>
      </w:pPr>
      <w:bookmarkStart w:id="2" w:name="_Toc173222612"/>
      <w:bookmarkStart w:id="3" w:name="_Toc200375464"/>
      <w:bookmarkStart w:id="4" w:name="_Toc200376878"/>
      <w:r w:rsidRPr="005315DA">
        <w:t xml:space="preserve">OVERVIEW OF THE PROGRAM AND </w:t>
      </w:r>
      <w:r w:rsidR="00167C0D" w:rsidRPr="005315DA">
        <w:t>ACOP</w:t>
      </w:r>
      <w:bookmarkEnd w:id="2"/>
      <w:bookmarkEnd w:id="3"/>
      <w:bookmarkEnd w:id="4"/>
    </w:p>
    <w:p w14:paraId="0A801193" w14:textId="77777777" w:rsidR="009F5FB0" w:rsidRPr="00606230" w:rsidRDefault="004708AC" w:rsidP="00BB64BD">
      <w:pPr>
        <w:pStyle w:val="Heading2"/>
      </w:pPr>
      <w:bookmarkStart w:id="5" w:name="_Toc173222613"/>
      <w:bookmarkStart w:id="6" w:name="_Toc200375465"/>
      <w:bookmarkStart w:id="7" w:name="_Toc200376879"/>
      <w:r w:rsidRPr="00606230">
        <w:t>Introduction</w:t>
      </w:r>
      <w:bookmarkEnd w:id="5"/>
      <w:bookmarkEnd w:id="6"/>
      <w:bookmarkEnd w:id="7"/>
    </w:p>
    <w:p w14:paraId="6E2EE567" w14:textId="5F5094FD" w:rsidR="00ED008D" w:rsidRPr="00A2158C" w:rsidRDefault="00ED008D" w:rsidP="00ED008D">
      <w:r w:rsidRPr="00A2158C">
        <w:t xml:space="preserve">This Admissions and Continued Occupancy Policy (ACOP) is the policy of the Board of Commissioners of the Houston Housing Authority (HHA) governing Public Housing and Section 8 New Construction occupancy in property HHA owns. Policies contained in this ACOP can be revised only by Board resolution and, if the revision is significant, by amending the Annual </w:t>
      </w:r>
      <w:r w:rsidR="005166C7">
        <w:t>Plan</w:t>
      </w:r>
      <w:r w:rsidRPr="00A2158C">
        <w:t>.</w:t>
      </w:r>
    </w:p>
    <w:p w14:paraId="182398AE" w14:textId="77777777" w:rsidR="006E6E1A" w:rsidRDefault="004708AC" w:rsidP="00BB64BD">
      <w:pPr>
        <w:pStyle w:val="Heading2"/>
      </w:pPr>
      <w:bookmarkStart w:id="8" w:name="_Toc173222614"/>
      <w:bookmarkStart w:id="9" w:name="_Toc200375466"/>
      <w:bookmarkStart w:id="10" w:name="_Toc200376880"/>
      <w:r>
        <w:t xml:space="preserve">Organization </w:t>
      </w:r>
      <w:r w:rsidR="00167C0D">
        <w:t>a</w:t>
      </w:r>
      <w:r>
        <w:t xml:space="preserve">nd Structure </w:t>
      </w:r>
      <w:r w:rsidR="00167C0D">
        <w:t>o</w:t>
      </w:r>
      <w:r>
        <w:t>f H</w:t>
      </w:r>
      <w:r w:rsidR="00AB1DAE">
        <w:t>HA</w:t>
      </w:r>
      <w:bookmarkEnd w:id="8"/>
      <w:bookmarkEnd w:id="9"/>
      <w:bookmarkEnd w:id="10"/>
    </w:p>
    <w:p w14:paraId="28A51338" w14:textId="77777777" w:rsidR="00482CA5" w:rsidRPr="007C7797" w:rsidRDefault="009F5FB0" w:rsidP="00482CA5">
      <w:r w:rsidRPr="007C7797">
        <w:t>HHA was first created by the Houston City Council</w:t>
      </w:r>
      <w:r w:rsidR="00482CA5" w:rsidRPr="007C7797">
        <w:t xml:space="preserve"> in 1938 in response to federal legislation (</w:t>
      </w:r>
      <w:r w:rsidR="005A0E7B" w:rsidRPr="007C7797">
        <w:t>t</w:t>
      </w:r>
      <w:r w:rsidRPr="007C7797">
        <w:t xml:space="preserve">he </w:t>
      </w:r>
      <w:r w:rsidR="00482CA5" w:rsidRPr="007C7797">
        <w:t>U</w:t>
      </w:r>
      <w:r w:rsidRPr="007C7797">
        <w:t>nited States</w:t>
      </w:r>
      <w:r w:rsidR="00482CA5" w:rsidRPr="007C7797">
        <w:t xml:space="preserve"> Housing Act of 1937) and enabling state legislation that charged local entities with providing decent, safe, and sanitary housing for low to moderate-income families and individuals. </w:t>
      </w:r>
    </w:p>
    <w:p w14:paraId="5FDF142C" w14:textId="77777777" w:rsidR="009F5FB0" w:rsidRPr="007C7797" w:rsidRDefault="009F5FB0" w:rsidP="009F5FB0">
      <w:r w:rsidRPr="007C7797">
        <w:t xml:space="preserve">The officials of </w:t>
      </w:r>
      <w:r w:rsidR="007D7748" w:rsidRPr="007C7797">
        <w:t>HHA</w:t>
      </w:r>
      <w:r w:rsidRPr="007C7797">
        <w:t xml:space="preserve"> are known as commissioners or, collectively, as the board of commissioners. Commissioners are appointed in accordance with state housing law and </w:t>
      </w:r>
      <w:r w:rsidR="005A0E7B" w:rsidRPr="007C7797">
        <w:t>are generally responsible</w:t>
      </w:r>
      <w:r w:rsidRPr="007C7797">
        <w:t xml:space="preserve"> </w:t>
      </w:r>
      <w:r w:rsidR="005A0E7B" w:rsidRPr="007C7797">
        <w:t xml:space="preserve">for </w:t>
      </w:r>
      <w:r w:rsidRPr="007C7797">
        <w:t xml:space="preserve">establishing policies under which </w:t>
      </w:r>
      <w:r w:rsidR="005A0E7B" w:rsidRPr="007C7797">
        <w:t>HHA</w:t>
      </w:r>
      <w:r w:rsidRPr="007C7797">
        <w:t xml:space="preserve"> conducts business, ensuring that policies are followed by </w:t>
      </w:r>
      <w:r w:rsidR="005A0E7B" w:rsidRPr="007C7797">
        <w:t>H</w:t>
      </w:r>
      <w:r w:rsidRPr="007C7797">
        <w:t xml:space="preserve">HA staff and ensuring that the </w:t>
      </w:r>
      <w:r w:rsidR="005A0E7B" w:rsidRPr="007C7797">
        <w:t>H</w:t>
      </w:r>
      <w:r w:rsidRPr="007C7797">
        <w:t>HA is successful in its mission. The board is responsible for preserving and expanding the agency’s resources and assuring the agency’s continued viability.</w:t>
      </w:r>
    </w:p>
    <w:p w14:paraId="0C15CB1B" w14:textId="77777777" w:rsidR="009F5FB0" w:rsidRPr="007C7797" w:rsidRDefault="009F5FB0" w:rsidP="009F5FB0">
      <w:r w:rsidRPr="007C7797">
        <w:t>Formal actions are taken through written resolutions, adopted by the board of commissioners and entered into</w:t>
      </w:r>
      <w:r w:rsidR="005A0E7B" w:rsidRPr="007C7797">
        <w:t xml:space="preserve"> HHA’s</w:t>
      </w:r>
      <w:r w:rsidRPr="007C7797">
        <w:t xml:space="preserve"> official records</w:t>
      </w:r>
      <w:r w:rsidR="005A0E7B" w:rsidRPr="007C7797">
        <w:t>.</w:t>
      </w:r>
    </w:p>
    <w:p w14:paraId="3B1D8C99" w14:textId="77777777" w:rsidR="009F5FB0" w:rsidRDefault="009F5FB0" w:rsidP="009F5FB0">
      <w:r w:rsidRPr="007C7797">
        <w:t xml:space="preserve">The principal staff member of </w:t>
      </w:r>
      <w:r w:rsidR="005A0E7B" w:rsidRPr="007C7797">
        <w:t>HH</w:t>
      </w:r>
      <w:r w:rsidRPr="007C7797">
        <w:t xml:space="preserve">A is the executive director (ED), hired and appointed by the board of commissioners. The executive director is directly responsible for carrying out the policies established by the board and is delegated the responsibility for hiring, training and supervising </w:t>
      </w:r>
      <w:r w:rsidR="005A0E7B" w:rsidRPr="007C7797">
        <w:t>H</w:t>
      </w:r>
      <w:r w:rsidRPr="007C7797">
        <w:t xml:space="preserve">HA staff in order to manage the day-to-day operations of the </w:t>
      </w:r>
      <w:r w:rsidR="005A0E7B" w:rsidRPr="007C7797">
        <w:t>H</w:t>
      </w:r>
      <w:r w:rsidRPr="007C7797">
        <w:t>HA. The executive director is responsible for ensuring compliance with federal and state laws and directives for the programs managed. In addition, the executive director’s duties include budgeting and financial planning for the agency.</w:t>
      </w:r>
    </w:p>
    <w:p w14:paraId="77A78F7D" w14:textId="77777777" w:rsidR="005A0E7B" w:rsidRPr="003C59FE" w:rsidRDefault="004708AC" w:rsidP="00BB64BD">
      <w:pPr>
        <w:pStyle w:val="Heading2"/>
      </w:pPr>
      <w:bookmarkStart w:id="11" w:name="_Toc173222615"/>
      <w:bookmarkStart w:id="12" w:name="_Toc200375467"/>
      <w:bookmarkStart w:id="13" w:name="_Toc200376881"/>
      <w:r w:rsidRPr="003C59FE">
        <w:t>H</w:t>
      </w:r>
      <w:r w:rsidR="00AB1DAE" w:rsidRPr="003C59FE">
        <w:t>HA</w:t>
      </w:r>
      <w:r w:rsidRPr="003C59FE">
        <w:t>’s Mission</w:t>
      </w:r>
      <w:bookmarkEnd w:id="11"/>
      <w:bookmarkEnd w:id="12"/>
      <w:bookmarkEnd w:id="13"/>
    </w:p>
    <w:p w14:paraId="72389A4E" w14:textId="77777777" w:rsidR="005A0E7B" w:rsidRDefault="005A0E7B" w:rsidP="005A0E7B">
      <w:r>
        <w:t xml:space="preserve">The mission of the Houston Housing Authority (HHA) is to improve lives by providing quality, affordable housing options and promoting education and economic self-sufficiency. </w:t>
      </w:r>
    </w:p>
    <w:p w14:paraId="008491C2" w14:textId="77777777" w:rsidR="006E6E1A" w:rsidRDefault="001911F6" w:rsidP="00BB64BD">
      <w:pPr>
        <w:pStyle w:val="Heading2"/>
      </w:pPr>
      <w:bookmarkStart w:id="14" w:name="_Toc173222616"/>
      <w:bookmarkStart w:id="15" w:name="_Toc200375468"/>
      <w:bookmarkStart w:id="16" w:name="_Toc200376882"/>
      <w:r>
        <w:t xml:space="preserve">Overview and </w:t>
      </w:r>
      <w:r w:rsidR="000D2C4F">
        <w:t>Purpose of the ACOP</w:t>
      </w:r>
      <w:bookmarkEnd w:id="14"/>
      <w:bookmarkEnd w:id="15"/>
      <w:bookmarkEnd w:id="16"/>
    </w:p>
    <w:p w14:paraId="78D876D8" w14:textId="77777777" w:rsidR="00741E1A" w:rsidRDefault="00D94433" w:rsidP="00D94433">
      <w:r w:rsidRPr="00D94433">
        <w:t xml:space="preserve">The ACOP is HHA’s written statement of policies used to carry out the housing program in accordance with federal law and regulations, </w:t>
      </w:r>
      <w:r w:rsidR="00716755">
        <w:t>U.S. Department of Housing and Urban Development (</w:t>
      </w:r>
      <w:r w:rsidRPr="00D94433">
        <w:t>HUD</w:t>
      </w:r>
      <w:r w:rsidR="00716755">
        <w:t>)</w:t>
      </w:r>
      <w:r w:rsidRPr="00D94433">
        <w:t xml:space="preserve"> requirements and HHA</w:t>
      </w:r>
      <w:r>
        <w:t>-</w:t>
      </w:r>
      <w:r w:rsidRPr="00D94433">
        <w:t xml:space="preserve">approved MTW policies. The ACOP also contains policies that support the objectives contained in </w:t>
      </w:r>
      <w:r>
        <w:t>H</w:t>
      </w:r>
      <w:r w:rsidRPr="00D94433">
        <w:t>HA’s Agency Plan.</w:t>
      </w:r>
    </w:p>
    <w:p w14:paraId="23544597" w14:textId="77777777" w:rsidR="00D94433" w:rsidRPr="0092320B" w:rsidRDefault="00741E1A" w:rsidP="00D94433">
      <w:r>
        <w:t xml:space="preserve">Key definitions may </w:t>
      </w:r>
      <w:r w:rsidRPr="0092320B">
        <w:t xml:space="preserve">be found in </w:t>
      </w:r>
      <w:r w:rsidR="004F7FA1" w:rsidRPr="0092320B">
        <w:rPr>
          <w:rStyle w:val="OurLinksChar"/>
        </w:rPr>
        <w:fldChar w:fldCharType="begin"/>
      </w:r>
      <w:r w:rsidR="004F7FA1" w:rsidRPr="0092320B">
        <w:rPr>
          <w:rStyle w:val="OurLinksChar"/>
        </w:rPr>
        <w:instrText xml:space="preserve"> REF _Ref144995036 \h  \* MERGEFORMAT </w:instrText>
      </w:r>
      <w:r w:rsidR="004F7FA1" w:rsidRPr="0092320B">
        <w:rPr>
          <w:rStyle w:val="OurLinksChar"/>
        </w:rPr>
      </w:r>
      <w:r w:rsidR="004F7FA1" w:rsidRPr="0092320B">
        <w:rPr>
          <w:rStyle w:val="OurLinksChar"/>
        </w:rPr>
        <w:fldChar w:fldCharType="separate"/>
      </w:r>
      <w:r w:rsidR="004F7FA1" w:rsidRPr="0092320B">
        <w:rPr>
          <w:rStyle w:val="OurLinksChar"/>
        </w:rPr>
        <w:t>GLOSSARY OF TERMS AND DEFINITIONS</w:t>
      </w:r>
      <w:r w:rsidR="004F7FA1" w:rsidRPr="0092320B">
        <w:rPr>
          <w:rStyle w:val="OurLinksChar"/>
        </w:rPr>
        <w:fldChar w:fldCharType="end"/>
      </w:r>
      <w:r w:rsidRPr="0092320B">
        <w:t>.</w:t>
      </w:r>
      <w:r w:rsidR="00D94433" w:rsidRPr="0092320B">
        <w:t xml:space="preserve"> </w:t>
      </w:r>
    </w:p>
    <w:p w14:paraId="72FE804D" w14:textId="77777777" w:rsidR="00D94433" w:rsidRDefault="00D94433" w:rsidP="00D94433">
      <w:r w:rsidRPr="00D94433">
        <w:t xml:space="preserve">All issues related to public housing not addressed in this ACOP are governed by federal regulations, HUD handbooks and guidebooks, notices and applicable state and local laws. </w:t>
      </w:r>
    </w:p>
    <w:p w14:paraId="288D10FF" w14:textId="77777777" w:rsidR="003C59FE" w:rsidRDefault="003C59FE" w:rsidP="00BB64BD">
      <w:pPr>
        <w:pStyle w:val="Heading2"/>
      </w:pPr>
      <w:bookmarkStart w:id="17" w:name="_Toc145401948"/>
      <w:bookmarkStart w:id="18" w:name="_Toc173222617"/>
      <w:bookmarkStart w:id="19" w:name="_Toc200375469"/>
      <w:bookmarkStart w:id="20" w:name="_Toc200376883"/>
      <w:r>
        <w:t xml:space="preserve">Updating and Revising the </w:t>
      </w:r>
      <w:bookmarkEnd w:id="17"/>
      <w:r>
        <w:t>ACOP</w:t>
      </w:r>
      <w:bookmarkEnd w:id="18"/>
      <w:bookmarkEnd w:id="19"/>
      <w:bookmarkEnd w:id="20"/>
    </w:p>
    <w:p w14:paraId="46D1C667" w14:textId="77777777" w:rsidR="003C59FE" w:rsidRDefault="003C59FE" w:rsidP="003C59FE">
      <w:r>
        <w:t xml:space="preserve">New HUD regulations or other required guidance will apply when issued. HHA will update the ACOP as needed to reflect these changes in regulations, HHA operations, or when needed to ensure staff consistency in operation. </w:t>
      </w:r>
    </w:p>
    <w:p w14:paraId="78B526FF" w14:textId="77777777" w:rsidR="003C59FE" w:rsidRDefault="003C59FE" w:rsidP="003C59FE">
      <w:r>
        <w:t>The original ACOP and any changes are approved by HHA’s Board of Commissioners. HHA may make non-substantive changes and edits to the ACOP to clarify policy language.</w:t>
      </w:r>
    </w:p>
    <w:p w14:paraId="58A5ECB6" w14:textId="77777777" w:rsidR="003C59FE" w:rsidRDefault="003C59FE" w:rsidP="003C59FE">
      <w:r>
        <w:t xml:space="preserve">The ACOP is available for public review. </w:t>
      </w:r>
    </w:p>
    <w:p w14:paraId="7076E77E" w14:textId="77777777" w:rsidR="006E6E1A" w:rsidRPr="006E6E1A" w:rsidRDefault="004708AC" w:rsidP="00BB64BD">
      <w:pPr>
        <w:pStyle w:val="Heading2"/>
      </w:pPr>
      <w:bookmarkStart w:id="21" w:name="_Toc173222618"/>
      <w:bookmarkStart w:id="22" w:name="_Toc200375470"/>
      <w:bookmarkStart w:id="23" w:name="_Toc200376884"/>
      <w:r>
        <w:t xml:space="preserve">Regulatory </w:t>
      </w:r>
      <w:r w:rsidR="00A00B76">
        <w:t>a</w:t>
      </w:r>
      <w:r>
        <w:t>nd Statutory Waivers</w:t>
      </w:r>
      <w:bookmarkEnd w:id="21"/>
      <w:bookmarkEnd w:id="22"/>
      <w:bookmarkEnd w:id="23"/>
    </w:p>
    <w:p w14:paraId="1C9BC3C3" w14:textId="77777777" w:rsidR="006E6E1A" w:rsidRPr="007C7797" w:rsidRDefault="006E6E1A" w:rsidP="006E6E1A">
      <w:r w:rsidRPr="007C7797">
        <w:t>During periods of declared states of emergency, as certified by the applicable government designee with authority in HHA’s jurisdiction, HHA may adopt HUD</w:t>
      </w:r>
      <w:r w:rsidR="00582FBC" w:rsidRPr="007C7797">
        <w:t>-</w:t>
      </w:r>
      <w:r w:rsidRPr="007C7797">
        <w:t xml:space="preserve">published regulatory and/or statutory waivers to respond to the emergency. Where such waivers are adopted, HHA will retain documentation to identify the Statute/Regulation being waived, as well as the alternative requirement and period start and end dates for such waivers. </w:t>
      </w:r>
    </w:p>
    <w:p w14:paraId="1EB1D467" w14:textId="77777777" w:rsidR="006E6E1A" w:rsidRDefault="006E6E1A" w:rsidP="006E6E1A">
      <w:r w:rsidRPr="007C7797">
        <w:t xml:space="preserve">Where a waiver allows HHA to adopt and implement changes to the </w:t>
      </w:r>
      <w:r w:rsidR="00582FBC" w:rsidRPr="007C7797">
        <w:t>ACOP</w:t>
      </w:r>
      <w:r w:rsidRPr="007C7797">
        <w:t xml:space="preserve"> without formal board approval, such informally adopted policies will be formally adopted and implemented consistent with required timelines and fair housing and equal opportunity statutes and regulations. HHA will follow applicable HUD tenant notification guidance regarding changes to policies, rules and/or special charges to tenants.</w:t>
      </w:r>
      <w:r>
        <w:t xml:space="preserve"> </w:t>
      </w:r>
    </w:p>
    <w:p w14:paraId="272E2E9D" w14:textId="77777777" w:rsidR="00482CA5" w:rsidRDefault="004708AC" w:rsidP="00BB64BD">
      <w:pPr>
        <w:pStyle w:val="Heading2"/>
      </w:pPr>
      <w:bookmarkStart w:id="24" w:name="_Toc173222619"/>
      <w:bookmarkStart w:id="25" w:name="_Toc200375471"/>
      <w:bookmarkStart w:id="26" w:name="_Toc200376885"/>
      <w:r>
        <w:t xml:space="preserve">Moving </w:t>
      </w:r>
      <w:r w:rsidR="00C96492">
        <w:t>t</w:t>
      </w:r>
      <w:r>
        <w:t>o Work (M</w:t>
      </w:r>
      <w:r w:rsidR="000E554B">
        <w:t>TW</w:t>
      </w:r>
      <w:r>
        <w:t>) Designation</w:t>
      </w:r>
      <w:bookmarkEnd w:id="24"/>
      <w:bookmarkEnd w:id="25"/>
      <w:bookmarkEnd w:id="26"/>
    </w:p>
    <w:p w14:paraId="31BF038B" w14:textId="77777777" w:rsidR="00482CA5" w:rsidRDefault="00482CA5" w:rsidP="00482CA5">
      <w:r>
        <w:t xml:space="preserve">HHA </w:t>
      </w:r>
      <w:r w:rsidR="000E554B">
        <w:t xml:space="preserve">has </w:t>
      </w:r>
      <w:r>
        <w:t xml:space="preserve">entered into a Moving to Work (MTW) Amendment to the Annual Contributions Contract (ACC) </w:t>
      </w:r>
      <w:r w:rsidR="00716755" w:rsidRPr="00A2158C">
        <w:rPr>
          <w:rFonts w:cstheme="minorHAnsi"/>
        </w:rPr>
        <w:t>with HUD</w:t>
      </w:r>
      <w:r w:rsidR="004D7910">
        <w:t>.</w:t>
      </w:r>
      <w:r>
        <w:t xml:space="preserve"> This MTW designation allows HHA to design and test innovative methods of providing housing and delivering services to low-income households in an efficient and effective manner.</w:t>
      </w:r>
    </w:p>
    <w:p w14:paraId="07F7C26B" w14:textId="77777777" w:rsidR="00482CA5" w:rsidRDefault="00482CA5" w:rsidP="00482CA5">
      <w:r>
        <w:t>HHA’s participation in the expansion of the MTW demonstration is governed by the MTW Operations Notice for the Expansion of the Moving to Work Demonstration as it is issued and may be amended in the future, or any successor notice issued by HUD. As a participant in the MTW demonstration, HHA must operate in accordance with the express terms and conditions set forth in the MTW Operations Notice.</w:t>
      </w:r>
    </w:p>
    <w:p w14:paraId="46EA2AF5" w14:textId="77777777" w:rsidR="00482CA5" w:rsidRDefault="00482CA5" w:rsidP="00482CA5">
      <w:r>
        <w:t>The term of the amendment is for 20 years from the beginning of the HHA’s first full fiscal year following execution by HHA and HUD; or, until termination of the MTW amendment to the ACC, whichever is sooner.</w:t>
      </w:r>
    </w:p>
    <w:p w14:paraId="207ED9AA" w14:textId="77777777" w:rsidR="00D172EF" w:rsidRDefault="00D172EF" w:rsidP="00D172EF">
      <w:r>
        <w:t xml:space="preserve">As a participant in the MTW program, HHA is exempted from specific provisions of the Housing Act of 1937 (the Act) and its implementing regulations as specified in the MTW Operations Notice; however, HHA remains subject to all other applicable requirements including, but not limited to, those in Title 24 of the Code of Federal Regulations and Title 42 of the U.S. Code, Appropriations Acts. HHA is part of MTW </w:t>
      </w:r>
      <w:r w:rsidRPr="00D3053C">
        <w:rPr>
          <w:i/>
          <w:iCs/>
        </w:rPr>
        <w:t>Cohort #2</w:t>
      </w:r>
      <w:r>
        <w:t xml:space="preserve"> which involves a six-year evaluation of alternative rent policies designed to increase resident self-sufficiency and reduce administrative burdens. </w:t>
      </w:r>
    </w:p>
    <w:p w14:paraId="3D710E5F" w14:textId="77777777" w:rsidR="00D172EF" w:rsidRDefault="00D172EF" w:rsidP="00D172EF">
      <w:r>
        <w:t xml:space="preserve">HHA’s MTW policies are referenced throughout this Plan, including which policies are applicable to specified program and household types. Additionally, general MTW policies and a summary of policies are provided in the </w:t>
      </w:r>
      <w:hyperlink w:anchor="_MOVING_TO_WORK" w:history="1">
        <w:r w:rsidRPr="00D172EF">
          <w:rPr>
            <w:rStyle w:val="OurLinksChar"/>
          </w:rPr>
          <w:fldChar w:fldCharType="begin"/>
        </w:r>
        <w:r w:rsidRPr="00D172EF">
          <w:rPr>
            <w:rStyle w:val="OurLinksChar"/>
          </w:rPr>
          <w:instrText xml:space="preserve"> REF _Ref145411226 \h  \* MERGEFORMAT </w:instrText>
        </w:r>
        <w:r w:rsidRPr="00D172EF">
          <w:rPr>
            <w:rStyle w:val="OurLinksChar"/>
          </w:rPr>
        </w:r>
        <w:r w:rsidRPr="00D172EF">
          <w:rPr>
            <w:rStyle w:val="OurLinksChar"/>
          </w:rPr>
          <w:fldChar w:fldCharType="separate"/>
        </w:r>
        <w:r w:rsidRPr="00D172EF">
          <w:rPr>
            <w:rStyle w:val="OurLinksChar"/>
          </w:rPr>
          <w:t>MOVING TO MOVING (MTW) PROGRAM</w:t>
        </w:r>
        <w:r w:rsidRPr="00D172EF">
          <w:rPr>
            <w:rStyle w:val="OurLinksChar"/>
          </w:rPr>
          <w:fldChar w:fldCharType="end"/>
        </w:r>
      </w:hyperlink>
      <w:r>
        <w:t xml:space="preserve"> chapter.</w:t>
      </w:r>
    </w:p>
    <w:p w14:paraId="35413485" w14:textId="77777777" w:rsidR="00482CA5" w:rsidRPr="00482CA5" w:rsidRDefault="004708AC" w:rsidP="00BB64BD">
      <w:pPr>
        <w:pStyle w:val="Heading2"/>
      </w:pPr>
      <w:bookmarkStart w:id="27" w:name="_Toc173222620"/>
      <w:bookmarkStart w:id="28" w:name="_Toc200375472"/>
      <w:bookmarkStart w:id="29" w:name="_Toc200376886"/>
      <w:r w:rsidRPr="00482CA5">
        <w:t>Housing Opportunity Through Modernization Act</w:t>
      </w:r>
      <w:r>
        <w:t xml:space="preserve"> (H</w:t>
      </w:r>
      <w:r w:rsidR="007F3CF7">
        <w:t>OTMA</w:t>
      </w:r>
      <w:r>
        <w:t xml:space="preserve">) </w:t>
      </w:r>
      <w:r w:rsidR="007F3CF7">
        <w:t>o</w:t>
      </w:r>
      <w:r>
        <w:t>f 2016</w:t>
      </w:r>
      <w:bookmarkEnd w:id="27"/>
      <w:bookmarkEnd w:id="28"/>
      <w:bookmarkEnd w:id="29"/>
    </w:p>
    <w:p w14:paraId="05F0BD7D" w14:textId="77777777" w:rsidR="00607AB3" w:rsidRDefault="007F1571" w:rsidP="007F1571">
      <w:pPr>
        <w:rPr>
          <w:szCs w:val="24"/>
        </w:rPr>
      </w:pPr>
      <w:r>
        <w:rPr>
          <w:szCs w:val="24"/>
        </w:rPr>
        <w:t xml:space="preserve">On July 29, 2016, the Housing Opportunity Through Modernization Act of 2016 (HOTMA) was signed into law. </w:t>
      </w:r>
      <w:r w:rsidRPr="009874D9">
        <w:rPr>
          <w:szCs w:val="24"/>
        </w:rPr>
        <w:t xml:space="preserve">HOTMA made numerous changes to statutes governing HUD programs, including sections of the United States Housing Act of 1937. Title I of HOTMA contains 14 different sections that impact the public housing and Section 8 programs. </w:t>
      </w:r>
    </w:p>
    <w:p w14:paraId="21889C46" w14:textId="5CD030FC" w:rsidR="007F1571" w:rsidRDefault="00607AB3" w:rsidP="00162183">
      <w:pPr>
        <w:pStyle w:val="ListParagraph"/>
        <w:numPr>
          <w:ilvl w:val="0"/>
          <w:numId w:val="296"/>
        </w:numPr>
        <w:contextualSpacing w:val="0"/>
      </w:pPr>
      <w:r w:rsidRPr="00682E9E">
        <w:rPr>
          <w:b/>
          <w:bCs/>
          <w:szCs w:val="24"/>
        </w:rPr>
        <w:t>Sections 102</w:t>
      </w:r>
      <w:r w:rsidR="00601805" w:rsidRPr="00682E9E">
        <w:rPr>
          <w:b/>
          <w:bCs/>
          <w:szCs w:val="24"/>
        </w:rPr>
        <w:t>, 103, and</w:t>
      </w:r>
      <w:r w:rsidRPr="00682E9E">
        <w:rPr>
          <w:b/>
          <w:bCs/>
          <w:szCs w:val="24"/>
        </w:rPr>
        <w:t xml:space="preserve"> 104</w:t>
      </w:r>
      <w:r>
        <w:rPr>
          <w:szCs w:val="24"/>
        </w:rPr>
        <w:t xml:space="preserve">. </w:t>
      </w:r>
      <w:r w:rsidR="007F1571" w:rsidRPr="00607AB3">
        <w:rPr>
          <w:szCs w:val="24"/>
        </w:rPr>
        <w:t>The Final Rule implementing broad changes to income and asset in Sections 102 and 104 of HOTMA, and for PHAs that administer the public housing program</w:t>
      </w:r>
      <w:r w:rsidR="003B3EC4" w:rsidRPr="00607AB3">
        <w:rPr>
          <w:szCs w:val="24"/>
        </w:rPr>
        <w:t>,</w:t>
      </w:r>
      <w:r w:rsidR="007F1571" w:rsidRPr="00607AB3">
        <w:rPr>
          <w:szCs w:val="24"/>
        </w:rPr>
        <w:t xml:space="preserve"> over-income provisions in Section 103 was officially published in the </w:t>
      </w:r>
      <w:r w:rsidR="007F1571" w:rsidRPr="00607AB3">
        <w:rPr>
          <w:i/>
          <w:iCs/>
          <w:szCs w:val="24"/>
        </w:rPr>
        <w:t>Federal Register</w:t>
      </w:r>
      <w:r w:rsidR="007F1571" w:rsidRPr="00607AB3">
        <w:rPr>
          <w:szCs w:val="24"/>
        </w:rPr>
        <w:t xml:space="preserve"> on February 14, 2023. On September 29, 2023, HUD issued notice PIH 2023-27, which provided guidance to PHAs on the implementation of the program changes described in the </w:t>
      </w:r>
      <w:r w:rsidR="007F1571" w:rsidRPr="00E73D4C">
        <w:t>Final Rule</w:t>
      </w:r>
      <w:r w:rsidR="007F1571">
        <w:t xml:space="preserve">; this was reissued on February 2, 2024 to provide revisions and further </w:t>
      </w:r>
      <w:r w:rsidR="007F1571" w:rsidRPr="00FB4174">
        <w:t>guidance.</w:t>
      </w:r>
      <w:r w:rsidR="00FB4174" w:rsidRPr="00FB4174">
        <w:t xml:space="preserve"> </w:t>
      </w:r>
    </w:p>
    <w:p w14:paraId="3526A368" w14:textId="77777777" w:rsidR="005B71A6" w:rsidRPr="00654B53" w:rsidRDefault="005B71A6" w:rsidP="005B71A6">
      <w:pPr>
        <w:pStyle w:val="ListParagraph"/>
        <w:numPr>
          <w:ilvl w:val="1"/>
          <w:numId w:val="296"/>
        </w:numPr>
        <w:contextualSpacing w:val="0"/>
      </w:pPr>
      <w:r w:rsidRPr="00461FFF">
        <w:rPr>
          <w:szCs w:val="24"/>
        </w:rPr>
        <w:t>Subse</w:t>
      </w:r>
      <w:r>
        <w:rPr>
          <w:szCs w:val="24"/>
        </w:rPr>
        <w:t>quently, the implementation of certain provisions of sections 102 and/or 104 of HOTMA have been delayed by HUD, while others are set to be implemented effective for recertifications effective on or after July 1, 2025, pursuant to Notice PIH 2024-38. HHA has updated its policies throughout this Plan to incorporate HOTMA requirements according to applicable guidance that is available as of the date of this Plan.</w:t>
      </w:r>
    </w:p>
    <w:p w14:paraId="47ACDE1E" w14:textId="393943A7" w:rsidR="005B71A6" w:rsidRDefault="005B71A6" w:rsidP="00E96407">
      <w:pPr>
        <w:pStyle w:val="ListParagraph"/>
        <w:numPr>
          <w:ilvl w:val="1"/>
          <w:numId w:val="296"/>
        </w:numPr>
        <w:contextualSpacing w:val="0"/>
      </w:pPr>
      <w:r>
        <w:rPr>
          <w:szCs w:val="24"/>
        </w:rPr>
        <w:t>Provisions of HOTMA for which implementation has been delayed by HUD are referenced throughout this Plan with a note to indicate that the provision has been delayed and is not able to be implemented until further instruction from HUD.</w:t>
      </w:r>
    </w:p>
    <w:p w14:paraId="2B52D443" w14:textId="5079021A" w:rsidR="00162183" w:rsidRPr="00162183" w:rsidRDefault="00162183" w:rsidP="00CF0F06">
      <w:pPr>
        <w:pStyle w:val="ListParagraph"/>
        <w:numPr>
          <w:ilvl w:val="0"/>
          <w:numId w:val="296"/>
        </w:numPr>
        <w:contextualSpacing w:val="0"/>
      </w:pPr>
      <w:r w:rsidRPr="00162183">
        <w:rPr>
          <w:b/>
          <w:bCs/>
        </w:rPr>
        <w:t>Sections 101, 105, 106, and 112:</w:t>
      </w:r>
      <w:r w:rsidRPr="00162183">
        <w:t xml:space="preserve"> On May 7, 2024, HUD published a Final Rule in the </w:t>
      </w:r>
      <w:r w:rsidRPr="00162183">
        <w:rPr>
          <w:i/>
          <w:iCs/>
        </w:rPr>
        <w:t>Federal Register</w:t>
      </w:r>
      <w:r w:rsidRPr="00162183">
        <w:t xml:space="preserve"> implementing further changes under HOTMA, specific to Sections 101, 105, 106, and 112 of HOTMA and in reference to the October 8, 2020 proposed rule. The provisions under these sections are anticipated to be addressed in </w:t>
      </w:r>
      <w:r w:rsidR="00CF0F06">
        <w:t>H</w:t>
      </w:r>
      <w:r w:rsidRPr="00162183">
        <w:t xml:space="preserve">HA’s Administrative Plan, as they relate to the Housing Choice Voucher (HCV) program. </w:t>
      </w:r>
    </w:p>
    <w:p w14:paraId="10DFE7A0" w14:textId="77777777" w:rsidR="003B3EC4" w:rsidRDefault="00482CA5" w:rsidP="00482CA5">
      <w:r w:rsidRPr="00482CA5">
        <w:t xml:space="preserve">HHA has updated its policies throughout this </w:t>
      </w:r>
      <w:r w:rsidR="00F219FF">
        <w:t>ACOP</w:t>
      </w:r>
      <w:r w:rsidRPr="00482CA5">
        <w:t xml:space="preserve"> to incorporate HOTMA requirements according to applicable guidance that is available as of the date of this </w:t>
      </w:r>
      <w:r w:rsidR="00F219FF">
        <w:t>ACOP</w:t>
      </w:r>
      <w:r w:rsidRPr="00482CA5">
        <w:t xml:space="preserve">. </w:t>
      </w:r>
      <w:r w:rsidR="00B15018">
        <w:t xml:space="preserve">As of the date of this ACOP, </w:t>
      </w:r>
      <w:r w:rsidR="00F0428C">
        <w:t xml:space="preserve">HHA is awaiting further guidance from HUD regarding the implementation of certain provisions and related requirements, as well as </w:t>
      </w:r>
      <w:r w:rsidR="009F366F">
        <w:t>information</w:t>
      </w:r>
      <w:r w:rsidR="00F0428C">
        <w:t xml:space="preserve"> that will be used by HHA to determin</w:t>
      </w:r>
      <w:r w:rsidR="009F366F">
        <w:t xml:space="preserve">e its internal compliance date, if earlier than January 1, 2025. </w:t>
      </w:r>
    </w:p>
    <w:p w14:paraId="78C58F75" w14:textId="77777777" w:rsidR="00482CA5" w:rsidRDefault="00482CA5" w:rsidP="00482CA5">
      <w:r w:rsidRPr="00482CA5">
        <w:t xml:space="preserve">HHA will update this </w:t>
      </w:r>
      <w:r w:rsidR="00F219FF">
        <w:t>ACOP</w:t>
      </w:r>
      <w:r w:rsidRPr="00482CA5">
        <w:t xml:space="preserve"> and its policies as needed to reflect any subsequent guidance released by HUD pertaining to HOTMA, the Final Rule, and other related regulatory requirements. HHA will comply with the HOTMA Final Rule and all requirements, with the exception of policies that have been waived by HHA pursuant to an authorized and approved MTW Activity.</w:t>
      </w:r>
    </w:p>
    <w:p w14:paraId="025F1608" w14:textId="77777777" w:rsidR="00482CA5" w:rsidRDefault="00482CA5" w:rsidP="00482CA5"/>
    <w:p w14:paraId="005B64F8" w14:textId="77777777" w:rsidR="006A237C" w:rsidRDefault="006A237C" w:rsidP="00482CA5">
      <w:pPr>
        <w:sectPr w:rsidR="006A237C" w:rsidSect="00EE2233">
          <w:footerReference w:type="default" r:id="rId12"/>
          <w:pgSz w:w="12240" w:h="15840" w:code="1"/>
          <w:pgMar w:top="1440" w:right="1440" w:bottom="1440" w:left="1440" w:header="720" w:footer="720" w:gutter="0"/>
          <w:pgNumType w:start="1"/>
          <w:cols w:space="720"/>
          <w:docGrid w:linePitch="360"/>
        </w:sectPr>
      </w:pPr>
    </w:p>
    <w:p w14:paraId="1C393BC0" w14:textId="3CF97C43" w:rsidR="006A237C" w:rsidRPr="001245F9" w:rsidRDefault="006A237C" w:rsidP="006A237C">
      <w:pPr>
        <w:pStyle w:val="Heading1"/>
      </w:pPr>
      <w:bookmarkStart w:id="30" w:name="_Ref145411226"/>
      <w:bookmarkStart w:id="31" w:name="_Toc173222621"/>
      <w:bookmarkStart w:id="32" w:name="_Toc200375473"/>
      <w:bookmarkStart w:id="33" w:name="_Toc200376887"/>
      <w:r w:rsidRPr="001245F9">
        <w:t xml:space="preserve">MOVING TO </w:t>
      </w:r>
      <w:r w:rsidR="0076393A">
        <w:t>WORK</w:t>
      </w:r>
      <w:r w:rsidRPr="001245F9">
        <w:t xml:space="preserve"> (MTW) PROGRAM</w:t>
      </w:r>
      <w:bookmarkEnd w:id="30"/>
      <w:bookmarkEnd w:id="31"/>
      <w:bookmarkEnd w:id="32"/>
      <w:bookmarkEnd w:id="33"/>
    </w:p>
    <w:p w14:paraId="5AB5EAC6" w14:textId="77777777" w:rsidR="006A237C" w:rsidRDefault="006A237C" w:rsidP="006A237C">
      <w:r>
        <w:t xml:space="preserve">As a participant in the MTW program, HHA is exempted from specific provisions of the Housing Act of 1937 (the Act) and its implementing regulations as specified in the MTW Operations Notice; however, HHA remains subject to all other applicable requirements including, but not limited to, those in Title 24 of the Code of Federal Regulations and Title 42 of the U.S. Code, Appropriations Acts. </w:t>
      </w:r>
    </w:p>
    <w:p w14:paraId="0FFC8659" w14:textId="77777777" w:rsidR="006A237C" w:rsidRDefault="006A237C" w:rsidP="006A237C">
      <w:r>
        <w:t xml:space="preserve">HHA is part of MTW </w:t>
      </w:r>
      <w:r w:rsidRPr="00B60D06">
        <w:rPr>
          <w:i/>
          <w:iCs/>
        </w:rPr>
        <w:t>Cohort #2</w:t>
      </w:r>
      <w:r>
        <w:t xml:space="preserve"> which involves a six-year evaluation of alternative rent policies designed to increase resident self-sufficiency and reduce administrative burdens. Under this activity, HHA will implement an income-based flat tiered rent model applicable to public housing families who are randomly selected to participate in the MTW alternative rent evaluation initiative and assigned to the </w:t>
      </w:r>
      <w:r w:rsidRPr="00AB28D5">
        <w:rPr>
          <w:i/>
          <w:iCs/>
        </w:rPr>
        <w:t>Treatment</w:t>
      </w:r>
      <w:r>
        <w:t xml:space="preserve"> group.</w:t>
      </w:r>
    </w:p>
    <w:p w14:paraId="65BAC4B2" w14:textId="77777777" w:rsidR="006A237C" w:rsidRDefault="006A237C" w:rsidP="006A237C">
      <w:pPr>
        <w:pStyle w:val="Heading2"/>
      </w:pPr>
      <w:bookmarkStart w:id="34" w:name="_Toc173222622"/>
      <w:bookmarkStart w:id="35" w:name="_Toc200375474"/>
      <w:bookmarkStart w:id="36" w:name="_Toc200376888"/>
      <w:r>
        <w:t>Chart of MTW Policies</w:t>
      </w:r>
      <w:bookmarkEnd w:id="34"/>
      <w:bookmarkEnd w:id="35"/>
      <w:bookmarkEnd w:id="36"/>
    </w:p>
    <w:p w14:paraId="4918BBA0" w14:textId="77777777" w:rsidR="006A237C" w:rsidRPr="00443470" w:rsidRDefault="006A237C" w:rsidP="006A237C">
      <w:r>
        <w:t>The following table reflects the MTW policies contained in HHA’s ACOP including the respective effective date for each policy initiative and modification.</w:t>
      </w:r>
    </w:p>
    <w:tbl>
      <w:tblPr>
        <w:tblStyle w:val="TableGrid"/>
        <w:tblW w:w="9445" w:type="dxa"/>
        <w:tblLayout w:type="fixed"/>
        <w:tblLook w:val="04A0" w:firstRow="1" w:lastRow="0" w:firstColumn="1" w:lastColumn="0" w:noHBand="0" w:noVBand="1"/>
      </w:tblPr>
      <w:tblGrid>
        <w:gridCol w:w="985"/>
        <w:gridCol w:w="1800"/>
        <w:gridCol w:w="1170"/>
        <w:gridCol w:w="2160"/>
        <w:gridCol w:w="1980"/>
        <w:gridCol w:w="1350"/>
      </w:tblGrid>
      <w:tr w:rsidR="00A46856" w:rsidRPr="00A46856" w14:paraId="4E025129" w14:textId="77777777" w:rsidTr="00A46856">
        <w:trPr>
          <w:tblHeader/>
        </w:trPr>
        <w:tc>
          <w:tcPr>
            <w:tcW w:w="985" w:type="dxa"/>
            <w:shd w:val="clear" w:color="auto" w:fill="808080" w:themeFill="background1" w:themeFillShade="80"/>
            <w:vAlign w:val="center"/>
          </w:tcPr>
          <w:p w14:paraId="54E2D698" w14:textId="77777777" w:rsidR="006B66F8" w:rsidRPr="00A46856" w:rsidRDefault="006B66F8" w:rsidP="00B35D5E">
            <w:pPr>
              <w:spacing w:before="60" w:after="60"/>
              <w:ind w:right="-4"/>
              <w:jc w:val="center"/>
              <w:rPr>
                <w:rFonts w:cs="Arial"/>
                <w:b/>
                <w:bCs/>
                <w:color w:val="FFFFFF" w:themeColor="background1"/>
                <w:sz w:val="19"/>
                <w:szCs w:val="19"/>
              </w:rPr>
            </w:pPr>
            <w:r w:rsidRPr="00A46856">
              <w:rPr>
                <w:rFonts w:cs="Arial"/>
                <w:b/>
                <w:bCs/>
                <w:color w:val="FFFFFF" w:themeColor="background1"/>
                <w:sz w:val="19"/>
                <w:szCs w:val="19"/>
              </w:rPr>
              <w:t>Waiver</w:t>
            </w:r>
          </w:p>
        </w:tc>
        <w:tc>
          <w:tcPr>
            <w:tcW w:w="1800" w:type="dxa"/>
            <w:shd w:val="clear" w:color="auto" w:fill="808080" w:themeFill="background1" w:themeFillShade="80"/>
            <w:vAlign w:val="center"/>
          </w:tcPr>
          <w:p w14:paraId="1D4F6D85" w14:textId="2FDAF7B6" w:rsidR="006B66F8" w:rsidRPr="00A46856" w:rsidRDefault="006B66F8" w:rsidP="00B35D5E">
            <w:pPr>
              <w:spacing w:before="60" w:after="60"/>
              <w:jc w:val="center"/>
              <w:rPr>
                <w:rFonts w:cs="Arial"/>
                <w:b/>
                <w:bCs/>
                <w:color w:val="FFFFFF" w:themeColor="background1"/>
                <w:sz w:val="19"/>
                <w:szCs w:val="19"/>
              </w:rPr>
            </w:pPr>
            <w:r w:rsidRPr="00A46856">
              <w:rPr>
                <w:rFonts w:cs="Arial"/>
                <w:b/>
                <w:bCs/>
                <w:color w:val="FFFFFF" w:themeColor="background1"/>
                <w:sz w:val="19"/>
                <w:szCs w:val="19"/>
              </w:rPr>
              <w:t>Title/Description</w:t>
            </w:r>
          </w:p>
        </w:tc>
        <w:tc>
          <w:tcPr>
            <w:tcW w:w="1170" w:type="dxa"/>
            <w:shd w:val="clear" w:color="auto" w:fill="808080" w:themeFill="background1" w:themeFillShade="80"/>
            <w:vAlign w:val="center"/>
          </w:tcPr>
          <w:p w14:paraId="0B295B2A" w14:textId="77777777" w:rsidR="006B66F8" w:rsidRPr="00A46856" w:rsidRDefault="006B66F8" w:rsidP="00B35D5E">
            <w:pPr>
              <w:spacing w:before="60" w:after="60"/>
              <w:jc w:val="center"/>
              <w:rPr>
                <w:rFonts w:cs="Arial"/>
                <w:b/>
                <w:bCs/>
                <w:color w:val="FFFFFF" w:themeColor="background1"/>
                <w:sz w:val="19"/>
                <w:szCs w:val="19"/>
              </w:rPr>
            </w:pPr>
            <w:r w:rsidRPr="00A46856">
              <w:rPr>
                <w:rFonts w:cs="Arial"/>
                <w:b/>
                <w:bCs/>
                <w:color w:val="FFFFFF" w:themeColor="background1"/>
                <w:sz w:val="19"/>
                <w:szCs w:val="19"/>
              </w:rPr>
              <w:t>Approved FY</w:t>
            </w:r>
          </w:p>
        </w:tc>
        <w:tc>
          <w:tcPr>
            <w:tcW w:w="2160" w:type="dxa"/>
            <w:shd w:val="clear" w:color="auto" w:fill="808080" w:themeFill="background1" w:themeFillShade="80"/>
            <w:vAlign w:val="center"/>
          </w:tcPr>
          <w:p w14:paraId="1B523ED2" w14:textId="7C7F80A6" w:rsidR="006B66F8" w:rsidRPr="00A46856" w:rsidRDefault="006B66F8" w:rsidP="00B35D5E">
            <w:pPr>
              <w:spacing w:before="60" w:after="60"/>
              <w:jc w:val="center"/>
              <w:rPr>
                <w:rFonts w:cs="Arial"/>
                <w:b/>
                <w:bCs/>
                <w:color w:val="FFFFFF" w:themeColor="background1"/>
                <w:sz w:val="19"/>
                <w:szCs w:val="19"/>
              </w:rPr>
            </w:pPr>
            <w:r w:rsidRPr="00A46856">
              <w:rPr>
                <w:rFonts w:cs="Arial"/>
                <w:b/>
                <w:bCs/>
                <w:color w:val="FFFFFF" w:themeColor="background1"/>
                <w:sz w:val="19"/>
                <w:szCs w:val="19"/>
              </w:rPr>
              <w:t>Chapter</w:t>
            </w:r>
          </w:p>
        </w:tc>
        <w:tc>
          <w:tcPr>
            <w:tcW w:w="1980" w:type="dxa"/>
            <w:shd w:val="clear" w:color="auto" w:fill="808080" w:themeFill="background1" w:themeFillShade="80"/>
            <w:vAlign w:val="center"/>
          </w:tcPr>
          <w:p w14:paraId="4C9B178C" w14:textId="18E40230" w:rsidR="006B66F8" w:rsidRPr="00A46856" w:rsidRDefault="00FA2EF6" w:rsidP="00B35D5E">
            <w:pPr>
              <w:spacing w:before="60" w:after="60"/>
              <w:jc w:val="center"/>
              <w:rPr>
                <w:rFonts w:cs="Arial"/>
                <w:b/>
                <w:bCs/>
                <w:color w:val="FFFFFF" w:themeColor="background1"/>
                <w:sz w:val="19"/>
                <w:szCs w:val="19"/>
              </w:rPr>
            </w:pPr>
            <w:r w:rsidRPr="00A46856">
              <w:rPr>
                <w:rFonts w:cs="Arial"/>
                <w:b/>
                <w:bCs/>
                <w:color w:val="FFFFFF" w:themeColor="background1"/>
                <w:sz w:val="19"/>
                <w:szCs w:val="19"/>
              </w:rPr>
              <w:t>Section</w:t>
            </w:r>
          </w:p>
        </w:tc>
        <w:tc>
          <w:tcPr>
            <w:tcW w:w="1350" w:type="dxa"/>
            <w:shd w:val="clear" w:color="auto" w:fill="808080" w:themeFill="background1" w:themeFillShade="80"/>
            <w:vAlign w:val="center"/>
          </w:tcPr>
          <w:p w14:paraId="74E34606" w14:textId="49B1C62B" w:rsidR="006B66F8" w:rsidRPr="00A46856" w:rsidRDefault="006B66F8" w:rsidP="00B35D5E">
            <w:pPr>
              <w:spacing w:before="60" w:after="60"/>
              <w:jc w:val="center"/>
              <w:rPr>
                <w:rFonts w:cs="Arial"/>
                <w:b/>
                <w:bCs/>
                <w:color w:val="FFFFFF" w:themeColor="background1"/>
                <w:sz w:val="19"/>
                <w:szCs w:val="19"/>
              </w:rPr>
            </w:pPr>
            <w:r w:rsidRPr="00A46856">
              <w:rPr>
                <w:rFonts w:cs="Arial"/>
                <w:b/>
                <w:bCs/>
                <w:color w:val="FFFFFF" w:themeColor="background1"/>
                <w:sz w:val="19"/>
                <w:szCs w:val="19"/>
              </w:rPr>
              <w:t>Applicable Programs/ Households</w:t>
            </w:r>
          </w:p>
        </w:tc>
      </w:tr>
      <w:tr w:rsidR="00C42528" w:rsidRPr="00A46856" w14:paraId="273F5E86" w14:textId="77777777" w:rsidTr="004E5206">
        <w:trPr>
          <w:trHeight w:val="432"/>
        </w:trPr>
        <w:tc>
          <w:tcPr>
            <w:tcW w:w="9445" w:type="dxa"/>
            <w:gridSpan w:val="6"/>
            <w:shd w:val="clear" w:color="auto" w:fill="F2F2F2" w:themeFill="background1" w:themeFillShade="F2"/>
          </w:tcPr>
          <w:p w14:paraId="49F06AD6" w14:textId="7ACCDD13" w:rsidR="00C42528" w:rsidRPr="00A46856" w:rsidRDefault="00C42528" w:rsidP="00B35D5E">
            <w:pPr>
              <w:spacing w:before="60" w:after="60"/>
              <w:ind w:left="2"/>
              <w:jc w:val="left"/>
              <w:rPr>
                <w:rFonts w:cs="Arial"/>
                <w:b/>
                <w:bCs/>
                <w:sz w:val="19"/>
                <w:szCs w:val="19"/>
              </w:rPr>
            </w:pPr>
            <w:r w:rsidRPr="00A46856">
              <w:rPr>
                <w:rFonts w:cs="Arial"/>
                <w:b/>
                <w:bCs/>
                <w:sz w:val="19"/>
                <w:szCs w:val="19"/>
              </w:rPr>
              <w:t>Tiered Rent Policies</w:t>
            </w:r>
          </w:p>
        </w:tc>
      </w:tr>
      <w:tr w:rsidR="00A46856" w:rsidRPr="00A46856" w14:paraId="112BECD4" w14:textId="77777777" w:rsidTr="00A46856">
        <w:tc>
          <w:tcPr>
            <w:tcW w:w="985" w:type="dxa"/>
            <w:vAlign w:val="center"/>
          </w:tcPr>
          <w:p w14:paraId="4519F8CC" w14:textId="77777777" w:rsidR="006B66F8" w:rsidRPr="00A46856" w:rsidRDefault="006B66F8" w:rsidP="00B35D5E">
            <w:pPr>
              <w:spacing w:before="60" w:after="60"/>
              <w:jc w:val="left"/>
              <w:rPr>
                <w:rFonts w:cs="Arial"/>
                <w:sz w:val="19"/>
                <w:szCs w:val="19"/>
              </w:rPr>
            </w:pPr>
            <w:r w:rsidRPr="00A46856">
              <w:rPr>
                <w:rFonts w:eastAsia="Times New Roman" w:cs="Arial"/>
                <w:color w:val="000000"/>
                <w:kern w:val="0"/>
                <w:sz w:val="19"/>
                <w:szCs w:val="19"/>
                <w14:ligatures w14:val="none"/>
              </w:rPr>
              <w:t>1.b.</w:t>
            </w:r>
          </w:p>
        </w:tc>
        <w:tc>
          <w:tcPr>
            <w:tcW w:w="1800" w:type="dxa"/>
            <w:vAlign w:val="center"/>
          </w:tcPr>
          <w:p w14:paraId="106A73D8" w14:textId="77777777" w:rsidR="006B66F8" w:rsidRPr="00A46856" w:rsidRDefault="006B66F8" w:rsidP="00B35D5E">
            <w:pPr>
              <w:spacing w:before="60" w:after="60"/>
              <w:jc w:val="left"/>
              <w:rPr>
                <w:rFonts w:cs="Arial"/>
                <w:sz w:val="19"/>
                <w:szCs w:val="19"/>
              </w:rPr>
            </w:pPr>
            <w:r w:rsidRPr="00A46856">
              <w:rPr>
                <w:rFonts w:eastAsia="Times New Roman" w:cs="Arial"/>
                <w:color w:val="000000"/>
                <w:kern w:val="0"/>
                <w:sz w:val="19"/>
                <w:szCs w:val="19"/>
                <w14:ligatures w14:val="none"/>
              </w:rPr>
              <w:t>Tiered Rent</w:t>
            </w:r>
          </w:p>
        </w:tc>
        <w:tc>
          <w:tcPr>
            <w:tcW w:w="1170" w:type="dxa"/>
            <w:vAlign w:val="center"/>
          </w:tcPr>
          <w:p w14:paraId="5EEACEC1" w14:textId="77777777" w:rsidR="006B66F8" w:rsidRPr="00A46856" w:rsidRDefault="006B66F8" w:rsidP="00B35D5E">
            <w:pPr>
              <w:spacing w:before="60" w:after="60"/>
              <w:jc w:val="left"/>
              <w:rPr>
                <w:rFonts w:cs="Arial"/>
                <w:sz w:val="19"/>
                <w:szCs w:val="19"/>
              </w:rPr>
            </w:pPr>
            <w:r w:rsidRPr="00A46856">
              <w:rPr>
                <w:rFonts w:cs="Arial"/>
                <w:sz w:val="19"/>
                <w:szCs w:val="19"/>
              </w:rPr>
              <w:t>FY 2022</w:t>
            </w:r>
          </w:p>
        </w:tc>
        <w:tc>
          <w:tcPr>
            <w:tcW w:w="2160" w:type="dxa"/>
            <w:vAlign w:val="center"/>
          </w:tcPr>
          <w:p w14:paraId="4D74061B" w14:textId="67896644" w:rsidR="00C31D3F" w:rsidRPr="00C31D3F" w:rsidRDefault="00C31D3F" w:rsidP="00CB52D8">
            <w:pPr>
              <w:pStyle w:val="ListParagraph"/>
              <w:numPr>
                <w:ilvl w:val="0"/>
                <w:numId w:val="75"/>
              </w:numPr>
              <w:spacing w:before="60" w:after="60"/>
              <w:ind w:left="217" w:hanging="217"/>
              <w:contextualSpacing w:val="0"/>
              <w:jc w:val="left"/>
              <w:rPr>
                <w:rFonts w:cs="Arial"/>
                <w:b/>
                <w:bCs/>
                <w:color w:val="0070C0"/>
                <w:sz w:val="19"/>
                <w:szCs w:val="19"/>
              </w:rPr>
            </w:pPr>
            <w:r w:rsidRPr="00C31D3F">
              <w:rPr>
                <w:rFonts w:cs="Arial"/>
                <w:b/>
                <w:bCs/>
                <w:color w:val="0070C0"/>
                <w:sz w:val="19"/>
                <w:szCs w:val="19"/>
              </w:rPr>
              <w:fldChar w:fldCharType="begin"/>
            </w:r>
            <w:r w:rsidRPr="00C31D3F">
              <w:rPr>
                <w:rFonts w:cs="Arial"/>
                <w:b/>
                <w:bCs/>
                <w:color w:val="0070C0"/>
                <w:sz w:val="19"/>
                <w:szCs w:val="19"/>
              </w:rPr>
              <w:instrText xml:space="preserve"> REF _Ref145411226 \w \h  \* MERGEFORMAT </w:instrText>
            </w:r>
            <w:r w:rsidRPr="00C31D3F">
              <w:rPr>
                <w:rFonts w:cs="Arial"/>
                <w:b/>
                <w:bCs/>
                <w:color w:val="0070C0"/>
                <w:sz w:val="19"/>
                <w:szCs w:val="19"/>
              </w:rPr>
            </w:r>
            <w:r w:rsidRPr="00C31D3F">
              <w:rPr>
                <w:rFonts w:cs="Arial"/>
                <w:b/>
                <w:bCs/>
                <w:color w:val="0070C0"/>
                <w:sz w:val="19"/>
                <w:szCs w:val="19"/>
              </w:rPr>
              <w:fldChar w:fldCharType="separate"/>
            </w:r>
            <w:r w:rsidRPr="00C31D3F">
              <w:rPr>
                <w:rFonts w:cs="Arial"/>
                <w:b/>
                <w:bCs/>
                <w:color w:val="0070C0"/>
                <w:sz w:val="19"/>
                <w:szCs w:val="19"/>
              </w:rPr>
              <w:t>CHAPTER 2:</w:t>
            </w:r>
            <w:r w:rsidRPr="00C31D3F">
              <w:rPr>
                <w:rFonts w:cs="Arial"/>
                <w:b/>
                <w:bCs/>
                <w:color w:val="0070C0"/>
                <w:sz w:val="19"/>
                <w:szCs w:val="19"/>
              </w:rPr>
              <w:fldChar w:fldCharType="end"/>
            </w:r>
            <w:r w:rsidRPr="00C31D3F">
              <w:rPr>
                <w:rFonts w:cs="Arial"/>
                <w:b/>
                <w:bCs/>
                <w:color w:val="0070C0"/>
                <w:sz w:val="19"/>
                <w:szCs w:val="19"/>
              </w:rPr>
              <w:t xml:space="preserve"> </w:t>
            </w:r>
            <w:r w:rsidRPr="00C31D3F">
              <w:rPr>
                <w:rFonts w:cs="Arial"/>
                <w:b/>
                <w:bCs/>
                <w:color w:val="0070C0"/>
                <w:sz w:val="19"/>
                <w:szCs w:val="19"/>
              </w:rPr>
              <w:fldChar w:fldCharType="begin"/>
            </w:r>
            <w:r w:rsidRPr="00C31D3F">
              <w:rPr>
                <w:rFonts w:cs="Arial"/>
                <w:b/>
                <w:bCs/>
                <w:color w:val="0070C0"/>
                <w:sz w:val="19"/>
                <w:szCs w:val="19"/>
              </w:rPr>
              <w:instrText xml:space="preserve"> REF _Ref145411226 \h  \* MERGEFORMAT </w:instrText>
            </w:r>
            <w:r w:rsidRPr="00C31D3F">
              <w:rPr>
                <w:rFonts w:cs="Arial"/>
                <w:b/>
                <w:bCs/>
                <w:color w:val="0070C0"/>
                <w:sz w:val="19"/>
                <w:szCs w:val="19"/>
              </w:rPr>
            </w:r>
            <w:r w:rsidRPr="00C31D3F">
              <w:rPr>
                <w:rFonts w:cs="Arial"/>
                <w:b/>
                <w:bCs/>
                <w:color w:val="0070C0"/>
                <w:sz w:val="19"/>
                <w:szCs w:val="19"/>
              </w:rPr>
              <w:fldChar w:fldCharType="separate"/>
            </w:r>
            <w:r w:rsidR="0076393A" w:rsidRPr="0076393A">
              <w:rPr>
                <w:b/>
                <w:bCs/>
                <w:color w:val="0070C0"/>
                <w:sz w:val="19"/>
                <w:szCs w:val="19"/>
              </w:rPr>
              <w:t>MOVING TO WORK (MTW) PROGRAM</w:t>
            </w:r>
            <w:r w:rsidRPr="00C31D3F">
              <w:rPr>
                <w:rFonts w:cs="Arial"/>
                <w:b/>
                <w:bCs/>
                <w:color w:val="0070C0"/>
                <w:sz w:val="19"/>
                <w:szCs w:val="19"/>
              </w:rPr>
              <w:fldChar w:fldCharType="end"/>
            </w:r>
          </w:p>
          <w:p w14:paraId="7F393EA1" w14:textId="6A941199" w:rsidR="00C96EAA" w:rsidRPr="00C31D3F" w:rsidRDefault="00C96EAA" w:rsidP="00CB52D8">
            <w:pPr>
              <w:pStyle w:val="ListParagraph"/>
              <w:numPr>
                <w:ilvl w:val="0"/>
                <w:numId w:val="75"/>
              </w:numPr>
              <w:spacing w:before="60" w:after="60"/>
              <w:ind w:left="217" w:hanging="217"/>
              <w:contextualSpacing w:val="0"/>
              <w:jc w:val="left"/>
              <w:rPr>
                <w:rFonts w:cs="Arial"/>
                <w:b/>
                <w:bCs/>
                <w:color w:val="0070C0"/>
                <w:sz w:val="19"/>
                <w:szCs w:val="19"/>
              </w:rPr>
            </w:pPr>
            <w:r w:rsidRPr="00C31D3F">
              <w:rPr>
                <w:rFonts w:cs="Arial"/>
                <w:b/>
                <w:bCs/>
                <w:color w:val="0070C0"/>
                <w:sz w:val="19"/>
                <w:szCs w:val="19"/>
              </w:rPr>
              <w:fldChar w:fldCharType="begin"/>
            </w:r>
            <w:r w:rsidRPr="00C31D3F">
              <w:rPr>
                <w:rFonts w:cs="Arial"/>
                <w:b/>
                <w:bCs/>
                <w:color w:val="0070C0"/>
                <w:sz w:val="19"/>
                <w:szCs w:val="19"/>
              </w:rPr>
              <w:instrText xml:space="preserve"> REF _Ref154565697 \w \h </w:instrText>
            </w:r>
            <w:r w:rsidR="003E7210" w:rsidRPr="00C31D3F">
              <w:rPr>
                <w:rFonts w:cs="Arial"/>
                <w:b/>
                <w:bCs/>
                <w:color w:val="0070C0"/>
                <w:sz w:val="19"/>
                <w:szCs w:val="19"/>
              </w:rPr>
              <w:instrText xml:space="preserve"> \* MERGEFORMAT </w:instrText>
            </w:r>
            <w:r w:rsidRPr="00C31D3F">
              <w:rPr>
                <w:rFonts w:cs="Arial"/>
                <w:b/>
                <w:bCs/>
                <w:color w:val="0070C0"/>
                <w:sz w:val="19"/>
                <w:szCs w:val="19"/>
              </w:rPr>
            </w:r>
            <w:r w:rsidRPr="00C31D3F">
              <w:rPr>
                <w:rFonts w:cs="Arial"/>
                <w:b/>
                <w:bCs/>
                <w:color w:val="0070C0"/>
                <w:sz w:val="19"/>
                <w:szCs w:val="19"/>
              </w:rPr>
              <w:fldChar w:fldCharType="separate"/>
            </w:r>
            <w:r w:rsidRPr="00C31D3F">
              <w:rPr>
                <w:rFonts w:cs="Arial"/>
                <w:b/>
                <w:bCs/>
                <w:color w:val="0070C0"/>
                <w:sz w:val="19"/>
                <w:szCs w:val="19"/>
              </w:rPr>
              <w:t>CHAPTER 10:</w:t>
            </w:r>
            <w:r w:rsidRPr="00C31D3F">
              <w:rPr>
                <w:rFonts w:cs="Arial"/>
                <w:b/>
                <w:bCs/>
                <w:color w:val="0070C0"/>
                <w:sz w:val="19"/>
                <w:szCs w:val="19"/>
              </w:rPr>
              <w:fldChar w:fldCharType="end"/>
            </w:r>
            <w:r w:rsidRPr="00C31D3F">
              <w:rPr>
                <w:rFonts w:cs="Arial"/>
                <w:b/>
                <w:bCs/>
                <w:color w:val="0070C0"/>
                <w:sz w:val="19"/>
                <w:szCs w:val="19"/>
              </w:rPr>
              <w:t xml:space="preserve"> </w:t>
            </w:r>
            <w:r w:rsidRPr="00C31D3F">
              <w:rPr>
                <w:rFonts w:cs="Arial"/>
                <w:b/>
                <w:bCs/>
                <w:color w:val="0070C0"/>
                <w:sz w:val="19"/>
                <w:szCs w:val="19"/>
              </w:rPr>
              <w:fldChar w:fldCharType="begin"/>
            </w:r>
            <w:r w:rsidRPr="00C31D3F">
              <w:rPr>
                <w:rFonts w:cs="Arial"/>
                <w:b/>
                <w:bCs/>
                <w:color w:val="0070C0"/>
                <w:sz w:val="19"/>
                <w:szCs w:val="19"/>
              </w:rPr>
              <w:instrText xml:space="preserve"> REF _Ref154565697 \h </w:instrText>
            </w:r>
            <w:r w:rsidR="003E7210" w:rsidRPr="00C31D3F">
              <w:rPr>
                <w:rFonts w:cs="Arial"/>
                <w:b/>
                <w:bCs/>
                <w:color w:val="0070C0"/>
                <w:sz w:val="19"/>
                <w:szCs w:val="19"/>
              </w:rPr>
              <w:instrText xml:space="preserve"> \* MERGEFORMAT </w:instrText>
            </w:r>
            <w:r w:rsidRPr="00C31D3F">
              <w:rPr>
                <w:rFonts w:cs="Arial"/>
                <w:b/>
                <w:bCs/>
                <w:color w:val="0070C0"/>
                <w:sz w:val="19"/>
                <w:szCs w:val="19"/>
              </w:rPr>
            </w:r>
            <w:r w:rsidRPr="00C31D3F">
              <w:rPr>
                <w:rFonts w:cs="Arial"/>
                <w:b/>
                <w:bCs/>
                <w:color w:val="0070C0"/>
                <w:sz w:val="19"/>
                <w:szCs w:val="19"/>
              </w:rPr>
              <w:fldChar w:fldCharType="separate"/>
            </w:r>
            <w:r w:rsidRPr="00C31D3F">
              <w:rPr>
                <w:rFonts w:cs="Arial"/>
                <w:b/>
                <w:bCs/>
                <w:color w:val="0070C0"/>
                <w:sz w:val="19"/>
                <w:szCs w:val="19"/>
              </w:rPr>
              <w:t>INCOME AND ADJUSTED INCOME</w:t>
            </w:r>
            <w:r w:rsidRPr="00C31D3F">
              <w:rPr>
                <w:rFonts w:cs="Arial"/>
                <w:b/>
                <w:bCs/>
                <w:color w:val="0070C0"/>
                <w:sz w:val="19"/>
                <w:szCs w:val="19"/>
              </w:rPr>
              <w:fldChar w:fldCharType="end"/>
            </w:r>
          </w:p>
          <w:p w14:paraId="5FEAF857" w14:textId="2F9B9894" w:rsidR="00C42528" w:rsidRPr="00C31D3F" w:rsidRDefault="00C42528" w:rsidP="00CB52D8">
            <w:pPr>
              <w:pStyle w:val="ListParagraph"/>
              <w:numPr>
                <w:ilvl w:val="0"/>
                <w:numId w:val="75"/>
              </w:numPr>
              <w:spacing w:before="60" w:after="60"/>
              <w:ind w:left="217" w:hanging="217"/>
              <w:contextualSpacing w:val="0"/>
              <w:jc w:val="left"/>
              <w:rPr>
                <w:rFonts w:cs="Arial"/>
                <w:b/>
                <w:bCs/>
                <w:color w:val="0070C0"/>
                <w:sz w:val="19"/>
                <w:szCs w:val="19"/>
              </w:rPr>
            </w:pPr>
            <w:r w:rsidRPr="00C31D3F">
              <w:rPr>
                <w:rFonts w:cs="Arial"/>
                <w:b/>
                <w:bCs/>
                <w:color w:val="0070C0"/>
                <w:sz w:val="19"/>
                <w:szCs w:val="19"/>
              </w:rPr>
              <w:fldChar w:fldCharType="begin"/>
            </w:r>
            <w:r w:rsidRPr="00C31D3F">
              <w:rPr>
                <w:rFonts w:cs="Arial"/>
                <w:b/>
                <w:bCs/>
                <w:color w:val="0070C0"/>
                <w:sz w:val="19"/>
                <w:szCs w:val="19"/>
              </w:rPr>
              <w:instrText xml:space="preserve"> REF _Ref160538693 \w \h  \* MERGEFORMAT </w:instrText>
            </w:r>
            <w:r w:rsidRPr="00C31D3F">
              <w:rPr>
                <w:rFonts w:cs="Arial"/>
                <w:b/>
                <w:bCs/>
                <w:color w:val="0070C0"/>
                <w:sz w:val="19"/>
                <w:szCs w:val="19"/>
              </w:rPr>
            </w:r>
            <w:r w:rsidRPr="00C31D3F">
              <w:rPr>
                <w:rFonts w:cs="Arial"/>
                <w:b/>
                <w:bCs/>
                <w:color w:val="0070C0"/>
                <w:sz w:val="19"/>
                <w:szCs w:val="19"/>
              </w:rPr>
              <w:fldChar w:fldCharType="separate"/>
            </w:r>
            <w:r w:rsidRPr="00C31D3F">
              <w:rPr>
                <w:rFonts w:cs="Arial"/>
                <w:b/>
                <w:bCs/>
                <w:color w:val="0070C0"/>
                <w:sz w:val="19"/>
                <w:szCs w:val="19"/>
              </w:rPr>
              <w:t>CHAPTER 12:</w:t>
            </w:r>
            <w:r w:rsidRPr="00C31D3F">
              <w:rPr>
                <w:rFonts w:cs="Arial"/>
                <w:b/>
                <w:bCs/>
                <w:color w:val="0070C0"/>
                <w:sz w:val="19"/>
                <w:szCs w:val="19"/>
              </w:rPr>
              <w:fldChar w:fldCharType="end"/>
            </w:r>
            <w:r w:rsidRPr="00C31D3F">
              <w:rPr>
                <w:rFonts w:cs="Arial"/>
                <w:b/>
                <w:bCs/>
                <w:color w:val="0070C0"/>
                <w:sz w:val="19"/>
                <w:szCs w:val="19"/>
              </w:rPr>
              <w:t xml:space="preserve"> </w:t>
            </w:r>
            <w:r w:rsidRPr="00C31D3F">
              <w:rPr>
                <w:rFonts w:cs="Arial"/>
                <w:b/>
                <w:bCs/>
                <w:color w:val="0070C0"/>
                <w:sz w:val="19"/>
                <w:szCs w:val="19"/>
              </w:rPr>
              <w:fldChar w:fldCharType="begin"/>
            </w:r>
            <w:r w:rsidRPr="00C31D3F">
              <w:rPr>
                <w:rFonts w:cs="Arial"/>
                <w:b/>
                <w:bCs/>
                <w:color w:val="0070C0"/>
                <w:sz w:val="19"/>
                <w:szCs w:val="19"/>
              </w:rPr>
              <w:instrText xml:space="preserve"> REF _Ref160538693 \h  \* MERGEFORMAT </w:instrText>
            </w:r>
            <w:r w:rsidRPr="00C31D3F">
              <w:rPr>
                <w:rFonts w:cs="Arial"/>
                <w:b/>
                <w:bCs/>
                <w:color w:val="0070C0"/>
                <w:sz w:val="19"/>
                <w:szCs w:val="19"/>
              </w:rPr>
            </w:r>
            <w:r w:rsidRPr="00C31D3F">
              <w:rPr>
                <w:rFonts w:cs="Arial"/>
                <w:b/>
                <w:bCs/>
                <w:color w:val="0070C0"/>
                <w:sz w:val="19"/>
                <w:szCs w:val="19"/>
              </w:rPr>
              <w:fldChar w:fldCharType="separate"/>
            </w:r>
            <w:r w:rsidRPr="00C31D3F">
              <w:rPr>
                <w:rFonts w:cs="Arial"/>
                <w:b/>
                <w:bCs/>
                <w:color w:val="0070C0"/>
                <w:sz w:val="19"/>
                <w:szCs w:val="19"/>
              </w:rPr>
              <w:t>RENT</w:t>
            </w:r>
            <w:r w:rsidRPr="00C31D3F">
              <w:rPr>
                <w:rFonts w:cs="Arial"/>
                <w:b/>
                <w:bCs/>
                <w:color w:val="0070C0"/>
                <w:sz w:val="19"/>
                <w:szCs w:val="19"/>
              </w:rPr>
              <w:fldChar w:fldCharType="end"/>
            </w:r>
          </w:p>
          <w:p w14:paraId="224B4AFB" w14:textId="149E02DC" w:rsidR="006B66F8" w:rsidRPr="00C31D3F" w:rsidRDefault="00C42528" w:rsidP="00CB52D8">
            <w:pPr>
              <w:pStyle w:val="ListParagraph"/>
              <w:numPr>
                <w:ilvl w:val="0"/>
                <w:numId w:val="75"/>
              </w:numPr>
              <w:spacing w:before="60" w:after="60"/>
              <w:ind w:left="217" w:hanging="217"/>
              <w:contextualSpacing w:val="0"/>
              <w:jc w:val="left"/>
              <w:rPr>
                <w:rFonts w:cs="Arial"/>
                <w:b/>
                <w:bCs/>
                <w:color w:val="0070C0"/>
                <w:sz w:val="19"/>
                <w:szCs w:val="19"/>
              </w:rPr>
            </w:pPr>
            <w:r w:rsidRPr="00C31D3F">
              <w:rPr>
                <w:rFonts w:cs="Arial"/>
                <w:b/>
                <w:bCs/>
                <w:color w:val="0070C0"/>
                <w:sz w:val="19"/>
                <w:szCs w:val="19"/>
              </w:rPr>
              <w:fldChar w:fldCharType="begin"/>
            </w:r>
            <w:r w:rsidRPr="00C31D3F">
              <w:rPr>
                <w:rFonts w:cs="Arial"/>
                <w:b/>
                <w:bCs/>
                <w:color w:val="0070C0"/>
                <w:sz w:val="19"/>
                <w:szCs w:val="19"/>
              </w:rPr>
              <w:instrText xml:space="preserve"> REF _Ref148701954 \h  \* MERGEFORMAT </w:instrText>
            </w:r>
            <w:r w:rsidRPr="00C31D3F">
              <w:rPr>
                <w:rFonts w:cs="Arial"/>
                <w:b/>
                <w:bCs/>
                <w:color w:val="0070C0"/>
                <w:sz w:val="19"/>
                <w:szCs w:val="19"/>
              </w:rPr>
            </w:r>
            <w:r w:rsidRPr="00C31D3F">
              <w:rPr>
                <w:rFonts w:cs="Arial"/>
                <w:b/>
                <w:bCs/>
                <w:color w:val="0070C0"/>
                <w:sz w:val="19"/>
                <w:szCs w:val="19"/>
              </w:rPr>
              <w:fldChar w:fldCharType="separate"/>
            </w:r>
            <w:r w:rsidRPr="00C31D3F">
              <w:rPr>
                <w:rFonts w:cs="Arial"/>
                <w:b/>
                <w:bCs/>
                <w:color w:val="0070C0"/>
                <w:sz w:val="19"/>
                <w:szCs w:val="19"/>
              </w:rPr>
              <w:t>APPENDIX E: TIERED RENT TABLE</w:t>
            </w:r>
            <w:r w:rsidRPr="00C31D3F">
              <w:rPr>
                <w:rFonts w:cs="Arial"/>
                <w:b/>
                <w:bCs/>
                <w:color w:val="0070C0"/>
                <w:sz w:val="19"/>
                <w:szCs w:val="19"/>
              </w:rPr>
              <w:fldChar w:fldCharType="end"/>
            </w:r>
          </w:p>
        </w:tc>
        <w:tc>
          <w:tcPr>
            <w:tcW w:w="1980" w:type="dxa"/>
            <w:vAlign w:val="center"/>
          </w:tcPr>
          <w:p w14:paraId="0007F622" w14:textId="7CEFD56E" w:rsidR="00C31D3F" w:rsidRDefault="00C31D3F" w:rsidP="00CB52D8">
            <w:pPr>
              <w:pStyle w:val="ListParagraph"/>
              <w:numPr>
                <w:ilvl w:val="0"/>
                <w:numId w:val="75"/>
              </w:numPr>
              <w:spacing w:before="60" w:after="60"/>
              <w:ind w:left="217" w:hanging="217"/>
              <w:contextualSpacing w:val="0"/>
              <w:jc w:val="left"/>
              <w:rPr>
                <w:rFonts w:cs="Arial"/>
                <w:b/>
                <w:bCs/>
                <w:color w:val="0070C0"/>
                <w:sz w:val="19"/>
                <w:szCs w:val="19"/>
              </w:rPr>
            </w:pPr>
            <w:r w:rsidRPr="00C31D3F">
              <w:rPr>
                <w:rFonts w:cs="Arial"/>
                <w:b/>
                <w:bCs/>
                <w:color w:val="0070C0"/>
                <w:sz w:val="19"/>
                <w:szCs w:val="19"/>
              </w:rPr>
              <w:fldChar w:fldCharType="begin"/>
            </w:r>
            <w:r w:rsidRPr="00C31D3F">
              <w:rPr>
                <w:rFonts w:cs="Arial"/>
                <w:b/>
                <w:bCs/>
                <w:color w:val="0070C0"/>
                <w:sz w:val="19"/>
                <w:szCs w:val="19"/>
              </w:rPr>
              <w:instrText xml:space="preserve"> REF _Ref165033820 \w \h  \* MERGEFORMAT </w:instrText>
            </w:r>
            <w:r w:rsidRPr="00C31D3F">
              <w:rPr>
                <w:rFonts w:cs="Arial"/>
                <w:b/>
                <w:bCs/>
                <w:color w:val="0070C0"/>
                <w:sz w:val="19"/>
                <w:szCs w:val="19"/>
              </w:rPr>
            </w:r>
            <w:r w:rsidRPr="00C31D3F">
              <w:rPr>
                <w:rFonts w:cs="Arial"/>
                <w:b/>
                <w:bCs/>
                <w:color w:val="0070C0"/>
                <w:sz w:val="19"/>
                <w:szCs w:val="19"/>
              </w:rPr>
              <w:fldChar w:fldCharType="separate"/>
            </w:r>
            <w:r w:rsidRPr="00C31D3F">
              <w:rPr>
                <w:rFonts w:cs="Arial"/>
                <w:b/>
                <w:bCs/>
                <w:color w:val="0070C0"/>
                <w:sz w:val="19"/>
                <w:szCs w:val="19"/>
              </w:rPr>
              <w:t>2.2</w:t>
            </w:r>
            <w:r w:rsidRPr="00C31D3F">
              <w:rPr>
                <w:rFonts w:cs="Arial"/>
                <w:b/>
                <w:bCs/>
                <w:color w:val="0070C0"/>
                <w:sz w:val="19"/>
                <w:szCs w:val="19"/>
              </w:rPr>
              <w:fldChar w:fldCharType="end"/>
            </w:r>
            <w:r w:rsidRPr="00C31D3F">
              <w:rPr>
                <w:rFonts w:cs="Arial"/>
                <w:b/>
                <w:bCs/>
                <w:color w:val="0070C0"/>
                <w:sz w:val="19"/>
                <w:szCs w:val="19"/>
              </w:rPr>
              <w:t xml:space="preserve"> </w:t>
            </w:r>
            <w:r w:rsidRPr="00C31D3F">
              <w:rPr>
                <w:rFonts w:cs="Arial"/>
                <w:b/>
                <w:bCs/>
                <w:color w:val="0070C0"/>
                <w:sz w:val="19"/>
                <w:szCs w:val="19"/>
              </w:rPr>
              <w:fldChar w:fldCharType="begin"/>
            </w:r>
            <w:r w:rsidRPr="00C31D3F">
              <w:rPr>
                <w:rFonts w:cs="Arial"/>
                <w:b/>
                <w:bCs/>
                <w:color w:val="0070C0"/>
                <w:sz w:val="19"/>
                <w:szCs w:val="19"/>
              </w:rPr>
              <w:instrText xml:space="preserve"> REF _Ref165033834 \h  \* MERGEFORMAT </w:instrText>
            </w:r>
            <w:r w:rsidRPr="00C31D3F">
              <w:rPr>
                <w:rFonts w:cs="Arial"/>
                <w:b/>
                <w:bCs/>
                <w:color w:val="0070C0"/>
                <w:sz w:val="19"/>
                <w:szCs w:val="19"/>
              </w:rPr>
            </w:r>
            <w:r w:rsidRPr="00C31D3F">
              <w:rPr>
                <w:rFonts w:cs="Arial"/>
                <w:b/>
                <w:bCs/>
                <w:color w:val="0070C0"/>
                <w:sz w:val="19"/>
                <w:szCs w:val="19"/>
              </w:rPr>
              <w:fldChar w:fldCharType="separate"/>
            </w:r>
            <w:r w:rsidRPr="00C31D3F">
              <w:rPr>
                <w:b/>
                <w:bCs/>
                <w:color w:val="0070C0"/>
                <w:sz w:val="19"/>
                <w:szCs w:val="19"/>
              </w:rPr>
              <w:t>MTW Tiered Rent Policy</w:t>
            </w:r>
            <w:r w:rsidRPr="00C31D3F">
              <w:rPr>
                <w:rFonts w:cs="Arial"/>
                <w:b/>
                <w:bCs/>
                <w:color w:val="0070C0"/>
                <w:sz w:val="19"/>
                <w:szCs w:val="19"/>
              </w:rPr>
              <w:fldChar w:fldCharType="end"/>
            </w:r>
          </w:p>
          <w:p w14:paraId="4750B45D" w14:textId="00E2DE33" w:rsidR="00DD49EE" w:rsidRPr="002E768C" w:rsidRDefault="002E768C" w:rsidP="00CB52D8">
            <w:pPr>
              <w:pStyle w:val="ListParagraph"/>
              <w:numPr>
                <w:ilvl w:val="0"/>
                <w:numId w:val="75"/>
              </w:numPr>
              <w:spacing w:before="60" w:after="60"/>
              <w:ind w:left="217" w:hanging="217"/>
              <w:contextualSpacing w:val="0"/>
              <w:jc w:val="left"/>
              <w:rPr>
                <w:rFonts w:cs="Arial"/>
                <w:b/>
                <w:bCs/>
                <w:color w:val="0070C0"/>
                <w:sz w:val="19"/>
                <w:szCs w:val="19"/>
              </w:rPr>
            </w:pPr>
            <w:r w:rsidRPr="002E768C">
              <w:rPr>
                <w:rFonts w:cs="Arial"/>
                <w:b/>
                <w:bCs/>
                <w:color w:val="0070C0"/>
                <w:sz w:val="19"/>
                <w:szCs w:val="19"/>
              </w:rPr>
              <w:fldChar w:fldCharType="begin"/>
            </w:r>
            <w:r w:rsidRPr="002E768C">
              <w:rPr>
                <w:rFonts w:cs="Arial"/>
                <w:b/>
                <w:bCs/>
                <w:color w:val="0070C0"/>
                <w:sz w:val="19"/>
                <w:szCs w:val="19"/>
              </w:rPr>
              <w:instrText xml:space="preserve"> REF _Ref165034848 \w \h  \* MERGEFORMAT </w:instrText>
            </w:r>
            <w:r w:rsidRPr="002E768C">
              <w:rPr>
                <w:rFonts w:cs="Arial"/>
                <w:b/>
                <w:bCs/>
                <w:color w:val="0070C0"/>
                <w:sz w:val="19"/>
                <w:szCs w:val="19"/>
              </w:rPr>
            </w:r>
            <w:r w:rsidRPr="002E768C">
              <w:rPr>
                <w:rFonts w:cs="Arial"/>
                <w:b/>
                <w:bCs/>
                <w:color w:val="0070C0"/>
                <w:sz w:val="19"/>
                <w:szCs w:val="19"/>
              </w:rPr>
              <w:fldChar w:fldCharType="separate"/>
            </w:r>
            <w:r w:rsidRPr="002E768C">
              <w:rPr>
                <w:rFonts w:cs="Arial"/>
                <w:b/>
                <w:bCs/>
                <w:color w:val="0070C0"/>
                <w:sz w:val="19"/>
                <w:szCs w:val="19"/>
              </w:rPr>
              <w:t>10.4.2</w:t>
            </w:r>
            <w:r w:rsidRPr="002E768C">
              <w:rPr>
                <w:rFonts w:cs="Arial"/>
                <w:b/>
                <w:bCs/>
                <w:color w:val="0070C0"/>
                <w:sz w:val="19"/>
                <w:szCs w:val="19"/>
              </w:rPr>
              <w:fldChar w:fldCharType="end"/>
            </w:r>
            <w:r w:rsidRPr="002E768C">
              <w:rPr>
                <w:rFonts w:cs="Arial"/>
                <w:b/>
                <w:bCs/>
                <w:color w:val="0070C0"/>
                <w:sz w:val="19"/>
                <w:szCs w:val="19"/>
              </w:rPr>
              <w:t xml:space="preserve"> </w:t>
            </w:r>
            <w:r w:rsidRPr="002E768C">
              <w:rPr>
                <w:rFonts w:cs="Arial"/>
                <w:b/>
                <w:bCs/>
                <w:color w:val="0070C0"/>
                <w:sz w:val="19"/>
                <w:szCs w:val="19"/>
              </w:rPr>
              <w:fldChar w:fldCharType="begin"/>
            </w:r>
            <w:r w:rsidRPr="002E768C">
              <w:rPr>
                <w:rFonts w:cs="Arial"/>
                <w:b/>
                <w:bCs/>
                <w:color w:val="0070C0"/>
                <w:sz w:val="19"/>
                <w:szCs w:val="19"/>
              </w:rPr>
              <w:instrText xml:space="preserve"> REF _Ref165034848 \h  \* MERGEFORMAT </w:instrText>
            </w:r>
            <w:r w:rsidRPr="002E768C">
              <w:rPr>
                <w:rFonts w:cs="Arial"/>
                <w:b/>
                <w:bCs/>
                <w:color w:val="0070C0"/>
                <w:sz w:val="19"/>
                <w:szCs w:val="19"/>
              </w:rPr>
            </w:r>
            <w:r w:rsidRPr="002E768C">
              <w:rPr>
                <w:rFonts w:cs="Arial"/>
                <w:b/>
                <w:bCs/>
                <w:color w:val="0070C0"/>
                <w:sz w:val="19"/>
                <w:szCs w:val="19"/>
              </w:rPr>
              <w:fldChar w:fldCharType="separate"/>
            </w:r>
            <w:r w:rsidRPr="002E768C">
              <w:rPr>
                <w:b/>
                <w:bCs/>
                <w:color w:val="0070C0"/>
                <w:sz w:val="19"/>
                <w:szCs w:val="19"/>
              </w:rPr>
              <w:t>Income at Regular Recertifications: Retrospective Income</w:t>
            </w:r>
            <w:r w:rsidRPr="002E768C">
              <w:rPr>
                <w:rFonts w:cs="Arial"/>
                <w:b/>
                <w:bCs/>
                <w:color w:val="0070C0"/>
                <w:sz w:val="19"/>
                <w:szCs w:val="19"/>
              </w:rPr>
              <w:fldChar w:fldCharType="end"/>
            </w:r>
          </w:p>
          <w:p w14:paraId="22404B34" w14:textId="33468900" w:rsidR="006B66F8" w:rsidRDefault="00C46B4F" w:rsidP="00CB52D8">
            <w:pPr>
              <w:pStyle w:val="ListParagraph"/>
              <w:numPr>
                <w:ilvl w:val="0"/>
                <w:numId w:val="75"/>
              </w:numPr>
              <w:spacing w:before="60" w:after="60"/>
              <w:ind w:left="217" w:hanging="217"/>
              <w:contextualSpacing w:val="0"/>
              <w:jc w:val="left"/>
              <w:rPr>
                <w:rFonts w:cs="Arial"/>
                <w:b/>
                <w:bCs/>
                <w:color w:val="0070C0"/>
                <w:sz w:val="19"/>
                <w:szCs w:val="19"/>
              </w:rPr>
            </w:pPr>
            <w:r w:rsidRPr="00C31D3F">
              <w:rPr>
                <w:rFonts w:cs="Arial"/>
                <w:b/>
                <w:bCs/>
                <w:color w:val="0070C0"/>
                <w:sz w:val="19"/>
                <w:szCs w:val="19"/>
              </w:rPr>
              <w:fldChar w:fldCharType="begin"/>
            </w:r>
            <w:r w:rsidRPr="00C31D3F">
              <w:rPr>
                <w:rFonts w:cs="Arial"/>
                <w:b/>
                <w:bCs/>
                <w:color w:val="0070C0"/>
                <w:sz w:val="19"/>
                <w:szCs w:val="19"/>
              </w:rPr>
              <w:instrText xml:space="preserve"> REF _Ref165031725 \w \h </w:instrText>
            </w:r>
            <w:r w:rsidR="003E7210" w:rsidRPr="00C31D3F">
              <w:rPr>
                <w:rFonts w:cs="Arial"/>
                <w:b/>
                <w:bCs/>
                <w:color w:val="0070C0"/>
                <w:sz w:val="19"/>
                <w:szCs w:val="19"/>
              </w:rPr>
              <w:instrText xml:space="preserve"> \* MERGEFORMAT </w:instrText>
            </w:r>
            <w:r w:rsidRPr="00C31D3F">
              <w:rPr>
                <w:rFonts w:cs="Arial"/>
                <w:b/>
                <w:bCs/>
                <w:color w:val="0070C0"/>
                <w:sz w:val="19"/>
                <w:szCs w:val="19"/>
              </w:rPr>
            </w:r>
            <w:r w:rsidRPr="00C31D3F">
              <w:rPr>
                <w:rFonts w:cs="Arial"/>
                <w:b/>
                <w:bCs/>
                <w:color w:val="0070C0"/>
                <w:sz w:val="19"/>
                <w:szCs w:val="19"/>
              </w:rPr>
              <w:fldChar w:fldCharType="separate"/>
            </w:r>
            <w:r w:rsidRPr="00C31D3F">
              <w:rPr>
                <w:rFonts w:cs="Arial"/>
                <w:b/>
                <w:bCs/>
                <w:color w:val="0070C0"/>
                <w:sz w:val="19"/>
                <w:szCs w:val="19"/>
              </w:rPr>
              <w:t>12.3</w:t>
            </w:r>
            <w:r w:rsidRPr="00C31D3F">
              <w:rPr>
                <w:rFonts w:cs="Arial"/>
                <w:b/>
                <w:bCs/>
                <w:color w:val="0070C0"/>
                <w:sz w:val="19"/>
                <w:szCs w:val="19"/>
              </w:rPr>
              <w:fldChar w:fldCharType="end"/>
            </w:r>
            <w:r w:rsidR="00A46856" w:rsidRPr="00C31D3F">
              <w:rPr>
                <w:rFonts w:cs="Arial"/>
                <w:b/>
                <w:bCs/>
                <w:color w:val="0070C0"/>
                <w:sz w:val="19"/>
                <w:szCs w:val="19"/>
              </w:rPr>
              <w:t xml:space="preserve"> </w:t>
            </w:r>
            <w:r w:rsidRPr="00C31D3F">
              <w:rPr>
                <w:rFonts w:cs="Arial"/>
                <w:b/>
                <w:bCs/>
                <w:color w:val="0070C0"/>
                <w:sz w:val="19"/>
                <w:szCs w:val="19"/>
              </w:rPr>
              <w:fldChar w:fldCharType="begin"/>
            </w:r>
            <w:r w:rsidRPr="00C31D3F">
              <w:rPr>
                <w:rFonts w:cs="Arial"/>
                <w:b/>
                <w:bCs/>
                <w:color w:val="0070C0"/>
                <w:sz w:val="19"/>
                <w:szCs w:val="19"/>
              </w:rPr>
              <w:instrText xml:space="preserve"> REF _Ref165031697 \h  \* MERGEFORMAT </w:instrText>
            </w:r>
            <w:r w:rsidRPr="00C31D3F">
              <w:rPr>
                <w:rFonts w:cs="Arial"/>
                <w:b/>
                <w:bCs/>
                <w:color w:val="0070C0"/>
                <w:sz w:val="19"/>
                <w:szCs w:val="19"/>
              </w:rPr>
            </w:r>
            <w:r w:rsidRPr="00C31D3F">
              <w:rPr>
                <w:rFonts w:cs="Arial"/>
                <w:b/>
                <w:bCs/>
                <w:color w:val="0070C0"/>
                <w:sz w:val="19"/>
                <w:szCs w:val="19"/>
              </w:rPr>
              <w:fldChar w:fldCharType="separate"/>
            </w:r>
            <w:r w:rsidRPr="00C31D3F">
              <w:rPr>
                <w:rFonts w:cs="Arial"/>
                <w:b/>
                <w:bCs/>
                <w:color w:val="0070C0"/>
                <w:sz w:val="19"/>
                <w:szCs w:val="19"/>
              </w:rPr>
              <w:t>Treatment Group</w:t>
            </w:r>
            <w:r w:rsidRPr="00C31D3F">
              <w:rPr>
                <w:rFonts w:cs="Arial"/>
                <w:b/>
                <w:bCs/>
                <w:color w:val="0070C0"/>
                <w:sz w:val="19"/>
                <w:szCs w:val="19"/>
              </w:rPr>
              <w:fldChar w:fldCharType="end"/>
            </w:r>
            <w:r w:rsidR="002E768C">
              <w:rPr>
                <w:rFonts w:cs="Arial"/>
                <w:b/>
                <w:bCs/>
                <w:color w:val="0070C0"/>
                <w:sz w:val="19"/>
                <w:szCs w:val="19"/>
              </w:rPr>
              <w:t xml:space="preserve"> </w:t>
            </w:r>
          </w:p>
          <w:p w14:paraId="710A9F2C" w14:textId="30B539B4" w:rsidR="0073415F" w:rsidRPr="00C31D3F" w:rsidRDefault="0073415F" w:rsidP="00CB52D8">
            <w:pPr>
              <w:pStyle w:val="ListParagraph"/>
              <w:numPr>
                <w:ilvl w:val="0"/>
                <w:numId w:val="75"/>
              </w:numPr>
              <w:spacing w:before="60" w:after="60"/>
              <w:ind w:left="217" w:hanging="217"/>
              <w:contextualSpacing w:val="0"/>
              <w:jc w:val="left"/>
              <w:rPr>
                <w:rFonts w:cs="Arial"/>
                <w:b/>
                <w:bCs/>
                <w:color w:val="0070C0"/>
                <w:sz w:val="19"/>
                <w:szCs w:val="19"/>
              </w:rPr>
            </w:pPr>
            <w:r w:rsidRPr="00C31D3F">
              <w:rPr>
                <w:rFonts w:cs="Arial"/>
                <w:b/>
                <w:bCs/>
                <w:color w:val="0070C0"/>
                <w:sz w:val="19"/>
                <w:szCs w:val="19"/>
              </w:rPr>
              <w:fldChar w:fldCharType="begin"/>
            </w:r>
            <w:r w:rsidRPr="00C31D3F">
              <w:rPr>
                <w:rFonts w:cs="Arial"/>
                <w:b/>
                <w:bCs/>
                <w:color w:val="0070C0"/>
                <w:sz w:val="19"/>
                <w:szCs w:val="19"/>
              </w:rPr>
              <w:instrText xml:space="preserve"> REF _Ref148701954 \h  \* MERGEFORMAT </w:instrText>
            </w:r>
            <w:r w:rsidRPr="00C31D3F">
              <w:rPr>
                <w:rFonts w:cs="Arial"/>
                <w:b/>
                <w:bCs/>
                <w:color w:val="0070C0"/>
                <w:sz w:val="19"/>
                <w:szCs w:val="19"/>
              </w:rPr>
            </w:r>
            <w:r w:rsidRPr="00C31D3F">
              <w:rPr>
                <w:rFonts w:cs="Arial"/>
                <w:b/>
                <w:bCs/>
                <w:color w:val="0070C0"/>
                <w:sz w:val="19"/>
                <w:szCs w:val="19"/>
              </w:rPr>
              <w:fldChar w:fldCharType="separate"/>
            </w:r>
            <w:r w:rsidRPr="00C31D3F">
              <w:rPr>
                <w:rFonts w:cs="Arial"/>
                <w:b/>
                <w:bCs/>
                <w:color w:val="0070C0"/>
                <w:sz w:val="19"/>
                <w:szCs w:val="19"/>
              </w:rPr>
              <w:t>APPENDIX E: TIERED RENT TABLE</w:t>
            </w:r>
            <w:r w:rsidRPr="00C31D3F">
              <w:rPr>
                <w:rFonts w:cs="Arial"/>
                <w:b/>
                <w:bCs/>
                <w:color w:val="0070C0"/>
                <w:sz w:val="19"/>
                <w:szCs w:val="19"/>
              </w:rPr>
              <w:fldChar w:fldCharType="end"/>
            </w:r>
            <w:r w:rsidR="00DD49EE">
              <w:rPr>
                <w:rFonts w:cs="Arial"/>
                <w:b/>
                <w:bCs/>
                <w:color w:val="0070C0"/>
                <w:sz w:val="19"/>
                <w:szCs w:val="19"/>
              </w:rPr>
              <w:t xml:space="preserve"> </w:t>
            </w:r>
          </w:p>
        </w:tc>
        <w:tc>
          <w:tcPr>
            <w:tcW w:w="1350" w:type="dxa"/>
            <w:vAlign w:val="center"/>
          </w:tcPr>
          <w:p w14:paraId="3F894BC0" w14:textId="77777777" w:rsidR="006B66F8" w:rsidRPr="00A46856" w:rsidRDefault="006B66F8" w:rsidP="00B35D5E">
            <w:pPr>
              <w:spacing w:before="60" w:after="60"/>
              <w:jc w:val="left"/>
              <w:rPr>
                <w:rFonts w:cs="Arial"/>
                <w:sz w:val="19"/>
                <w:szCs w:val="19"/>
              </w:rPr>
            </w:pPr>
            <w:r w:rsidRPr="00A46856">
              <w:rPr>
                <w:rFonts w:cs="Arial"/>
                <w:sz w:val="19"/>
                <w:szCs w:val="19"/>
              </w:rPr>
              <w:t>MTW – Treatment Group only</w:t>
            </w:r>
          </w:p>
        </w:tc>
      </w:tr>
      <w:tr w:rsidR="00A46856" w:rsidRPr="00A46856" w14:paraId="4FD2F249" w14:textId="77777777" w:rsidTr="00A46856">
        <w:tc>
          <w:tcPr>
            <w:tcW w:w="985" w:type="dxa"/>
            <w:vAlign w:val="center"/>
          </w:tcPr>
          <w:p w14:paraId="5D293FF4" w14:textId="77777777" w:rsidR="006B66F8" w:rsidRPr="00A46856" w:rsidRDefault="006B66F8" w:rsidP="00B35D5E">
            <w:pPr>
              <w:spacing w:before="60" w:after="60"/>
              <w:jc w:val="left"/>
              <w:rPr>
                <w:rFonts w:cs="Arial"/>
                <w:sz w:val="19"/>
                <w:szCs w:val="19"/>
              </w:rPr>
            </w:pPr>
            <w:r w:rsidRPr="00A46856">
              <w:rPr>
                <w:rFonts w:eastAsia="Times New Roman" w:cs="Arial"/>
                <w:color w:val="000000"/>
                <w:kern w:val="0"/>
                <w:sz w:val="19"/>
                <w:szCs w:val="19"/>
                <w14:ligatures w14:val="none"/>
              </w:rPr>
              <w:t>1.s.</w:t>
            </w:r>
          </w:p>
        </w:tc>
        <w:tc>
          <w:tcPr>
            <w:tcW w:w="1800" w:type="dxa"/>
            <w:vAlign w:val="center"/>
          </w:tcPr>
          <w:p w14:paraId="128763A9" w14:textId="77777777" w:rsidR="006B66F8" w:rsidRPr="00A46856" w:rsidRDefault="006B66F8" w:rsidP="00B35D5E">
            <w:pPr>
              <w:spacing w:before="60" w:after="60"/>
              <w:jc w:val="left"/>
              <w:rPr>
                <w:rFonts w:cs="Arial"/>
                <w:sz w:val="19"/>
                <w:szCs w:val="19"/>
              </w:rPr>
            </w:pPr>
            <w:r w:rsidRPr="00A46856">
              <w:rPr>
                <w:rFonts w:cs="Arial"/>
                <w:sz w:val="19"/>
                <w:szCs w:val="19"/>
              </w:rPr>
              <w:t>Elimination of Deductions</w:t>
            </w:r>
          </w:p>
        </w:tc>
        <w:tc>
          <w:tcPr>
            <w:tcW w:w="1170" w:type="dxa"/>
            <w:vAlign w:val="center"/>
          </w:tcPr>
          <w:p w14:paraId="6F071313" w14:textId="77777777" w:rsidR="006B66F8" w:rsidRPr="00A46856" w:rsidRDefault="006B66F8" w:rsidP="00B35D5E">
            <w:pPr>
              <w:spacing w:before="60" w:after="60"/>
              <w:jc w:val="left"/>
              <w:rPr>
                <w:rFonts w:cs="Arial"/>
                <w:sz w:val="19"/>
                <w:szCs w:val="19"/>
              </w:rPr>
            </w:pPr>
            <w:r w:rsidRPr="00A46856">
              <w:rPr>
                <w:rFonts w:cs="Arial"/>
                <w:sz w:val="19"/>
                <w:szCs w:val="19"/>
              </w:rPr>
              <w:t>FY 2022</w:t>
            </w:r>
          </w:p>
        </w:tc>
        <w:tc>
          <w:tcPr>
            <w:tcW w:w="2160" w:type="dxa"/>
            <w:vAlign w:val="center"/>
          </w:tcPr>
          <w:p w14:paraId="1AB4B9C9" w14:textId="77777777" w:rsidR="006B66F8" w:rsidRPr="00A46856" w:rsidRDefault="00C46B4F" w:rsidP="00CB52D8">
            <w:pPr>
              <w:pStyle w:val="ListParagraph"/>
              <w:numPr>
                <w:ilvl w:val="0"/>
                <w:numId w:val="75"/>
              </w:numPr>
              <w:spacing w:before="60" w:after="60"/>
              <w:ind w:left="217" w:hanging="217"/>
              <w:contextualSpacing w:val="0"/>
              <w:jc w:val="left"/>
              <w:rPr>
                <w:rFonts w:cs="Arial"/>
                <w:b/>
                <w:bCs/>
                <w:color w:val="0070C0"/>
                <w:sz w:val="19"/>
                <w:szCs w:val="19"/>
              </w:rPr>
            </w:pPr>
            <w:r w:rsidRPr="00A46856">
              <w:rPr>
                <w:rFonts w:cs="Arial"/>
                <w:b/>
                <w:bCs/>
                <w:color w:val="0070C0"/>
                <w:sz w:val="19"/>
                <w:szCs w:val="19"/>
              </w:rPr>
              <w:fldChar w:fldCharType="begin"/>
            </w:r>
            <w:r w:rsidRPr="00A46856">
              <w:rPr>
                <w:rFonts w:cs="Arial"/>
                <w:b/>
                <w:bCs/>
                <w:color w:val="0070C0"/>
                <w:sz w:val="19"/>
                <w:szCs w:val="19"/>
              </w:rPr>
              <w:instrText xml:space="preserve"> REF _Ref154565697 \w \h  \* MERGEFORMAT </w:instrText>
            </w:r>
            <w:r w:rsidRPr="00A46856">
              <w:rPr>
                <w:rFonts w:cs="Arial"/>
                <w:b/>
                <w:bCs/>
                <w:color w:val="0070C0"/>
                <w:sz w:val="19"/>
                <w:szCs w:val="19"/>
              </w:rPr>
            </w:r>
            <w:r w:rsidRPr="00A46856">
              <w:rPr>
                <w:rFonts w:cs="Arial"/>
                <w:b/>
                <w:bCs/>
                <w:color w:val="0070C0"/>
                <w:sz w:val="19"/>
                <w:szCs w:val="19"/>
              </w:rPr>
              <w:fldChar w:fldCharType="separate"/>
            </w:r>
            <w:r w:rsidRPr="00A46856">
              <w:rPr>
                <w:rFonts w:cs="Arial"/>
                <w:b/>
                <w:bCs/>
                <w:color w:val="0070C0"/>
                <w:sz w:val="19"/>
                <w:szCs w:val="19"/>
              </w:rPr>
              <w:t>CHAPTER 10:</w:t>
            </w:r>
            <w:r w:rsidRPr="00A46856">
              <w:rPr>
                <w:rFonts w:cs="Arial"/>
                <w:b/>
                <w:bCs/>
                <w:color w:val="0070C0"/>
                <w:sz w:val="19"/>
                <w:szCs w:val="19"/>
              </w:rPr>
              <w:fldChar w:fldCharType="end"/>
            </w:r>
            <w:r w:rsidRPr="00A46856">
              <w:rPr>
                <w:rFonts w:cs="Arial"/>
                <w:b/>
                <w:bCs/>
                <w:color w:val="0070C0"/>
                <w:sz w:val="19"/>
                <w:szCs w:val="19"/>
              </w:rPr>
              <w:t xml:space="preserve"> </w:t>
            </w:r>
            <w:r w:rsidRPr="00A46856">
              <w:rPr>
                <w:rFonts w:cs="Arial"/>
                <w:b/>
                <w:bCs/>
                <w:color w:val="0070C0"/>
                <w:sz w:val="19"/>
                <w:szCs w:val="19"/>
              </w:rPr>
              <w:fldChar w:fldCharType="begin"/>
            </w:r>
            <w:r w:rsidRPr="00A46856">
              <w:rPr>
                <w:rFonts w:cs="Arial"/>
                <w:b/>
                <w:bCs/>
                <w:color w:val="0070C0"/>
                <w:sz w:val="19"/>
                <w:szCs w:val="19"/>
              </w:rPr>
              <w:instrText xml:space="preserve"> REF _Ref154565697 \h  \* MERGEFORMAT </w:instrText>
            </w:r>
            <w:r w:rsidRPr="00A46856">
              <w:rPr>
                <w:rFonts w:cs="Arial"/>
                <w:b/>
                <w:bCs/>
                <w:color w:val="0070C0"/>
                <w:sz w:val="19"/>
                <w:szCs w:val="19"/>
              </w:rPr>
            </w:r>
            <w:r w:rsidRPr="00A46856">
              <w:rPr>
                <w:rFonts w:cs="Arial"/>
                <w:b/>
                <w:bCs/>
                <w:color w:val="0070C0"/>
                <w:sz w:val="19"/>
                <w:szCs w:val="19"/>
              </w:rPr>
              <w:fldChar w:fldCharType="separate"/>
            </w:r>
            <w:r w:rsidRPr="00A46856">
              <w:rPr>
                <w:rFonts w:cs="Arial"/>
                <w:b/>
                <w:bCs/>
                <w:color w:val="0070C0"/>
                <w:sz w:val="19"/>
                <w:szCs w:val="19"/>
              </w:rPr>
              <w:t>INCOME AND ADJUSTED INCOME</w:t>
            </w:r>
            <w:r w:rsidRPr="00A46856">
              <w:rPr>
                <w:rFonts w:cs="Arial"/>
                <w:b/>
                <w:bCs/>
                <w:color w:val="0070C0"/>
                <w:sz w:val="19"/>
                <w:szCs w:val="19"/>
              </w:rPr>
              <w:fldChar w:fldCharType="end"/>
            </w:r>
          </w:p>
          <w:p w14:paraId="5DD433FF" w14:textId="6C095F10" w:rsidR="00F43AE9" w:rsidRPr="00A46856" w:rsidRDefault="00F43AE9" w:rsidP="00CB52D8">
            <w:pPr>
              <w:pStyle w:val="ListParagraph"/>
              <w:numPr>
                <w:ilvl w:val="0"/>
                <w:numId w:val="75"/>
              </w:numPr>
              <w:spacing w:before="60" w:after="60"/>
              <w:ind w:left="217" w:hanging="217"/>
              <w:contextualSpacing w:val="0"/>
              <w:jc w:val="left"/>
              <w:rPr>
                <w:rFonts w:cs="Arial"/>
                <w:b/>
                <w:bCs/>
                <w:color w:val="0070C0"/>
                <w:sz w:val="19"/>
                <w:szCs w:val="19"/>
              </w:rPr>
            </w:pPr>
            <w:r w:rsidRPr="00A46856">
              <w:rPr>
                <w:rFonts w:cs="Arial"/>
                <w:b/>
                <w:bCs/>
                <w:color w:val="0070C0"/>
                <w:sz w:val="19"/>
                <w:szCs w:val="19"/>
              </w:rPr>
              <w:fldChar w:fldCharType="begin"/>
            </w:r>
            <w:r w:rsidRPr="00A46856">
              <w:rPr>
                <w:rFonts w:cs="Arial"/>
                <w:b/>
                <w:bCs/>
                <w:color w:val="0070C0"/>
                <w:sz w:val="19"/>
                <w:szCs w:val="19"/>
              </w:rPr>
              <w:instrText xml:space="preserve"> REF _Ref151016269 \w \h </w:instrText>
            </w:r>
            <w:r w:rsidR="00F3462B" w:rsidRPr="00A46856">
              <w:rPr>
                <w:rFonts w:cs="Arial"/>
                <w:b/>
                <w:bCs/>
                <w:color w:val="0070C0"/>
                <w:sz w:val="19"/>
                <w:szCs w:val="19"/>
              </w:rPr>
              <w:instrText xml:space="preserve"> \* MERGEFORMAT </w:instrText>
            </w:r>
            <w:r w:rsidRPr="00A46856">
              <w:rPr>
                <w:rFonts w:cs="Arial"/>
                <w:b/>
                <w:bCs/>
                <w:color w:val="0070C0"/>
                <w:sz w:val="19"/>
                <w:szCs w:val="19"/>
              </w:rPr>
            </w:r>
            <w:r w:rsidRPr="00A46856">
              <w:rPr>
                <w:rFonts w:cs="Arial"/>
                <w:b/>
                <w:bCs/>
                <w:color w:val="0070C0"/>
                <w:sz w:val="19"/>
                <w:szCs w:val="19"/>
              </w:rPr>
              <w:fldChar w:fldCharType="separate"/>
            </w:r>
            <w:r w:rsidRPr="00A46856">
              <w:rPr>
                <w:rFonts w:cs="Arial"/>
                <w:b/>
                <w:bCs/>
                <w:color w:val="0070C0"/>
                <w:sz w:val="19"/>
                <w:szCs w:val="19"/>
              </w:rPr>
              <w:t>CHAPTER 13:</w:t>
            </w:r>
            <w:r w:rsidRPr="00A46856">
              <w:rPr>
                <w:rFonts w:cs="Arial"/>
                <w:b/>
                <w:bCs/>
                <w:color w:val="0070C0"/>
                <w:sz w:val="19"/>
                <w:szCs w:val="19"/>
              </w:rPr>
              <w:fldChar w:fldCharType="end"/>
            </w:r>
            <w:r w:rsidRPr="00A46856">
              <w:rPr>
                <w:rFonts w:cs="Arial"/>
                <w:b/>
                <w:bCs/>
                <w:color w:val="0070C0"/>
                <w:sz w:val="19"/>
                <w:szCs w:val="19"/>
              </w:rPr>
              <w:t xml:space="preserve"> </w:t>
            </w:r>
            <w:r w:rsidRPr="00A46856">
              <w:rPr>
                <w:rFonts w:cs="Arial"/>
                <w:b/>
                <w:bCs/>
                <w:color w:val="0070C0"/>
                <w:sz w:val="19"/>
                <w:szCs w:val="19"/>
              </w:rPr>
              <w:fldChar w:fldCharType="begin"/>
            </w:r>
            <w:r w:rsidRPr="00A46856">
              <w:rPr>
                <w:rFonts w:cs="Arial"/>
                <w:b/>
                <w:bCs/>
                <w:color w:val="0070C0"/>
                <w:sz w:val="19"/>
                <w:szCs w:val="19"/>
              </w:rPr>
              <w:instrText xml:space="preserve"> REF _Ref151016269 \h </w:instrText>
            </w:r>
            <w:r w:rsidR="00F3462B" w:rsidRPr="00A46856">
              <w:rPr>
                <w:rFonts w:cs="Arial"/>
                <w:b/>
                <w:bCs/>
                <w:color w:val="0070C0"/>
                <w:sz w:val="19"/>
                <w:szCs w:val="19"/>
              </w:rPr>
              <w:instrText xml:space="preserve"> \* MERGEFORMAT </w:instrText>
            </w:r>
            <w:r w:rsidRPr="00A46856">
              <w:rPr>
                <w:rFonts w:cs="Arial"/>
                <w:b/>
                <w:bCs/>
                <w:color w:val="0070C0"/>
                <w:sz w:val="19"/>
                <w:szCs w:val="19"/>
              </w:rPr>
            </w:r>
            <w:r w:rsidRPr="00A46856">
              <w:rPr>
                <w:rFonts w:cs="Arial"/>
                <w:b/>
                <w:bCs/>
                <w:color w:val="0070C0"/>
                <w:sz w:val="19"/>
                <w:szCs w:val="19"/>
              </w:rPr>
              <w:fldChar w:fldCharType="separate"/>
            </w:r>
            <w:r w:rsidRPr="00A46856">
              <w:rPr>
                <w:rFonts w:cs="Arial"/>
                <w:b/>
                <w:bCs/>
                <w:color w:val="0070C0"/>
                <w:sz w:val="19"/>
                <w:szCs w:val="19"/>
              </w:rPr>
              <w:t>HARDSHIPS</w:t>
            </w:r>
            <w:r w:rsidRPr="00A46856">
              <w:rPr>
                <w:rFonts w:cs="Arial"/>
                <w:b/>
                <w:bCs/>
                <w:color w:val="0070C0"/>
                <w:sz w:val="19"/>
                <w:szCs w:val="19"/>
              </w:rPr>
              <w:fldChar w:fldCharType="end"/>
            </w:r>
          </w:p>
        </w:tc>
        <w:tc>
          <w:tcPr>
            <w:tcW w:w="1980" w:type="dxa"/>
            <w:vAlign w:val="center"/>
          </w:tcPr>
          <w:p w14:paraId="50E9E0C7" w14:textId="3E90E292" w:rsidR="006B66F8" w:rsidRPr="000E681D" w:rsidRDefault="00C46B4F" w:rsidP="00CB52D8">
            <w:pPr>
              <w:pStyle w:val="ListParagraph"/>
              <w:numPr>
                <w:ilvl w:val="0"/>
                <w:numId w:val="75"/>
              </w:numPr>
              <w:spacing w:before="60" w:after="60"/>
              <w:ind w:left="217" w:hanging="217"/>
              <w:contextualSpacing w:val="0"/>
              <w:jc w:val="left"/>
              <w:rPr>
                <w:rFonts w:cs="Arial"/>
                <w:b/>
                <w:bCs/>
                <w:color w:val="0070C0"/>
                <w:sz w:val="19"/>
                <w:szCs w:val="19"/>
              </w:rPr>
            </w:pPr>
            <w:r w:rsidRPr="000E681D">
              <w:rPr>
                <w:rFonts w:cs="Arial"/>
                <w:b/>
                <w:bCs/>
                <w:color w:val="0070C0"/>
                <w:sz w:val="19"/>
                <w:szCs w:val="19"/>
              </w:rPr>
              <w:fldChar w:fldCharType="begin"/>
            </w:r>
            <w:r w:rsidRPr="000E681D">
              <w:rPr>
                <w:rFonts w:cs="Arial"/>
                <w:b/>
                <w:bCs/>
                <w:color w:val="0070C0"/>
                <w:sz w:val="19"/>
                <w:szCs w:val="19"/>
              </w:rPr>
              <w:instrText xml:space="preserve"> REF _Ref165031779 \w \h </w:instrText>
            </w:r>
            <w:r w:rsidR="00F3462B" w:rsidRPr="000E681D">
              <w:rPr>
                <w:rFonts w:cs="Arial"/>
                <w:b/>
                <w:bCs/>
                <w:color w:val="0070C0"/>
                <w:sz w:val="19"/>
                <w:szCs w:val="19"/>
              </w:rPr>
              <w:instrText xml:space="preserve"> \* MERGEFORMAT </w:instrText>
            </w:r>
            <w:r w:rsidRPr="000E681D">
              <w:rPr>
                <w:rFonts w:cs="Arial"/>
                <w:b/>
                <w:bCs/>
                <w:color w:val="0070C0"/>
                <w:sz w:val="19"/>
                <w:szCs w:val="19"/>
              </w:rPr>
            </w:r>
            <w:r w:rsidRPr="000E681D">
              <w:rPr>
                <w:rFonts w:cs="Arial"/>
                <w:b/>
                <w:bCs/>
                <w:color w:val="0070C0"/>
                <w:sz w:val="19"/>
                <w:szCs w:val="19"/>
              </w:rPr>
              <w:fldChar w:fldCharType="separate"/>
            </w:r>
            <w:r w:rsidRPr="000E681D">
              <w:rPr>
                <w:rFonts w:cs="Arial"/>
                <w:b/>
                <w:bCs/>
                <w:color w:val="0070C0"/>
                <w:sz w:val="19"/>
                <w:szCs w:val="19"/>
              </w:rPr>
              <w:t>10.7</w:t>
            </w:r>
            <w:r w:rsidRPr="000E681D">
              <w:rPr>
                <w:rFonts w:cs="Arial"/>
                <w:b/>
                <w:bCs/>
                <w:color w:val="0070C0"/>
                <w:sz w:val="19"/>
                <w:szCs w:val="19"/>
              </w:rPr>
              <w:fldChar w:fldCharType="end"/>
            </w:r>
            <w:r w:rsidRPr="000E681D">
              <w:rPr>
                <w:rFonts w:cs="Arial"/>
                <w:b/>
                <w:bCs/>
                <w:color w:val="0070C0"/>
                <w:sz w:val="19"/>
                <w:szCs w:val="19"/>
              </w:rPr>
              <w:t xml:space="preserve"> </w:t>
            </w:r>
            <w:r w:rsidR="006B66F8" w:rsidRPr="000E681D">
              <w:rPr>
                <w:rFonts w:cs="Arial"/>
                <w:b/>
                <w:bCs/>
                <w:color w:val="0070C0"/>
                <w:sz w:val="19"/>
                <w:szCs w:val="19"/>
              </w:rPr>
              <w:fldChar w:fldCharType="begin"/>
            </w:r>
            <w:r w:rsidR="006B66F8" w:rsidRPr="000E681D">
              <w:rPr>
                <w:rFonts w:cs="Arial"/>
                <w:b/>
                <w:bCs/>
                <w:color w:val="0070C0"/>
                <w:sz w:val="19"/>
                <w:szCs w:val="19"/>
              </w:rPr>
              <w:instrText xml:space="preserve"> REF _Ref165031378 \h </w:instrText>
            </w:r>
            <w:r w:rsidR="00FA2EF6" w:rsidRPr="000E681D">
              <w:rPr>
                <w:rFonts w:cs="Arial"/>
                <w:b/>
                <w:bCs/>
                <w:color w:val="0070C0"/>
                <w:sz w:val="19"/>
                <w:szCs w:val="19"/>
              </w:rPr>
              <w:instrText xml:space="preserve"> \* MERGEFORMAT </w:instrText>
            </w:r>
            <w:r w:rsidR="006B66F8" w:rsidRPr="000E681D">
              <w:rPr>
                <w:rFonts w:cs="Arial"/>
                <w:b/>
                <w:bCs/>
                <w:color w:val="0070C0"/>
                <w:sz w:val="19"/>
                <w:szCs w:val="19"/>
              </w:rPr>
            </w:r>
            <w:r w:rsidR="006B66F8" w:rsidRPr="000E681D">
              <w:rPr>
                <w:rFonts w:cs="Arial"/>
                <w:b/>
                <w:bCs/>
                <w:color w:val="0070C0"/>
                <w:sz w:val="19"/>
                <w:szCs w:val="19"/>
              </w:rPr>
              <w:fldChar w:fldCharType="separate"/>
            </w:r>
            <w:r w:rsidR="006B66F8" w:rsidRPr="000E681D">
              <w:rPr>
                <w:rFonts w:cs="Arial"/>
                <w:b/>
                <w:bCs/>
                <w:color w:val="0070C0"/>
                <w:sz w:val="19"/>
                <w:szCs w:val="19"/>
              </w:rPr>
              <w:t>Adjusted Income</w:t>
            </w:r>
            <w:r w:rsidR="006B66F8" w:rsidRPr="000E681D">
              <w:rPr>
                <w:rFonts w:cs="Arial"/>
                <w:b/>
                <w:bCs/>
                <w:color w:val="0070C0"/>
                <w:sz w:val="19"/>
                <w:szCs w:val="19"/>
              </w:rPr>
              <w:fldChar w:fldCharType="end"/>
            </w:r>
          </w:p>
          <w:p w14:paraId="7A2A2ADD" w14:textId="31EF8D3B" w:rsidR="000E681D" w:rsidRPr="00002A2A" w:rsidRDefault="000E681D" w:rsidP="00CB52D8">
            <w:pPr>
              <w:pStyle w:val="ListParagraph"/>
              <w:numPr>
                <w:ilvl w:val="0"/>
                <w:numId w:val="75"/>
              </w:numPr>
              <w:spacing w:before="60" w:after="60"/>
              <w:ind w:left="217" w:hanging="217"/>
              <w:contextualSpacing w:val="0"/>
              <w:jc w:val="left"/>
              <w:rPr>
                <w:rFonts w:cs="Arial"/>
                <w:b/>
                <w:bCs/>
                <w:color w:val="0070C0"/>
                <w:sz w:val="19"/>
                <w:szCs w:val="19"/>
              </w:rPr>
            </w:pPr>
            <w:r w:rsidRPr="000E681D">
              <w:rPr>
                <w:rFonts w:cs="Arial"/>
                <w:b/>
                <w:bCs/>
                <w:color w:val="0070C0"/>
                <w:sz w:val="19"/>
                <w:szCs w:val="19"/>
              </w:rPr>
              <w:fldChar w:fldCharType="begin"/>
            </w:r>
            <w:r w:rsidRPr="000E681D">
              <w:rPr>
                <w:rFonts w:cs="Arial"/>
                <w:b/>
                <w:bCs/>
                <w:color w:val="0070C0"/>
                <w:sz w:val="19"/>
                <w:szCs w:val="19"/>
              </w:rPr>
              <w:instrText xml:space="preserve"> REF _Ref165034946 \w \h  \* MERGEFORMAT </w:instrText>
            </w:r>
            <w:r w:rsidRPr="000E681D">
              <w:rPr>
                <w:rFonts w:cs="Arial"/>
                <w:b/>
                <w:bCs/>
                <w:color w:val="0070C0"/>
                <w:sz w:val="19"/>
                <w:szCs w:val="19"/>
              </w:rPr>
            </w:r>
            <w:r w:rsidRPr="000E681D">
              <w:rPr>
                <w:rFonts w:cs="Arial"/>
                <w:b/>
                <w:bCs/>
                <w:color w:val="0070C0"/>
                <w:sz w:val="19"/>
                <w:szCs w:val="19"/>
              </w:rPr>
              <w:fldChar w:fldCharType="separate"/>
            </w:r>
            <w:r w:rsidRPr="000E681D">
              <w:rPr>
                <w:rFonts w:cs="Arial"/>
                <w:b/>
                <w:bCs/>
                <w:color w:val="0070C0"/>
                <w:sz w:val="19"/>
                <w:szCs w:val="19"/>
              </w:rPr>
              <w:t>10.7.1</w:t>
            </w:r>
            <w:r w:rsidRPr="000E681D">
              <w:rPr>
                <w:rFonts w:cs="Arial"/>
                <w:b/>
                <w:bCs/>
                <w:color w:val="0070C0"/>
                <w:sz w:val="19"/>
                <w:szCs w:val="19"/>
              </w:rPr>
              <w:fldChar w:fldCharType="end"/>
            </w:r>
            <w:r w:rsidRPr="000E681D">
              <w:rPr>
                <w:rFonts w:cs="Arial"/>
                <w:b/>
                <w:bCs/>
                <w:color w:val="0070C0"/>
                <w:sz w:val="19"/>
                <w:szCs w:val="19"/>
              </w:rPr>
              <w:t xml:space="preserve"> </w:t>
            </w:r>
            <w:r w:rsidRPr="00002A2A">
              <w:rPr>
                <w:rFonts w:cs="Arial"/>
                <w:b/>
                <w:bCs/>
                <w:color w:val="0070C0"/>
                <w:sz w:val="19"/>
                <w:szCs w:val="19"/>
              </w:rPr>
              <w:fldChar w:fldCharType="begin"/>
            </w:r>
            <w:r w:rsidRPr="00002A2A">
              <w:rPr>
                <w:rFonts w:cs="Arial"/>
                <w:b/>
                <w:bCs/>
                <w:color w:val="0070C0"/>
                <w:sz w:val="19"/>
                <w:szCs w:val="19"/>
              </w:rPr>
              <w:instrText xml:space="preserve"> REF _Ref165034946 \h  \* MERGEFORMAT </w:instrText>
            </w:r>
            <w:r w:rsidRPr="00002A2A">
              <w:rPr>
                <w:rFonts w:cs="Arial"/>
                <w:b/>
                <w:bCs/>
                <w:color w:val="0070C0"/>
                <w:sz w:val="19"/>
                <w:szCs w:val="19"/>
              </w:rPr>
            </w:r>
            <w:r w:rsidRPr="00002A2A">
              <w:rPr>
                <w:rFonts w:cs="Arial"/>
                <w:b/>
                <w:bCs/>
                <w:color w:val="0070C0"/>
                <w:sz w:val="19"/>
                <w:szCs w:val="19"/>
              </w:rPr>
              <w:fldChar w:fldCharType="separate"/>
            </w:r>
            <w:r w:rsidRPr="00002A2A">
              <w:rPr>
                <w:b/>
                <w:bCs/>
                <w:color w:val="0070C0"/>
                <w:sz w:val="19"/>
                <w:szCs w:val="19"/>
              </w:rPr>
              <w:t>Dependent Deduction</w:t>
            </w:r>
            <w:r w:rsidRPr="00002A2A">
              <w:rPr>
                <w:rFonts w:cs="Arial"/>
                <w:b/>
                <w:bCs/>
                <w:color w:val="0070C0"/>
                <w:sz w:val="19"/>
                <w:szCs w:val="19"/>
              </w:rPr>
              <w:fldChar w:fldCharType="end"/>
            </w:r>
          </w:p>
          <w:p w14:paraId="41A1B507" w14:textId="0E30A670" w:rsidR="00002A2A" w:rsidRPr="00002A2A" w:rsidRDefault="00002A2A" w:rsidP="00CB52D8">
            <w:pPr>
              <w:pStyle w:val="ListParagraph"/>
              <w:numPr>
                <w:ilvl w:val="0"/>
                <w:numId w:val="75"/>
              </w:numPr>
              <w:spacing w:before="60" w:after="60"/>
              <w:ind w:left="217" w:hanging="217"/>
              <w:contextualSpacing w:val="0"/>
              <w:jc w:val="left"/>
              <w:rPr>
                <w:rFonts w:cs="Arial"/>
                <w:b/>
                <w:bCs/>
                <w:color w:val="0070C0"/>
                <w:sz w:val="19"/>
                <w:szCs w:val="19"/>
              </w:rPr>
            </w:pPr>
            <w:r w:rsidRPr="00002A2A">
              <w:rPr>
                <w:rFonts w:cs="Arial"/>
                <w:b/>
                <w:bCs/>
                <w:color w:val="0070C0"/>
                <w:sz w:val="19"/>
                <w:szCs w:val="19"/>
              </w:rPr>
              <w:fldChar w:fldCharType="begin"/>
            </w:r>
            <w:r w:rsidRPr="00002A2A">
              <w:rPr>
                <w:rFonts w:cs="Arial"/>
                <w:b/>
                <w:bCs/>
                <w:color w:val="0070C0"/>
                <w:sz w:val="19"/>
                <w:szCs w:val="19"/>
              </w:rPr>
              <w:instrText xml:space="preserve"> REF _Ref165036418 \w \h  \* MERGEFORMAT </w:instrText>
            </w:r>
            <w:r w:rsidRPr="00002A2A">
              <w:rPr>
                <w:rFonts w:cs="Arial"/>
                <w:b/>
                <w:bCs/>
                <w:color w:val="0070C0"/>
                <w:sz w:val="19"/>
                <w:szCs w:val="19"/>
              </w:rPr>
            </w:r>
            <w:r w:rsidRPr="00002A2A">
              <w:rPr>
                <w:rFonts w:cs="Arial"/>
                <w:b/>
                <w:bCs/>
                <w:color w:val="0070C0"/>
                <w:sz w:val="19"/>
                <w:szCs w:val="19"/>
              </w:rPr>
              <w:fldChar w:fldCharType="separate"/>
            </w:r>
            <w:r w:rsidRPr="00002A2A">
              <w:rPr>
                <w:rFonts w:cs="Arial"/>
                <w:b/>
                <w:bCs/>
                <w:color w:val="0070C0"/>
                <w:sz w:val="19"/>
                <w:szCs w:val="19"/>
              </w:rPr>
              <w:t>10.7.5</w:t>
            </w:r>
            <w:r w:rsidRPr="00002A2A">
              <w:rPr>
                <w:rFonts w:cs="Arial"/>
                <w:b/>
                <w:bCs/>
                <w:color w:val="0070C0"/>
                <w:sz w:val="19"/>
                <w:szCs w:val="19"/>
              </w:rPr>
              <w:fldChar w:fldCharType="end"/>
            </w:r>
            <w:r w:rsidRPr="00002A2A">
              <w:rPr>
                <w:rFonts w:cs="Arial"/>
                <w:b/>
                <w:bCs/>
                <w:color w:val="0070C0"/>
                <w:sz w:val="19"/>
                <w:szCs w:val="19"/>
              </w:rPr>
              <w:t xml:space="preserve"> </w:t>
            </w:r>
            <w:r w:rsidRPr="00002A2A">
              <w:rPr>
                <w:rFonts w:cs="Arial"/>
                <w:b/>
                <w:bCs/>
                <w:color w:val="0070C0"/>
                <w:sz w:val="19"/>
                <w:szCs w:val="19"/>
              </w:rPr>
              <w:fldChar w:fldCharType="begin"/>
            </w:r>
            <w:r w:rsidRPr="00002A2A">
              <w:rPr>
                <w:rFonts w:cs="Arial"/>
                <w:b/>
                <w:bCs/>
                <w:color w:val="0070C0"/>
                <w:sz w:val="19"/>
                <w:szCs w:val="19"/>
              </w:rPr>
              <w:instrText xml:space="preserve"> REF _Ref165036418 \h  \* MERGEFORMAT </w:instrText>
            </w:r>
            <w:r w:rsidRPr="00002A2A">
              <w:rPr>
                <w:rFonts w:cs="Arial"/>
                <w:b/>
                <w:bCs/>
                <w:color w:val="0070C0"/>
                <w:sz w:val="19"/>
                <w:szCs w:val="19"/>
              </w:rPr>
            </w:r>
            <w:r w:rsidRPr="00002A2A">
              <w:rPr>
                <w:rFonts w:cs="Arial"/>
                <w:b/>
                <w:bCs/>
                <w:color w:val="0070C0"/>
                <w:sz w:val="19"/>
                <w:szCs w:val="19"/>
              </w:rPr>
              <w:fldChar w:fldCharType="separate"/>
            </w:r>
            <w:r w:rsidRPr="00002A2A">
              <w:rPr>
                <w:b/>
                <w:bCs/>
                <w:color w:val="0070C0"/>
                <w:sz w:val="19"/>
                <w:szCs w:val="19"/>
              </w:rPr>
              <w:t>Child Care Expense Deduction</w:t>
            </w:r>
            <w:r w:rsidRPr="00002A2A">
              <w:rPr>
                <w:rFonts w:cs="Arial"/>
                <w:b/>
                <w:bCs/>
                <w:color w:val="0070C0"/>
                <w:sz w:val="19"/>
                <w:szCs w:val="19"/>
              </w:rPr>
              <w:fldChar w:fldCharType="end"/>
            </w:r>
          </w:p>
          <w:p w14:paraId="7D73A115" w14:textId="53FAC24A" w:rsidR="00F43AE9" w:rsidRPr="000E681D" w:rsidRDefault="00F3462B" w:rsidP="00CB52D8">
            <w:pPr>
              <w:pStyle w:val="ListParagraph"/>
              <w:numPr>
                <w:ilvl w:val="0"/>
                <w:numId w:val="75"/>
              </w:numPr>
              <w:spacing w:before="60" w:after="60"/>
              <w:ind w:left="217" w:hanging="217"/>
              <w:contextualSpacing w:val="0"/>
              <w:jc w:val="left"/>
              <w:rPr>
                <w:rFonts w:cs="Arial"/>
                <w:b/>
                <w:bCs/>
                <w:color w:val="0070C0"/>
                <w:sz w:val="19"/>
                <w:szCs w:val="19"/>
              </w:rPr>
            </w:pPr>
            <w:r w:rsidRPr="000E681D">
              <w:rPr>
                <w:rFonts w:cs="Arial"/>
                <w:b/>
                <w:bCs/>
                <w:color w:val="0070C0"/>
                <w:sz w:val="19"/>
                <w:szCs w:val="19"/>
              </w:rPr>
              <w:fldChar w:fldCharType="begin"/>
            </w:r>
            <w:r w:rsidRPr="000E681D">
              <w:rPr>
                <w:rFonts w:cs="Arial"/>
                <w:b/>
                <w:bCs/>
                <w:color w:val="0070C0"/>
                <w:sz w:val="19"/>
                <w:szCs w:val="19"/>
              </w:rPr>
              <w:instrText xml:space="preserve"> REF _Ref155262205 \w \h  \* MERGEFORMAT </w:instrText>
            </w:r>
            <w:r w:rsidRPr="000E681D">
              <w:rPr>
                <w:rFonts w:cs="Arial"/>
                <w:b/>
                <w:bCs/>
                <w:color w:val="0070C0"/>
                <w:sz w:val="19"/>
                <w:szCs w:val="19"/>
              </w:rPr>
            </w:r>
            <w:r w:rsidRPr="000E681D">
              <w:rPr>
                <w:rFonts w:cs="Arial"/>
                <w:b/>
                <w:bCs/>
                <w:color w:val="0070C0"/>
                <w:sz w:val="19"/>
                <w:szCs w:val="19"/>
              </w:rPr>
              <w:fldChar w:fldCharType="separate"/>
            </w:r>
            <w:r w:rsidRPr="000E681D">
              <w:rPr>
                <w:rFonts w:cs="Arial"/>
                <w:b/>
                <w:bCs/>
                <w:color w:val="0070C0"/>
                <w:sz w:val="19"/>
                <w:szCs w:val="19"/>
              </w:rPr>
              <w:t>13.4</w:t>
            </w:r>
            <w:r w:rsidRPr="000E681D">
              <w:rPr>
                <w:rFonts w:cs="Arial"/>
                <w:b/>
                <w:bCs/>
                <w:color w:val="0070C0"/>
                <w:sz w:val="19"/>
                <w:szCs w:val="19"/>
              </w:rPr>
              <w:fldChar w:fldCharType="end"/>
            </w:r>
            <w:r w:rsidRPr="000E681D">
              <w:rPr>
                <w:rFonts w:cs="Arial"/>
                <w:b/>
                <w:bCs/>
                <w:color w:val="0070C0"/>
                <w:sz w:val="19"/>
                <w:szCs w:val="19"/>
              </w:rPr>
              <w:t xml:space="preserve"> </w:t>
            </w:r>
            <w:r w:rsidRPr="000E681D">
              <w:rPr>
                <w:rFonts w:cs="Arial"/>
                <w:b/>
                <w:bCs/>
                <w:color w:val="0070C0"/>
                <w:sz w:val="19"/>
                <w:szCs w:val="19"/>
              </w:rPr>
              <w:fldChar w:fldCharType="begin"/>
            </w:r>
            <w:r w:rsidRPr="000E681D">
              <w:rPr>
                <w:rFonts w:cs="Arial"/>
                <w:b/>
                <w:bCs/>
                <w:color w:val="0070C0"/>
                <w:sz w:val="19"/>
                <w:szCs w:val="19"/>
              </w:rPr>
              <w:instrText xml:space="preserve"> REF _Ref155262205 \h  \* MERGEFORMAT </w:instrText>
            </w:r>
            <w:r w:rsidRPr="000E681D">
              <w:rPr>
                <w:rFonts w:cs="Arial"/>
                <w:b/>
                <w:bCs/>
                <w:color w:val="0070C0"/>
                <w:sz w:val="19"/>
                <w:szCs w:val="19"/>
              </w:rPr>
            </w:r>
            <w:r w:rsidRPr="000E681D">
              <w:rPr>
                <w:rFonts w:cs="Arial"/>
                <w:b/>
                <w:bCs/>
                <w:color w:val="0070C0"/>
                <w:sz w:val="19"/>
                <w:szCs w:val="19"/>
              </w:rPr>
              <w:fldChar w:fldCharType="separate"/>
            </w:r>
            <w:r w:rsidRPr="000E681D">
              <w:rPr>
                <w:rFonts w:cs="Arial"/>
                <w:b/>
                <w:bCs/>
                <w:color w:val="0070C0"/>
                <w:sz w:val="19"/>
                <w:szCs w:val="19"/>
              </w:rPr>
              <w:t>Treatment Group Only</w:t>
            </w:r>
            <w:r w:rsidRPr="000E681D">
              <w:rPr>
                <w:rFonts w:cs="Arial"/>
                <w:b/>
                <w:bCs/>
                <w:color w:val="0070C0"/>
                <w:sz w:val="19"/>
                <w:szCs w:val="19"/>
              </w:rPr>
              <w:fldChar w:fldCharType="end"/>
            </w:r>
            <w:r w:rsidRPr="000E681D">
              <w:rPr>
                <w:rFonts w:cs="Arial"/>
                <w:b/>
                <w:bCs/>
                <w:color w:val="0070C0"/>
                <w:sz w:val="19"/>
                <w:szCs w:val="19"/>
              </w:rPr>
              <w:t xml:space="preserve"> </w:t>
            </w:r>
          </w:p>
        </w:tc>
        <w:tc>
          <w:tcPr>
            <w:tcW w:w="1350" w:type="dxa"/>
            <w:vAlign w:val="center"/>
          </w:tcPr>
          <w:p w14:paraId="57F79318" w14:textId="77777777" w:rsidR="006B66F8" w:rsidRPr="00A46856" w:rsidRDefault="006B66F8" w:rsidP="00B35D5E">
            <w:pPr>
              <w:spacing w:before="60" w:after="60"/>
              <w:jc w:val="left"/>
              <w:rPr>
                <w:rFonts w:cs="Arial"/>
                <w:sz w:val="19"/>
                <w:szCs w:val="19"/>
              </w:rPr>
            </w:pPr>
            <w:r w:rsidRPr="00A46856">
              <w:rPr>
                <w:rFonts w:cs="Arial"/>
                <w:sz w:val="19"/>
                <w:szCs w:val="19"/>
              </w:rPr>
              <w:t>MTW – Treatment Group only</w:t>
            </w:r>
          </w:p>
        </w:tc>
      </w:tr>
      <w:tr w:rsidR="00A46856" w:rsidRPr="00A46856" w14:paraId="48C5FDF6" w14:textId="77777777" w:rsidTr="00A46856">
        <w:tc>
          <w:tcPr>
            <w:tcW w:w="985" w:type="dxa"/>
            <w:vAlign w:val="center"/>
          </w:tcPr>
          <w:p w14:paraId="6AA5A9F1" w14:textId="77777777" w:rsidR="006B66F8" w:rsidRPr="00A46856" w:rsidRDefault="006B66F8" w:rsidP="00B35D5E">
            <w:pPr>
              <w:spacing w:before="60" w:after="60"/>
              <w:jc w:val="left"/>
              <w:rPr>
                <w:rFonts w:cs="Arial"/>
                <w:sz w:val="19"/>
                <w:szCs w:val="19"/>
              </w:rPr>
            </w:pPr>
            <w:r w:rsidRPr="00A46856">
              <w:rPr>
                <w:rFonts w:cs="Arial"/>
                <w:sz w:val="19"/>
                <w:szCs w:val="19"/>
              </w:rPr>
              <w:t>1.w.</w:t>
            </w:r>
          </w:p>
        </w:tc>
        <w:tc>
          <w:tcPr>
            <w:tcW w:w="1800" w:type="dxa"/>
            <w:vAlign w:val="center"/>
          </w:tcPr>
          <w:p w14:paraId="70757111" w14:textId="234ADE7F" w:rsidR="006B66F8" w:rsidRPr="00A46856" w:rsidRDefault="006B66F8" w:rsidP="00B35D5E">
            <w:pPr>
              <w:spacing w:before="60" w:after="60"/>
              <w:jc w:val="left"/>
              <w:rPr>
                <w:rFonts w:cs="Arial"/>
                <w:sz w:val="19"/>
                <w:szCs w:val="19"/>
              </w:rPr>
            </w:pPr>
            <w:r w:rsidRPr="00A46856">
              <w:rPr>
                <w:rFonts w:cs="Arial"/>
                <w:sz w:val="19"/>
                <w:szCs w:val="19"/>
              </w:rPr>
              <w:t>Alternative Income Inclusions/</w:t>
            </w:r>
            <w:r w:rsidR="004E5206" w:rsidRPr="00A46856">
              <w:rPr>
                <w:rFonts w:cs="Arial"/>
                <w:sz w:val="19"/>
                <w:szCs w:val="19"/>
              </w:rPr>
              <w:t xml:space="preserve"> </w:t>
            </w:r>
            <w:r w:rsidRPr="00A46856">
              <w:rPr>
                <w:rFonts w:cs="Arial"/>
                <w:sz w:val="19"/>
                <w:szCs w:val="19"/>
              </w:rPr>
              <w:t>Exclusions</w:t>
            </w:r>
          </w:p>
        </w:tc>
        <w:tc>
          <w:tcPr>
            <w:tcW w:w="1170" w:type="dxa"/>
            <w:vAlign w:val="center"/>
          </w:tcPr>
          <w:p w14:paraId="647F964E" w14:textId="77777777" w:rsidR="006B66F8" w:rsidRPr="00A46856" w:rsidRDefault="006B66F8" w:rsidP="00B35D5E">
            <w:pPr>
              <w:spacing w:before="60" w:after="60"/>
              <w:jc w:val="left"/>
              <w:rPr>
                <w:rFonts w:cs="Arial"/>
                <w:sz w:val="19"/>
                <w:szCs w:val="19"/>
              </w:rPr>
            </w:pPr>
            <w:r w:rsidRPr="00A46856">
              <w:rPr>
                <w:rFonts w:cs="Arial"/>
                <w:sz w:val="19"/>
                <w:szCs w:val="19"/>
              </w:rPr>
              <w:t>FY 2022</w:t>
            </w:r>
          </w:p>
        </w:tc>
        <w:tc>
          <w:tcPr>
            <w:tcW w:w="2160" w:type="dxa"/>
            <w:vAlign w:val="center"/>
          </w:tcPr>
          <w:p w14:paraId="36ACB4F8" w14:textId="6B343E16" w:rsidR="006B66F8" w:rsidRPr="00A46856" w:rsidRDefault="002464B2" w:rsidP="00CB52D8">
            <w:pPr>
              <w:pStyle w:val="ListParagraph"/>
              <w:numPr>
                <w:ilvl w:val="0"/>
                <w:numId w:val="75"/>
              </w:numPr>
              <w:spacing w:before="60" w:after="60"/>
              <w:ind w:left="217" w:hanging="217"/>
              <w:contextualSpacing w:val="0"/>
              <w:jc w:val="left"/>
              <w:rPr>
                <w:rFonts w:cs="Arial"/>
                <w:b/>
                <w:bCs/>
                <w:color w:val="0070C0"/>
                <w:sz w:val="19"/>
                <w:szCs w:val="19"/>
              </w:rPr>
            </w:pPr>
            <w:r w:rsidRPr="00A46856">
              <w:rPr>
                <w:rFonts w:cs="Arial"/>
                <w:b/>
                <w:bCs/>
                <w:color w:val="0070C0"/>
                <w:sz w:val="19"/>
                <w:szCs w:val="19"/>
              </w:rPr>
              <w:fldChar w:fldCharType="begin"/>
            </w:r>
            <w:r w:rsidRPr="00A46856">
              <w:rPr>
                <w:rFonts w:cs="Arial"/>
                <w:b/>
                <w:bCs/>
                <w:color w:val="0070C0"/>
                <w:sz w:val="19"/>
                <w:szCs w:val="19"/>
              </w:rPr>
              <w:instrText xml:space="preserve"> REF _Ref154565697 \w \h  \* MERGEFORMAT </w:instrText>
            </w:r>
            <w:r w:rsidRPr="00A46856">
              <w:rPr>
                <w:rFonts w:cs="Arial"/>
                <w:b/>
                <w:bCs/>
                <w:color w:val="0070C0"/>
                <w:sz w:val="19"/>
                <w:szCs w:val="19"/>
              </w:rPr>
            </w:r>
            <w:r w:rsidRPr="00A46856">
              <w:rPr>
                <w:rFonts w:cs="Arial"/>
                <w:b/>
                <w:bCs/>
                <w:color w:val="0070C0"/>
                <w:sz w:val="19"/>
                <w:szCs w:val="19"/>
              </w:rPr>
              <w:fldChar w:fldCharType="separate"/>
            </w:r>
            <w:r w:rsidRPr="00A46856">
              <w:rPr>
                <w:rFonts w:cs="Arial"/>
                <w:b/>
                <w:bCs/>
                <w:color w:val="0070C0"/>
                <w:sz w:val="19"/>
                <w:szCs w:val="19"/>
              </w:rPr>
              <w:t>CHAPTER 10:</w:t>
            </w:r>
            <w:r w:rsidRPr="00A46856">
              <w:rPr>
                <w:rFonts w:cs="Arial"/>
                <w:b/>
                <w:bCs/>
                <w:color w:val="0070C0"/>
                <w:sz w:val="19"/>
                <w:szCs w:val="19"/>
              </w:rPr>
              <w:fldChar w:fldCharType="end"/>
            </w:r>
            <w:r w:rsidRPr="00A46856">
              <w:rPr>
                <w:rFonts w:cs="Arial"/>
                <w:b/>
                <w:bCs/>
                <w:color w:val="0070C0"/>
                <w:sz w:val="19"/>
                <w:szCs w:val="19"/>
              </w:rPr>
              <w:t xml:space="preserve"> </w:t>
            </w:r>
            <w:r w:rsidRPr="00A46856">
              <w:rPr>
                <w:rFonts w:cs="Arial"/>
                <w:b/>
                <w:bCs/>
                <w:color w:val="0070C0"/>
                <w:sz w:val="19"/>
                <w:szCs w:val="19"/>
              </w:rPr>
              <w:fldChar w:fldCharType="begin"/>
            </w:r>
            <w:r w:rsidRPr="00A46856">
              <w:rPr>
                <w:rFonts w:cs="Arial"/>
                <w:b/>
                <w:bCs/>
                <w:color w:val="0070C0"/>
                <w:sz w:val="19"/>
                <w:szCs w:val="19"/>
              </w:rPr>
              <w:instrText xml:space="preserve"> REF _Ref154565697 \h  \* MERGEFORMAT </w:instrText>
            </w:r>
            <w:r w:rsidRPr="00A46856">
              <w:rPr>
                <w:rFonts w:cs="Arial"/>
                <w:b/>
                <w:bCs/>
                <w:color w:val="0070C0"/>
                <w:sz w:val="19"/>
                <w:szCs w:val="19"/>
              </w:rPr>
            </w:r>
            <w:r w:rsidRPr="00A46856">
              <w:rPr>
                <w:rFonts w:cs="Arial"/>
                <w:b/>
                <w:bCs/>
                <w:color w:val="0070C0"/>
                <w:sz w:val="19"/>
                <w:szCs w:val="19"/>
              </w:rPr>
              <w:fldChar w:fldCharType="separate"/>
            </w:r>
            <w:r w:rsidRPr="00A46856">
              <w:rPr>
                <w:rFonts w:cs="Arial"/>
                <w:b/>
                <w:bCs/>
                <w:color w:val="0070C0"/>
                <w:sz w:val="19"/>
                <w:szCs w:val="19"/>
              </w:rPr>
              <w:t>INCOME AND ADJUSTED INCOME</w:t>
            </w:r>
            <w:r w:rsidRPr="00A46856">
              <w:rPr>
                <w:rFonts w:cs="Arial"/>
                <w:b/>
                <w:bCs/>
                <w:color w:val="0070C0"/>
                <w:sz w:val="19"/>
                <w:szCs w:val="19"/>
              </w:rPr>
              <w:fldChar w:fldCharType="end"/>
            </w:r>
          </w:p>
        </w:tc>
        <w:tc>
          <w:tcPr>
            <w:tcW w:w="1980" w:type="dxa"/>
            <w:vAlign w:val="center"/>
          </w:tcPr>
          <w:p w14:paraId="2B49C22A" w14:textId="417F243F" w:rsidR="000E681D" w:rsidRPr="000E681D" w:rsidRDefault="000E681D" w:rsidP="00CB52D8">
            <w:pPr>
              <w:pStyle w:val="ListParagraph"/>
              <w:numPr>
                <w:ilvl w:val="0"/>
                <w:numId w:val="75"/>
              </w:numPr>
              <w:spacing w:before="60" w:after="60"/>
              <w:ind w:left="217" w:hanging="217"/>
              <w:contextualSpacing w:val="0"/>
              <w:jc w:val="left"/>
              <w:rPr>
                <w:rFonts w:cs="Arial"/>
                <w:b/>
                <w:bCs/>
                <w:color w:val="0070C0"/>
                <w:sz w:val="19"/>
                <w:szCs w:val="19"/>
              </w:rPr>
            </w:pPr>
            <w:r w:rsidRPr="000E681D">
              <w:rPr>
                <w:rFonts w:cs="Arial"/>
                <w:b/>
                <w:bCs/>
                <w:color w:val="0070C0"/>
                <w:sz w:val="19"/>
                <w:szCs w:val="19"/>
              </w:rPr>
              <w:fldChar w:fldCharType="begin"/>
            </w:r>
            <w:r w:rsidRPr="000E681D">
              <w:rPr>
                <w:rFonts w:cs="Arial"/>
                <w:b/>
                <w:bCs/>
                <w:color w:val="0070C0"/>
                <w:sz w:val="19"/>
                <w:szCs w:val="19"/>
              </w:rPr>
              <w:instrText xml:space="preserve"> REF _Ref148682998 \w \h  \* MERGEFORMAT </w:instrText>
            </w:r>
            <w:r w:rsidRPr="000E681D">
              <w:rPr>
                <w:rFonts w:cs="Arial"/>
                <w:b/>
                <w:bCs/>
                <w:color w:val="0070C0"/>
                <w:sz w:val="19"/>
                <w:szCs w:val="19"/>
              </w:rPr>
            </w:r>
            <w:r w:rsidRPr="000E681D">
              <w:rPr>
                <w:rFonts w:cs="Arial"/>
                <w:b/>
                <w:bCs/>
                <w:color w:val="0070C0"/>
                <w:sz w:val="19"/>
                <w:szCs w:val="19"/>
              </w:rPr>
              <w:fldChar w:fldCharType="separate"/>
            </w:r>
            <w:r w:rsidRPr="000E681D">
              <w:rPr>
                <w:rFonts w:cs="Arial"/>
                <w:b/>
                <w:bCs/>
                <w:color w:val="0070C0"/>
                <w:sz w:val="19"/>
                <w:szCs w:val="19"/>
              </w:rPr>
              <w:t>10.3.1</w:t>
            </w:r>
            <w:r w:rsidRPr="000E681D">
              <w:rPr>
                <w:rFonts w:cs="Arial"/>
                <w:b/>
                <w:bCs/>
                <w:color w:val="0070C0"/>
                <w:sz w:val="19"/>
                <w:szCs w:val="19"/>
              </w:rPr>
              <w:fldChar w:fldCharType="end"/>
            </w:r>
            <w:r w:rsidRPr="000E681D">
              <w:rPr>
                <w:rFonts w:cs="Arial"/>
                <w:b/>
                <w:bCs/>
                <w:color w:val="0070C0"/>
                <w:sz w:val="19"/>
                <w:szCs w:val="19"/>
              </w:rPr>
              <w:t xml:space="preserve"> </w:t>
            </w:r>
            <w:r w:rsidRPr="000E681D">
              <w:rPr>
                <w:rFonts w:cs="Arial"/>
                <w:b/>
                <w:bCs/>
                <w:color w:val="0070C0"/>
                <w:sz w:val="19"/>
                <w:szCs w:val="19"/>
              </w:rPr>
              <w:fldChar w:fldCharType="begin"/>
            </w:r>
            <w:r w:rsidRPr="000E681D">
              <w:rPr>
                <w:rFonts w:cs="Arial"/>
                <w:b/>
                <w:bCs/>
                <w:color w:val="0070C0"/>
                <w:sz w:val="19"/>
                <w:szCs w:val="19"/>
              </w:rPr>
              <w:instrText xml:space="preserve"> REF _Ref148682998 \h  \* MERGEFORMAT </w:instrText>
            </w:r>
            <w:r w:rsidRPr="000E681D">
              <w:rPr>
                <w:rFonts w:cs="Arial"/>
                <w:b/>
                <w:bCs/>
                <w:color w:val="0070C0"/>
                <w:sz w:val="19"/>
                <w:szCs w:val="19"/>
              </w:rPr>
            </w:r>
            <w:r w:rsidRPr="000E681D">
              <w:rPr>
                <w:rFonts w:cs="Arial"/>
                <w:b/>
                <w:bCs/>
                <w:color w:val="0070C0"/>
                <w:sz w:val="19"/>
                <w:szCs w:val="19"/>
              </w:rPr>
              <w:fldChar w:fldCharType="separate"/>
            </w:r>
            <w:r w:rsidRPr="000E681D">
              <w:rPr>
                <w:b/>
                <w:bCs/>
                <w:color w:val="0070C0"/>
                <w:sz w:val="19"/>
                <w:szCs w:val="19"/>
              </w:rPr>
              <w:t>Excluded Income – MTW Policy</w:t>
            </w:r>
            <w:r w:rsidRPr="000E681D">
              <w:rPr>
                <w:rFonts w:cs="Arial"/>
                <w:b/>
                <w:bCs/>
                <w:color w:val="0070C0"/>
                <w:sz w:val="19"/>
                <w:szCs w:val="19"/>
              </w:rPr>
              <w:fldChar w:fldCharType="end"/>
            </w:r>
          </w:p>
          <w:p w14:paraId="0DB6155E" w14:textId="0CD5A0F1" w:rsidR="00FF0399" w:rsidRPr="00A46856" w:rsidRDefault="000E681D" w:rsidP="00CB52D8">
            <w:pPr>
              <w:pStyle w:val="ListParagraph"/>
              <w:numPr>
                <w:ilvl w:val="0"/>
                <w:numId w:val="75"/>
              </w:numPr>
              <w:spacing w:before="60" w:after="60"/>
              <w:ind w:left="217" w:hanging="217"/>
              <w:contextualSpacing w:val="0"/>
              <w:jc w:val="left"/>
              <w:rPr>
                <w:rFonts w:cs="Arial"/>
                <w:b/>
                <w:bCs/>
                <w:color w:val="0070C0"/>
                <w:sz w:val="19"/>
                <w:szCs w:val="19"/>
              </w:rPr>
            </w:pPr>
            <w:r>
              <w:rPr>
                <w:rFonts w:cs="Arial"/>
                <w:b/>
                <w:bCs/>
                <w:color w:val="0070C0"/>
                <w:sz w:val="19"/>
                <w:szCs w:val="19"/>
              </w:rPr>
              <w:fldChar w:fldCharType="begin"/>
            </w:r>
            <w:r>
              <w:rPr>
                <w:rFonts w:cs="Arial"/>
                <w:b/>
                <w:bCs/>
                <w:color w:val="0070C0"/>
                <w:sz w:val="19"/>
                <w:szCs w:val="19"/>
              </w:rPr>
              <w:instrText xml:space="preserve"> REF _Ref165035080 \w \h </w:instrText>
            </w:r>
            <w:r>
              <w:rPr>
                <w:rFonts w:cs="Arial"/>
                <w:b/>
                <w:bCs/>
                <w:color w:val="0070C0"/>
                <w:sz w:val="19"/>
                <w:szCs w:val="19"/>
              </w:rPr>
            </w:r>
            <w:r>
              <w:rPr>
                <w:rFonts w:cs="Arial"/>
                <w:b/>
                <w:bCs/>
                <w:color w:val="0070C0"/>
                <w:sz w:val="19"/>
                <w:szCs w:val="19"/>
              </w:rPr>
              <w:fldChar w:fldCharType="separate"/>
            </w:r>
            <w:r>
              <w:rPr>
                <w:rFonts w:cs="Arial"/>
                <w:b/>
                <w:bCs/>
                <w:color w:val="0070C0"/>
                <w:sz w:val="19"/>
                <w:szCs w:val="19"/>
              </w:rPr>
              <w:t>10.6.2</w:t>
            </w:r>
            <w:r>
              <w:rPr>
                <w:rFonts w:cs="Arial"/>
                <w:b/>
                <w:bCs/>
                <w:color w:val="0070C0"/>
                <w:sz w:val="19"/>
                <w:szCs w:val="19"/>
              </w:rPr>
              <w:fldChar w:fldCharType="end"/>
            </w:r>
            <w:r>
              <w:rPr>
                <w:rFonts w:cs="Arial"/>
                <w:b/>
                <w:bCs/>
                <w:color w:val="0070C0"/>
                <w:sz w:val="19"/>
                <w:szCs w:val="19"/>
              </w:rPr>
              <w:t xml:space="preserve"> </w:t>
            </w:r>
            <w:r w:rsidRPr="000E681D">
              <w:rPr>
                <w:rFonts w:cs="Arial"/>
                <w:b/>
                <w:bCs/>
                <w:color w:val="0070C0"/>
                <w:sz w:val="19"/>
                <w:szCs w:val="19"/>
              </w:rPr>
              <w:fldChar w:fldCharType="begin"/>
            </w:r>
            <w:r w:rsidRPr="000E681D">
              <w:rPr>
                <w:rFonts w:cs="Arial"/>
                <w:b/>
                <w:bCs/>
                <w:color w:val="0070C0"/>
                <w:sz w:val="19"/>
                <w:szCs w:val="19"/>
              </w:rPr>
              <w:instrText xml:space="preserve"> REF _Ref165035085 \h  \* MERGEFORMAT </w:instrText>
            </w:r>
            <w:r w:rsidRPr="000E681D">
              <w:rPr>
                <w:rFonts w:cs="Arial"/>
                <w:b/>
                <w:bCs/>
                <w:color w:val="0070C0"/>
                <w:sz w:val="19"/>
                <w:szCs w:val="19"/>
              </w:rPr>
            </w:r>
            <w:r w:rsidRPr="000E681D">
              <w:rPr>
                <w:rFonts w:cs="Arial"/>
                <w:b/>
                <w:bCs/>
                <w:color w:val="0070C0"/>
                <w:sz w:val="19"/>
                <w:szCs w:val="19"/>
              </w:rPr>
              <w:fldChar w:fldCharType="separate"/>
            </w:r>
            <w:r w:rsidRPr="000E681D">
              <w:rPr>
                <w:b/>
                <w:bCs/>
                <w:color w:val="0070C0"/>
                <w:sz w:val="19"/>
                <w:szCs w:val="19"/>
              </w:rPr>
              <w:t>General Calculation of Asset Income</w:t>
            </w:r>
            <w:r w:rsidRPr="000E681D">
              <w:rPr>
                <w:rFonts w:cs="Arial"/>
                <w:b/>
                <w:bCs/>
                <w:color w:val="0070C0"/>
                <w:sz w:val="19"/>
                <w:szCs w:val="19"/>
              </w:rPr>
              <w:fldChar w:fldCharType="end"/>
            </w:r>
          </w:p>
        </w:tc>
        <w:tc>
          <w:tcPr>
            <w:tcW w:w="1350" w:type="dxa"/>
            <w:vAlign w:val="center"/>
          </w:tcPr>
          <w:p w14:paraId="1D5E6143" w14:textId="7A487F13" w:rsidR="006B66F8" w:rsidRPr="00A46856" w:rsidRDefault="006B66F8" w:rsidP="00B35D5E">
            <w:pPr>
              <w:spacing w:before="60" w:after="60"/>
              <w:jc w:val="left"/>
              <w:rPr>
                <w:rFonts w:cs="Arial"/>
                <w:sz w:val="19"/>
                <w:szCs w:val="19"/>
              </w:rPr>
            </w:pPr>
            <w:r w:rsidRPr="00A46856">
              <w:rPr>
                <w:rFonts w:cs="Arial"/>
                <w:sz w:val="19"/>
                <w:szCs w:val="19"/>
              </w:rPr>
              <w:t xml:space="preserve">All </w:t>
            </w:r>
            <w:r w:rsidR="000305BF">
              <w:rPr>
                <w:rFonts w:cs="Arial"/>
                <w:sz w:val="19"/>
                <w:szCs w:val="19"/>
              </w:rPr>
              <w:t>MTW-</w:t>
            </w:r>
            <w:r w:rsidRPr="00A46856">
              <w:rPr>
                <w:rFonts w:cs="Arial"/>
                <w:sz w:val="19"/>
                <w:szCs w:val="19"/>
              </w:rPr>
              <w:t>assisted households</w:t>
            </w:r>
          </w:p>
        </w:tc>
      </w:tr>
      <w:tr w:rsidR="00C42528" w:rsidRPr="00A46856" w14:paraId="71EF2760" w14:textId="77777777" w:rsidTr="004E5206">
        <w:trPr>
          <w:trHeight w:val="432"/>
        </w:trPr>
        <w:tc>
          <w:tcPr>
            <w:tcW w:w="9445" w:type="dxa"/>
            <w:gridSpan w:val="6"/>
            <w:shd w:val="clear" w:color="auto" w:fill="F2F2F2" w:themeFill="background1" w:themeFillShade="F2"/>
          </w:tcPr>
          <w:p w14:paraId="6EACB02A" w14:textId="4D0CD4CB" w:rsidR="00C42528" w:rsidRPr="00A46856" w:rsidRDefault="00C42528" w:rsidP="00B35D5E">
            <w:pPr>
              <w:spacing w:before="60" w:after="60"/>
              <w:ind w:left="2"/>
              <w:jc w:val="left"/>
              <w:rPr>
                <w:rFonts w:cs="Arial"/>
                <w:b/>
                <w:bCs/>
                <w:sz w:val="19"/>
                <w:szCs w:val="19"/>
              </w:rPr>
            </w:pPr>
            <w:r w:rsidRPr="00A46856">
              <w:rPr>
                <w:rFonts w:cs="Arial"/>
                <w:b/>
                <w:bCs/>
                <w:sz w:val="19"/>
                <w:szCs w:val="19"/>
              </w:rPr>
              <w:t>Reexaminations</w:t>
            </w:r>
          </w:p>
        </w:tc>
      </w:tr>
      <w:tr w:rsidR="00A46856" w:rsidRPr="00A46856" w14:paraId="116DB799" w14:textId="77777777" w:rsidTr="00A46856">
        <w:tc>
          <w:tcPr>
            <w:tcW w:w="985" w:type="dxa"/>
            <w:vAlign w:val="center"/>
          </w:tcPr>
          <w:p w14:paraId="7EC69245" w14:textId="77777777" w:rsidR="006B66F8" w:rsidRPr="00A46856" w:rsidRDefault="006B66F8" w:rsidP="00B35D5E">
            <w:pPr>
              <w:spacing w:before="60" w:after="60"/>
              <w:jc w:val="left"/>
              <w:rPr>
                <w:rFonts w:cs="Arial"/>
                <w:sz w:val="19"/>
                <w:szCs w:val="19"/>
              </w:rPr>
            </w:pPr>
            <w:r w:rsidRPr="00A46856">
              <w:rPr>
                <w:rFonts w:cs="Arial"/>
                <w:sz w:val="19"/>
                <w:szCs w:val="19"/>
              </w:rPr>
              <w:t>3.b.</w:t>
            </w:r>
          </w:p>
        </w:tc>
        <w:tc>
          <w:tcPr>
            <w:tcW w:w="1800" w:type="dxa"/>
            <w:vAlign w:val="center"/>
          </w:tcPr>
          <w:p w14:paraId="22E65FC6" w14:textId="77777777" w:rsidR="006B66F8" w:rsidRPr="00A46856" w:rsidRDefault="006B66F8" w:rsidP="00B35D5E">
            <w:pPr>
              <w:spacing w:before="60" w:after="60"/>
              <w:jc w:val="left"/>
              <w:rPr>
                <w:rFonts w:cs="Arial"/>
                <w:sz w:val="19"/>
                <w:szCs w:val="19"/>
              </w:rPr>
            </w:pPr>
            <w:r w:rsidRPr="00A46856">
              <w:rPr>
                <w:rFonts w:cs="Arial"/>
                <w:sz w:val="19"/>
                <w:szCs w:val="19"/>
              </w:rPr>
              <w:t>Alternative Reexamination Schedule for Households</w:t>
            </w:r>
          </w:p>
        </w:tc>
        <w:tc>
          <w:tcPr>
            <w:tcW w:w="1170" w:type="dxa"/>
            <w:vAlign w:val="center"/>
          </w:tcPr>
          <w:p w14:paraId="7AF4E865" w14:textId="77777777" w:rsidR="006B66F8" w:rsidRPr="00A46856" w:rsidRDefault="006B66F8" w:rsidP="00B35D5E">
            <w:pPr>
              <w:spacing w:before="60" w:after="60"/>
              <w:jc w:val="left"/>
              <w:rPr>
                <w:rFonts w:cs="Arial"/>
                <w:sz w:val="19"/>
                <w:szCs w:val="19"/>
              </w:rPr>
            </w:pPr>
            <w:r w:rsidRPr="00A46856">
              <w:rPr>
                <w:rFonts w:cs="Arial"/>
                <w:sz w:val="19"/>
                <w:szCs w:val="19"/>
              </w:rPr>
              <w:t>FY 2022</w:t>
            </w:r>
          </w:p>
        </w:tc>
        <w:tc>
          <w:tcPr>
            <w:tcW w:w="2160" w:type="dxa"/>
            <w:vAlign w:val="center"/>
          </w:tcPr>
          <w:p w14:paraId="53F79515" w14:textId="33A56D22" w:rsidR="006B66F8" w:rsidRPr="00A46856" w:rsidRDefault="00F3462B" w:rsidP="00CB52D8">
            <w:pPr>
              <w:pStyle w:val="ListParagraph"/>
              <w:numPr>
                <w:ilvl w:val="0"/>
                <w:numId w:val="75"/>
              </w:numPr>
              <w:spacing w:before="60" w:after="60"/>
              <w:ind w:left="217" w:hanging="217"/>
              <w:contextualSpacing w:val="0"/>
              <w:jc w:val="left"/>
              <w:rPr>
                <w:rFonts w:cs="Arial"/>
                <w:b/>
                <w:bCs/>
                <w:color w:val="0070C0"/>
                <w:sz w:val="19"/>
                <w:szCs w:val="19"/>
              </w:rPr>
            </w:pPr>
            <w:r w:rsidRPr="00A46856">
              <w:rPr>
                <w:rFonts w:cs="Arial"/>
                <w:b/>
                <w:bCs/>
                <w:color w:val="0070C0"/>
                <w:sz w:val="19"/>
                <w:szCs w:val="19"/>
              </w:rPr>
              <w:fldChar w:fldCharType="begin"/>
            </w:r>
            <w:r w:rsidRPr="00A46856">
              <w:rPr>
                <w:rFonts w:cs="Arial"/>
                <w:b/>
                <w:bCs/>
                <w:color w:val="0070C0"/>
                <w:sz w:val="19"/>
                <w:szCs w:val="19"/>
              </w:rPr>
              <w:instrText xml:space="preserve"> REF _Ref151015710 \w \h  \* MERGEFORMAT </w:instrText>
            </w:r>
            <w:r w:rsidRPr="00A46856">
              <w:rPr>
                <w:rFonts w:cs="Arial"/>
                <w:b/>
                <w:bCs/>
                <w:color w:val="0070C0"/>
                <w:sz w:val="19"/>
                <w:szCs w:val="19"/>
              </w:rPr>
            </w:r>
            <w:r w:rsidRPr="00A46856">
              <w:rPr>
                <w:rFonts w:cs="Arial"/>
                <w:b/>
                <w:bCs/>
                <w:color w:val="0070C0"/>
                <w:sz w:val="19"/>
                <w:szCs w:val="19"/>
              </w:rPr>
              <w:fldChar w:fldCharType="separate"/>
            </w:r>
            <w:r w:rsidRPr="00A46856">
              <w:rPr>
                <w:rFonts w:cs="Arial"/>
                <w:b/>
                <w:bCs/>
                <w:color w:val="0070C0"/>
                <w:sz w:val="19"/>
                <w:szCs w:val="19"/>
              </w:rPr>
              <w:t>CHAPTER 15:</w:t>
            </w:r>
            <w:r w:rsidRPr="00A46856">
              <w:rPr>
                <w:rFonts w:cs="Arial"/>
                <w:b/>
                <w:bCs/>
                <w:color w:val="0070C0"/>
                <w:sz w:val="19"/>
                <w:szCs w:val="19"/>
              </w:rPr>
              <w:fldChar w:fldCharType="end"/>
            </w:r>
            <w:r w:rsidRPr="00A46856">
              <w:rPr>
                <w:rFonts w:cs="Arial"/>
                <w:b/>
                <w:bCs/>
                <w:color w:val="0070C0"/>
                <w:sz w:val="19"/>
                <w:szCs w:val="19"/>
              </w:rPr>
              <w:t xml:space="preserve"> </w:t>
            </w:r>
            <w:r w:rsidRPr="00A46856">
              <w:rPr>
                <w:rFonts w:cs="Arial"/>
                <w:b/>
                <w:bCs/>
                <w:color w:val="0070C0"/>
                <w:sz w:val="19"/>
                <w:szCs w:val="19"/>
              </w:rPr>
              <w:fldChar w:fldCharType="begin"/>
            </w:r>
            <w:r w:rsidRPr="00A46856">
              <w:rPr>
                <w:rFonts w:cs="Arial"/>
                <w:b/>
                <w:bCs/>
                <w:color w:val="0070C0"/>
                <w:sz w:val="19"/>
                <w:szCs w:val="19"/>
              </w:rPr>
              <w:instrText xml:space="preserve"> REF _Ref151015710 \h  \* MERGEFORMAT </w:instrText>
            </w:r>
            <w:r w:rsidRPr="00A46856">
              <w:rPr>
                <w:rFonts w:cs="Arial"/>
                <w:b/>
                <w:bCs/>
                <w:color w:val="0070C0"/>
                <w:sz w:val="19"/>
                <w:szCs w:val="19"/>
              </w:rPr>
            </w:r>
            <w:r w:rsidRPr="00A46856">
              <w:rPr>
                <w:rFonts w:cs="Arial"/>
                <w:b/>
                <w:bCs/>
                <w:color w:val="0070C0"/>
                <w:sz w:val="19"/>
                <w:szCs w:val="19"/>
              </w:rPr>
              <w:fldChar w:fldCharType="separate"/>
            </w:r>
            <w:r w:rsidRPr="00A46856">
              <w:rPr>
                <w:rFonts w:cs="Arial"/>
                <w:b/>
                <w:bCs/>
                <w:color w:val="0070C0"/>
                <w:sz w:val="19"/>
                <w:szCs w:val="19"/>
              </w:rPr>
              <w:t>REEXAMINATIONS AND CONTINUED OCCUPANCY</w:t>
            </w:r>
            <w:r w:rsidRPr="00A46856">
              <w:rPr>
                <w:rFonts w:cs="Arial"/>
                <w:b/>
                <w:bCs/>
                <w:color w:val="0070C0"/>
                <w:sz w:val="19"/>
                <w:szCs w:val="19"/>
              </w:rPr>
              <w:fldChar w:fldCharType="end"/>
            </w:r>
          </w:p>
        </w:tc>
        <w:tc>
          <w:tcPr>
            <w:tcW w:w="1980" w:type="dxa"/>
            <w:vAlign w:val="center"/>
          </w:tcPr>
          <w:p w14:paraId="2084771C" w14:textId="79A58887" w:rsidR="006B66F8" w:rsidRPr="00A46856" w:rsidRDefault="00F3462B" w:rsidP="00CB52D8">
            <w:pPr>
              <w:pStyle w:val="ListParagraph"/>
              <w:numPr>
                <w:ilvl w:val="0"/>
                <w:numId w:val="75"/>
              </w:numPr>
              <w:spacing w:before="60" w:after="60"/>
              <w:ind w:left="217" w:hanging="217"/>
              <w:contextualSpacing w:val="0"/>
              <w:jc w:val="left"/>
              <w:rPr>
                <w:rFonts w:cs="Arial"/>
                <w:b/>
                <w:bCs/>
                <w:color w:val="0070C0"/>
                <w:sz w:val="19"/>
                <w:szCs w:val="19"/>
              </w:rPr>
            </w:pPr>
            <w:r w:rsidRPr="00A46856">
              <w:rPr>
                <w:rFonts w:cs="Arial"/>
                <w:b/>
                <w:bCs/>
                <w:color w:val="0070C0"/>
                <w:sz w:val="19"/>
                <w:szCs w:val="19"/>
              </w:rPr>
              <w:fldChar w:fldCharType="begin"/>
            </w:r>
            <w:r w:rsidRPr="00A46856">
              <w:rPr>
                <w:rFonts w:cs="Arial"/>
                <w:b/>
                <w:bCs/>
                <w:color w:val="0070C0"/>
                <w:sz w:val="19"/>
                <w:szCs w:val="19"/>
              </w:rPr>
              <w:instrText xml:space="preserve"> REF _Ref165032657 \w \h  \* MERGEFORMAT </w:instrText>
            </w:r>
            <w:r w:rsidRPr="00A46856">
              <w:rPr>
                <w:rFonts w:cs="Arial"/>
                <w:b/>
                <w:bCs/>
                <w:color w:val="0070C0"/>
                <w:sz w:val="19"/>
                <w:szCs w:val="19"/>
              </w:rPr>
            </w:r>
            <w:r w:rsidRPr="00A46856">
              <w:rPr>
                <w:rFonts w:cs="Arial"/>
                <w:b/>
                <w:bCs/>
                <w:color w:val="0070C0"/>
                <w:sz w:val="19"/>
                <w:szCs w:val="19"/>
              </w:rPr>
              <w:fldChar w:fldCharType="separate"/>
            </w:r>
            <w:r w:rsidRPr="00A46856">
              <w:rPr>
                <w:rFonts w:cs="Arial"/>
                <w:b/>
                <w:bCs/>
                <w:color w:val="0070C0"/>
                <w:sz w:val="19"/>
                <w:szCs w:val="19"/>
              </w:rPr>
              <w:t>15.5</w:t>
            </w:r>
            <w:r w:rsidRPr="00A46856">
              <w:rPr>
                <w:rFonts w:cs="Arial"/>
                <w:b/>
                <w:bCs/>
                <w:color w:val="0070C0"/>
                <w:sz w:val="19"/>
                <w:szCs w:val="19"/>
              </w:rPr>
              <w:fldChar w:fldCharType="end"/>
            </w:r>
            <w:r w:rsidRPr="00A46856">
              <w:rPr>
                <w:rFonts w:cs="Arial"/>
                <w:b/>
                <w:bCs/>
                <w:color w:val="0070C0"/>
                <w:sz w:val="19"/>
                <w:szCs w:val="19"/>
              </w:rPr>
              <w:t xml:space="preserve"> </w:t>
            </w:r>
            <w:r w:rsidRPr="00A46856">
              <w:rPr>
                <w:rFonts w:cs="Arial"/>
                <w:b/>
                <w:bCs/>
                <w:color w:val="0070C0"/>
                <w:sz w:val="19"/>
                <w:szCs w:val="19"/>
              </w:rPr>
              <w:fldChar w:fldCharType="begin"/>
            </w:r>
            <w:r w:rsidRPr="00A46856">
              <w:rPr>
                <w:rFonts w:cs="Arial"/>
                <w:b/>
                <w:bCs/>
                <w:color w:val="0070C0"/>
                <w:sz w:val="19"/>
                <w:szCs w:val="19"/>
              </w:rPr>
              <w:instrText xml:space="preserve"> REF _Ref165032662 \h  \* MERGEFORMAT </w:instrText>
            </w:r>
            <w:r w:rsidRPr="00A46856">
              <w:rPr>
                <w:rFonts w:cs="Arial"/>
                <w:b/>
                <w:bCs/>
                <w:color w:val="0070C0"/>
                <w:sz w:val="19"/>
                <w:szCs w:val="19"/>
              </w:rPr>
            </w:r>
            <w:r w:rsidRPr="00A46856">
              <w:rPr>
                <w:rFonts w:cs="Arial"/>
                <w:b/>
                <w:bCs/>
                <w:color w:val="0070C0"/>
                <w:sz w:val="19"/>
                <w:szCs w:val="19"/>
              </w:rPr>
              <w:fldChar w:fldCharType="separate"/>
            </w:r>
            <w:r w:rsidRPr="00A46856">
              <w:rPr>
                <w:rFonts w:cs="Arial"/>
                <w:b/>
                <w:bCs/>
                <w:color w:val="0070C0"/>
                <w:sz w:val="19"/>
                <w:szCs w:val="19"/>
              </w:rPr>
              <w:t>Regular Reexaminations</w:t>
            </w:r>
            <w:r w:rsidRPr="00A46856">
              <w:rPr>
                <w:rFonts w:cs="Arial"/>
                <w:b/>
                <w:bCs/>
                <w:color w:val="0070C0"/>
                <w:sz w:val="19"/>
                <w:szCs w:val="19"/>
              </w:rPr>
              <w:fldChar w:fldCharType="end"/>
            </w:r>
          </w:p>
        </w:tc>
        <w:tc>
          <w:tcPr>
            <w:tcW w:w="1350" w:type="dxa"/>
            <w:vAlign w:val="center"/>
          </w:tcPr>
          <w:p w14:paraId="14DA2FF0" w14:textId="77777777" w:rsidR="006B66F8" w:rsidRPr="00A46856" w:rsidRDefault="006B66F8" w:rsidP="00B35D5E">
            <w:pPr>
              <w:spacing w:before="60" w:after="60"/>
              <w:jc w:val="left"/>
              <w:rPr>
                <w:rFonts w:cs="Arial"/>
                <w:sz w:val="19"/>
                <w:szCs w:val="19"/>
              </w:rPr>
            </w:pPr>
            <w:r w:rsidRPr="00A46856">
              <w:rPr>
                <w:rFonts w:cs="Arial"/>
                <w:sz w:val="19"/>
                <w:szCs w:val="19"/>
              </w:rPr>
              <w:t>All MTW-assisted households</w:t>
            </w:r>
          </w:p>
        </w:tc>
      </w:tr>
      <w:tr w:rsidR="00A46856" w:rsidRPr="00A46856" w14:paraId="07AC4B3B" w14:textId="77777777" w:rsidTr="00A46856">
        <w:tc>
          <w:tcPr>
            <w:tcW w:w="985" w:type="dxa"/>
            <w:vAlign w:val="center"/>
          </w:tcPr>
          <w:p w14:paraId="39291EE8" w14:textId="77777777" w:rsidR="003B07E1" w:rsidRPr="00A46856" w:rsidRDefault="003B07E1" w:rsidP="00B35D5E">
            <w:pPr>
              <w:spacing w:before="60" w:after="60"/>
              <w:jc w:val="left"/>
              <w:rPr>
                <w:rFonts w:cs="Arial"/>
                <w:sz w:val="19"/>
                <w:szCs w:val="19"/>
              </w:rPr>
            </w:pPr>
            <w:r w:rsidRPr="00A46856">
              <w:rPr>
                <w:rFonts w:cs="Arial"/>
                <w:sz w:val="19"/>
                <w:szCs w:val="19"/>
              </w:rPr>
              <w:t>3.d.</w:t>
            </w:r>
          </w:p>
        </w:tc>
        <w:tc>
          <w:tcPr>
            <w:tcW w:w="1800" w:type="dxa"/>
            <w:vAlign w:val="center"/>
          </w:tcPr>
          <w:p w14:paraId="79937834" w14:textId="77777777" w:rsidR="003B07E1" w:rsidRPr="00A46856" w:rsidRDefault="003B07E1" w:rsidP="00B35D5E">
            <w:pPr>
              <w:spacing w:before="60" w:after="60"/>
              <w:jc w:val="left"/>
              <w:rPr>
                <w:rFonts w:cs="Arial"/>
                <w:sz w:val="19"/>
                <w:szCs w:val="19"/>
              </w:rPr>
            </w:pPr>
            <w:r w:rsidRPr="00A46856">
              <w:rPr>
                <w:rFonts w:cs="Arial"/>
                <w:sz w:val="19"/>
                <w:szCs w:val="19"/>
              </w:rPr>
              <w:t>Self-Certification of Assets</w:t>
            </w:r>
          </w:p>
        </w:tc>
        <w:tc>
          <w:tcPr>
            <w:tcW w:w="1170" w:type="dxa"/>
            <w:vAlign w:val="center"/>
          </w:tcPr>
          <w:p w14:paraId="29775F80" w14:textId="77777777" w:rsidR="003B07E1" w:rsidRPr="00A46856" w:rsidRDefault="003B07E1" w:rsidP="00B35D5E">
            <w:pPr>
              <w:spacing w:before="60" w:after="60"/>
              <w:jc w:val="left"/>
              <w:rPr>
                <w:rFonts w:cs="Arial"/>
                <w:sz w:val="19"/>
                <w:szCs w:val="19"/>
              </w:rPr>
            </w:pPr>
            <w:r w:rsidRPr="00A46856">
              <w:rPr>
                <w:rFonts w:cs="Arial"/>
                <w:sz w:val="19"/>
                <w:szCs w:val="19"/>
              </w:rPr>
              <w:t>FY 2022</w:t>
            </w:r>
          </w:p>
        </w:tc>
        <w:tc>
          <w:tcPr>
            <w:tcW w:w="2160" w:type="dxa"/>
            <w:vAlign w:val="center"/>
          </w:tcPr>
          <w:p w14:paraId="5EE7AE2A" w14:textId="67C6AEEA" w:rsidR="003B07E1" w:rsidRPr="00A46856" w:rsidRDefault="003B07E1" w:rsidP="00CB52D8">
            <w:pPr>
              <w:pStyle w:val="ListParagraph"/>
              <w:numPr>
                <w:ilvl w:val="0"/>
                <w:numId w:val="75"/>
              </w:numPr>
              <w:spacing w:before="60" w:after="60"/>
              <w:ind w:left="217" w:hanging="217"/>
              <w:contextualSpacing w:val="0"/>
              <w:jc w:val="left"/>
              <w:rPr>
                <w:rFonts w:cs="Arial"/>
                <w:sz w:val="19"/>
                <w:szCs w:val="19"/>
              </w:rPr>
            </w:pPr>
            <w:r w:rsidRPr="00A46856">
              <w:rPr>
                <w:rFonts w:cs="Arial"/>
                <w:b/>
                <w:bCs/>
                <w:color w:val="0070C0"/>
                <w:sz w:val="19"/>
                <w:szCs w:val="19"/>
              </w:rPr>
              <w:fldChar w:fldCharType="begin"/>
            </w:r>
            <w:r w:rsidRPr="00A46856">
              <w:rPr>
                <w:rFonts w:cs="Arial"/>
                <w:b/>
                <w:bCs/>
                <w:color w:val="0070C0"/>
                <w:sz w:val="19"/>
                <w:szCs w:val="19"/>
              </w:rPr>
              <w:instrText xml:space="preserve"> REF _Ref150438144 \w \h </w:instrText>
            </w:r>
            <w:r w:rsidR="00F3462B" w:rsidRPr="00A46856">
              <w:rPr>
                <w:rFonts w:cs="Arial"/>
                <w:b/>
                <w:bCs/>
                <w:color w:val="0070C0"/>
                <w:sz w:val="19"/>
                <w:szCs w:val="19"/>
              </w:rPr>
              <w:instrText xml:space="preserve"> \* MERGEFORMAT </w:instrText>
            </w:r>
            <w:r w:rsidRPr="00A46856">
              <w:rPr>
                <w:rFonts w:cs="Arial"/>
                <w:b/>
                <w:bCs/>
                <w:color w:val="0070C0"/>
                <w:sz w:val="19"/>
                <w:szCs w:val="19"/>
              </w:rPr>
            </w:r>
            <w:r w:rsidRPr="00A46856">
              <w:rPr>
                <w:rFonts w:cs="Arial"/>
                <w:b/>
                <w:bCs/>
                <w:color w:val="0070C0"/>
                <w:sz w:val="19"/>
                <w:szCs w:val="19"/>
              </w:rPr>
              <w:fldChar w:fldCharType="separate"/>
            </w:r>
            <w:r w:rsidRPr="00A46856">
              <w:rPr>
                <w:rFonts w:cs="Arial"/>
                <w:b/>
                <w:bCs/>
                <w:color w:val="0070C0"/>
                <w:sz w:val="19"/>
                <w:szCs w:val="19"/>
              </w:rPr>
              <w:t>CHAPTER 9:</w:t>
            </w:r>
            <w:r w:rsidRPr="00A46856">
              <w:rPr>
                <w:rFonts w:cs="Arial"/>
                <w:b/>
                <w:bCs/>
                <w:color w:val="0070C0"/>
                <w:sz w:val="19"/>
                <w:szCs w:val="19"/>
              </w:rPr>
              <w:fldChar w:fldCharType="end"/>
            </w:r>
            <w:r w:rsidRPr="00A46856">
              <w:rPr>
                <w:rFonts w:cs="Arial"/>
                <w:b/>
                <w:bCs/>
                <w:color w:val="0070C0"/>
                <w:sz w:val="19"/>
                <w:szCs w:val="19"/>
              </w:rPr>
              <w:t xml:space="preserve"> </w:t>
            </w:r>
            <w:r w:rsidRPr="00A46856">
              <w:rPr>
                <w:rFonts w:cs="Arial"/>
                <w:b/>
                <w:bCs/>
                <w:color w:val="0070C0"/>
                <w:sz w:val="19"/>
                <w:szCs w:val="19"/>
              </w:rPr>
              <w:fldChar w:fldCharType="begin"/>
            </w:r>
            <w:r w:rsidRPr="00A46856">
              <w:rPr>
                <w:rFonts w:cs="Arial"/>
                <w:b/>
                <w:bCs/>
                <w:color w:val="0070C0"/>
                <w:sz w:val="19"/>
                <w:szCs w:val="19"/>
              </w:rPr>
              <w:instrText xml:space="preserve"> REF _Ref150438144 \h  \* MERGEFORMAT </w:instrText>
            </w:r>
            <w:r w:rsidRPr="00A46856">
              <w:rPr>
                <w:rFonts w:cs="Arial"/>
                <w:b/>
                <w:bCs/>
                <w:color w:val="0070C0"/>
                <w:sz w:val="19"/>
                <w:szCs w:val="19"/>
              </w:rPr>
            </w:r>
            <w:r w:rsidRPr="00A46856">
              <w:rPr>
                <w:rFonts w:cs="Arial"/>
                <w:b/>
                <w:bCs/>
                <w:color w:val="0070C0"/>
                <w:sz w:val="19"/>
                <w:szCs w:val="19"/>
              </w:rPr>
              <w:fldChar w:fldCharType="separate"/>
            </w:r>
            <w:r w:rsidRPr="00A46856">
              <w:rPr>
                <w:rFonts w:cs="Arial"/>
                <w:b/>
                <w:bCs/>
                <w:color w:val="0070C0"/>
                <w:sz w:val="19"/>
                <w:szCs w:val="19"/>
              </w:rPr>
              <w:t>VERIFICATION</w:t>
            </w:r>
            <w:r w:rsidRPr="00A46856">
              <w:rPr>
                <w:rFonts w:cs="Arial"/>
                <w:b/>
                <w:bCs/>
                <w:color w:val="0070C0"/>
                <w:sz w:val="19"/>
                <w:szCs w:val="19"/>
              </w:rPr>
              <w:fldChar w:fldCharType="end"/>
            </w:r>
          </w:p>
        </w:tc>
        <w:tc>
          <w:tcPr>
            <w:tcW w:w="1980" w:type="dxa"/>
            <w:vAlign w:val="center"/>
          </w:tcPr>
          <w:p w14:paraId="639767AC" w14:textId="5B172FAF" w:rsidR="003B07E1" w:rsidRPr="00A46856" w:rsidRDefault="00297C6D" w:rsidP="00CB52D8">
            <w:pPr>
              <w:pStyle w:val="ListParagraph"/>
              <w:numPr>
                <w:ilvl w:val="0"/>
                <w:numId w:val="75"/>
              </w:numPr>
              <w:spacing w:before="60" w:after="60"/>
              <w:ind w:left="217" w:hanging="217"/>
              <w:contextualSpacing w:val="0"/>
              <w:jc w:val="left"/>
              <w:rPr>
                <w:rFonts w:cs="Arial"/>
                <w:b/>
                <w:bCs/>
                <w:sz w:val="19"/>
                <w:szCs w:val="19"/>
              </w:rPr>
            </w:pPr>
            <w:r w:rsidRPr="00A46856">
              <w:rPr>
                <w:rFonts w:cs="Arial"/>
                <w:b/>
                <w:bCs/>
                <w:color w:val="0070C0"/>
                <w:sz w:val="19"/>
                <w:szCs w:val="19"/>
              </w:rPr>
              <w:fldChar w:fldCharType="begin"/>
            </w:r>
            <w:r w:rsidRPr="00A46856">
              <w:rPr>
                <w:rFonts w:cs="Arial"/>
                <w:b/>
                <w:bCs/>
                <w:color w:val="0070C0"/>
                <w:sz w:val="19"/>
                <w:szCs w:val="19"/>
              </w:rPr>
              <w:instrText xml:space="preserve"> REF _Ref165032102 \w \h  \* MERGEFORMAT </w:instrText>
            </w:r>
            <w:r w:rsidRPr="00A46856">
              <w:rPr>
                <w:rFonts w:cs="Arial"/>
                <w:b/>
                <w:bCs/>
                <w:color w:val="0070C0"/>
                <w:sz w:val="19"/>
                <w:szCs w:val="19"/>
              </w:rPr>
            </w:r>
            <w:r w:rsidRPr="00A46856">
              <w:rPr>
                <w:rFonts w:cs="Arial"/>
                <w:b/>
                <w:bCs/>
                <w:color w:val="0070C0"/>
                <w:sz w:val="19"/>
                <w:szCs w:val="19"/>
              </w:rPr>
              <w:fldChar w:fldCharType="separate"/>
            </w:r>
            <w:r w:rsidRPr="00A46856">
              <w:rPr>
                <w:rFonts w:cs="Arial"/>
                <w:b/>
                <w:bCs/>
                <w:color w:val="0070C0"/>
                <w:sz w:val="19"/>
                <w:szCs w:val="19"/>
              </w:rPr>
              <w:t>9.8</w:t>
            </w:r>
            <w:r w:rsidRPr="00A46856">
              <w:rPr>
                <w:rFonts w:cs="Arial"/>
                <w:b/>
                <w:bCs/>
                <w:color w:val="0070C0"/>
                <w:sz w:val="19"/>
                <w:szCs w:val="19"/>
              </w:rPr>
              <w:fldChar w:fldCharType="end"/>
            </w:r>
            <w:r w:rsidRPr="00A46856">
              <w:rPr>
                <w:rFonts w:cs="Arial"/>
                <w:b/>
                <w:bCs/>
                <w:color w:val="0070C0"/>
                <w:sz w:val="19"/>
                <w:szCs w:val="19"/>
              </w:rPr>
              <w:t xml:space="preserve"> </w:t>
            </w:r>
            <w:hyperlink w:anchor="_Verification_of_Assets" w:history="1">
              <w:r w:rsidR="003B07E1" w:rsidRPr="00A46856">
                <w:rPr>
                  <w:rStyle w:val="Hyperlink"/>
                  <w:rFonts w:cs="Arial"/>
                  <w:b w:val="0"/>
                  <w:bCs/>
                  <w:color w:val="0070C0"/>
                  <w:sz w:val="19"/>
                  <w:szCs w:val="19"/>
                </w:rPr>
                <w:fldChar w:fldCharType="begin"/>
              </w:r>
              <w:r w:rsidR="003B07E1" w:rsidRPr="00A46856">
                <w:rPr>
                  <w:rFonts w:cs="Arial"/>
                  <w:b/>
                  <w:bCs/>
                  <w:color w:val="0070C0"/>
                  <w:sz w:val="19"/>
                  <w:szCs w:val="19"/>
                </w:rPr>
                <w:instrText xml:space="preserve"> REF _Ref148536431 \h </w:instrText>
              </w:r>
              <w:r w:rsidR="003B07E1" w:rsidRPr="00A46856">
                <w:rPr>
                  <w:rStyle w:val="Hyperlink"/>
                  <w:rFonts w:cs="Arial"/>
                  <w:b w:val="0"/>
                  <w:bCs/>
                  <w:color w:val="0070C0"/>
                  <w:sz w:val="19"/>
                  <w:szCs w:val="19"/>
                </w:rPr>
                <w:instrText xml:space="preserve"> \* MERGEFORMAT </w:instrText>
              </w:r>
              <w:r w:rsidR="003B07E1" w:rsidRPr="00A46856">
                <w:rPr>
                  <w:rStyle w:val="Hyperlink"/>
                  <w:rFonts w:cs="Arial"/>
                  <w:b w:val="0"/>
                  <w:bCs/>
                  <w:color w:val="0070C0"/>
                  <w:sz w:val="19"/>
                  <w:szCs w:val="19"/>
                </w:rPr>
              </w:r>
              <w:r w:rsidR="003B07E1" w:rsidRPr="00A46856">
                <w:rPr>
                  <w:rStyle w:val="Hyperlink"/>
                  <w:rFonts w:cs="Arial"/>
                  <w:b w:val="0"/>
                  <w:bCs/>
                  <w:color w:val="0070C0"/>
                  <w:sz w:val="19"/>
                  <w:szCs w:val="19"/>
                </w:rPr>
                <w:fldChar w:fldCharType="separate"/>
              </w:r>
              <w:r w:rsidR="003B07E1" w:rsidRPr="00A46856">
                <w:rPr>
                  <w:rFonts w:cs="Arial"/>
                  <w:b/>
                  <w:bCs/>
                  <w:color w:val="0070C0"/>
                  <w:sz w:val="19"/>
                  <w:szCs w:val="19"/>
                </w:rPr>
                <w:t>Verification of Assets</w:t>
              </w:r>
              <w:r w:rsidR="003B07E1" w:rsidRPr="00A46856">
                <w:rPr>
                  <w:rStyle w:val="Hyperlink"/>
                  <w:rFonts w:cs="Arial"/>
                  <w:b w:val="0"/>
                  <w:bCs/>
                  <w:color w:val="0070C0"/>
                  <w:sz w:val="19"/>
                  <w:szCs w:val="19"/>
                </w:rPr>
                <w:fldChar w:fldCharType="end"/>
              </w:r>
            </w:hyperlink>
          </w:p>
        </w:tc>
        <w:tc>
          <w:tcPr>
            <w:tcW w:w="1350" w:type="dxa"/>
            <w:vAlign w:val="center"/>
          </w:tcPr>
          <w:p w14:paraId="427117D6" w14:textId="77777777" w:rsidR="003B07E1" w:rsidRPr="00A46856" w:rsidRDefault="003B07E1" w:rsidP="00B35D5E">
            <w:pPr>
              <w:spacing w:before="60" w:after="60"/>
              <w:jc w:val="left"/>
              <w:rPr>
                <w:rFonts w:cs="Arial"/>
                <w:sz w:val="19"/>
                <w:szCs w:val="19"/>
              </w:rPr>
            </w:pPr>
            <w:r w:rsidRPr="00A46856">
              <w:rPr>
                <w:rFonts w:cs="Arial"/>
                <w:sz w:val="19"/>
                <w:szCs w:val="19"/>
              </w:rPr>
              <w:t>All MTW-assisted households</w:t>
            </w:r>
          </w:p>
        </w:tc>
      </w:tr>
      <w:tr w:rsidR="003B07E1" w:rsidRPr="00A46856" w14:paraId="3E42F3B8" w14:textId="77777777" w:rsidTr="004E5206">
        <w:trPr>
          <w:trHeight w:val="432"/>
        </w:trPr>
        <w:tc>
          <w:tcPr>
            <w:tcW w:w="9445" w:type="dxa"/>
            <w:gridSpan w:val="6"/>
            <w:shd w:val="clear" w:color="auto" w:fill="F2F2F2" w:themeFill="background1" w:themeFillShade="F2"/>
          </w:tcPr>
          <w:p w14:paraId="069C8911" w14:textId="2448F3A8" w:rsidR="003B07E1" w:rsidRPr="00A46856" w:rsidRDefault="003B07E1" w:rsidP="00B35D5E">
            <w:pPr>
              <w:spacing w:before="60" w:after="60"/>
              <w:jc w:val="left"/>
              <w:rPr>
                <w:rFonts w:cs="Arial"/>
                <w:b/>
                <w:bCs/>
                <w:sz w:val="19"/>
                <w:szCs w:val="19"/>
              </w:rPr>
            </w:pPr>
            <w:r w:rsidRPr="00A46856">
              <w:rPr>
                <w:rFonts w:cs="Arial"/>
                <w:b/>
                <w:bCs/>
                <w:sz w:val="19"/>
                <w:szCs w:val="19"/>
              </w:rPr>
              <w:t>Agency-Specific Waivers</w:t>
            </w:r>
          </w:p>
        </w:tc>
      </w:tr>
      <w:tr w:rsidR="00A46856" w:rsidRPr="00A46856" w14:paraId="72886F7B" w14:textId="77777777" w:rsidTr="00A46856">
        <w:tc>
          <w:tcPr>
            <w:tcW w:w="985" w:type="dxa"/>
            <w:vAlign w:val="center"/>
          </w:tcPr>
          <w:p w14:paraId="298CA992" w14:textId="0A2E2E73" w:rsidR="003B07E1" w:rsidRPr="00A46856" w:rsidRDefault="003B07E1" w:rsidP="00B35D5E">
            <w:pPr>
              <w:spacing w:before="60" w:after="60"/>
              <w:jc w:val="left"/>
              <w:rPr>
                <w:rFonts w:cs="Arial"/>
                <w:sz w:val="19"/>
                <w:szCs w:val="19"/>
              </w:rPr>
            </w:pPr>
            <w:r w:rsidRPr="00A46856">
              <w:rPr>
                <w:rFonts w:cs="Arial"/>
                <w:sz w:val="19"/>
                <w:szCs w:val="19"/>
              </w:rPr>
              <w:t>Agenc</w:t>
            </w:r>
            <w:r w:rsidR="00A46856">
              <w:rPr>
                <w:rFonts w:cs="Arial"/>
                <w:sz w:val="19"/>
                <w:szCs w:val="19"/>
              </w:rPr>
              <w:t>y-S</w:t>
            </w:r>
            <w:r w:rsidRPr="00A46856">
              <w:rPr>
                <w:rFonts w:cs="Arial"/>
                <w:sz w:val="19"/>
                <w:szCs w:val="19"/>
              </w:rPr>
              <w:t>pecific</w:t>
            </w:r>
          </w:p>
        </w:tc>
        <w:tc>
          <w:tcPr>
            <w:tcW w:w="1800" w:type="dxa"/>
            <w:vAlign w:val="center"/>
          </w:tcPr>
          <w:p w14:paraId="145203B5" w14:textId="77777777" w:rsidR="003B07E1" w:rsidRPr="00A46856" w:rsidRDefault="003B07E1" w:rsidP="00B35D5E">
            <w:pPr>
              <w:spacing w:before="60" w:after="60"/>
              <w:jc w:val="left"/>
              <w:rPr>
                <w:rFonts w:cs="Arial"/>
                <w:sz w:val="19"/>
                <w:szCs w:val="19"/>
              </w:rPr>
            </w:pPr>
            <w:r w:rsidRPr="00A46856">
              <w:rPr>
                <w:rFonts w:cs="Arial"/>
                <w:sz w:val="19"/>
                <w:szCs w:val="19"/>
              </w:rPr>
              <w:t>Alternative Verification Methods</w:t>
            </w:r>
          </w:p>
        </w:tc>
        <w:tc>
          <w:tcPr>
            <w:tcW w:w="1170" w:type="dxa"/>
            <w:vAlign w:val="center"/>
          </w:tcPr>
          <w:p w14:paraId="2964FD0A" w14:textId="77777777" w:rsidR="003B07E1" w:rsidRPr="00A46856" w:rsidRDefault="003B07E1" w:rsidP="00B35D5E">
            <w:pPr>
              <w:spacing w:before="60" w:after="60"/>
              <w:jc w:val="left"/>
              <w:rPr>
                <w:rFonts w:cs="Arial"/>
                <w:sz w:val="19"/>
                <w:szCs w:val="19"/>
              </w:rPr>
            </w:pPr>
            <w:r w:rsidRPr="00A46856">
              <w:rPr>
                <w:rFonts w:cs="Arial"/>
                <w:sz w:val="19"/>
                <w:szCs w:val="19"/>
              </w:rPr>
              <w:t>FY 2022</w:t>
            </w:r>
          </w:p>
        </w:tc>
        <w:tc>
          <w:tcPr>
            <w:tcW w:w="2160" w:type="dxa"/>
            <w:vAlign w:val="center"/>
          </w:tcPr>
          <w:p w14:paraId="038C7208" w14:textId="4C312C4F" w:rsidR="003B07E1" w:rsidRPr="00A46856" w:rsidRDefault="003B07E1" w:rsidP="00CB52D8">
            <w:pPr>
              <w:pStyle w:val="ListParagraph"/>
              <w:numPr>
                <w:ilvl w:val="0"/>
                <w:numId w:val="75"/>
              </w:numPr>
              <w:spacing w:before="60" w:after="60"/>
              <w:ind w:left="217" w:hanging="217"/>
              <w:contextualSpacing w:val="0"/>
              <w:jc w:val="left"/>
              <w:rPr>
                <w:rFonts w:cs="Arial"/>
                <w:b/>
                <w:bCs/>
                <w:color w:val="0070C0"/>
                <w:sz w:val="19"/>
                <w:szCs w:val="19"/>
              </w:rPr>
            </w:pPr>
            <w:r w:rsidRPr="00A46856">
              <w:rPr>
                <w:rFonts w:cs="Arial"/>
                <w:b/>
                <w:bCs/>
                <w:color w:val="0070C0"/>
                <w:sz w:val="19"/>
                <w:szCs w:val="19"/>
              </w:rPr>
              <w:fldChar w:fldCharType="begin"/>
            </w:r>
            <w:r w:rsidRPr="00A46856">
              <w:rPr>
                <w:rFonts w:cs="Arial"/>
                <w:b/>
                <w:bCs/>
                <w:color w:val="0070C0"/>
                <w:sz w:val="19"/>
                <w:szCs w:val="19"/>
              </w:rPr>
              <w:instrText xml:space="preserve"> REF _Ref150438144 \w \h </w:instrText>
            </w:r>
            <w:r w:rsidR="00F3462B" w:rsidRPr="00A46856">
              <w:rPr>
                <w:rFonts w:cs="Arial"/>
                <w:b/>
                <w:bCs/>
                <w:color w:val="0070C0"/>
                <w:sz w:val="19"/>
                <w:szCs w:val="19"/>
              </w:rPr>
              <w:instrText xml:space="preserve"> \* MERGEFORMAT </w:instrText>
            </w:r>
            <w:r w:rsidRPr="00A46856">
              <w:rPr>
                <w:rFonts w:cs="Arial"/>
                <w:b/>
                <w:bCs/>
                <w:color w:val="0070C0"/>
                <w:sz w:val="19"/>
                <w:szCs w:val="19"/>
              </w:rPr>
            </w:r>
            <w:r w:rsidRPr="00A46856">
              <w:rPr>
                <w:rFonts w:cs="Arial"/>
                <w:b/>
                <w:bCs/>
                <w:color w:val="0070C0"/>
                <w:sz w:val="19"/>
                <w:szCs w:val="19"/>
              </w:rPr>
              <w:fldChar w:fldCharType="separate"/>
            </w:r>
            <w:r w:rsidRPr="00A46856">
              <w:rPr>
                <w:rFonts w:cs="Arial"/>
                <w:b/>
                <w:bCs/>
                <w:color w:val="0070C0"/>
                <w:sz w:val="19"/>
                <w:szCs w:val="19"/>
              </w:rPr>
              <w:t>CHAPTER 9:</w:t>
            </w:r>
            <w:r w:rsidRPr="00A46856">
              <w:rPr>
                <w:rFonts w:cs="Arial"/>
                <w:b/>
                <w:bCs/>
                <w:color w:val="0070C0"/>
                <w:sz w:val="19"/>
                <w:szCs w:val="19"/>
              </w:rPr>
              <w:fldChar w:fldCharType="end"/>
            </w:r>
            <w:r w:rsidRPr="00A46856">
              <w:rPr>
                <w:rFonts w:cs="Arial"/>
                <w:b/>
                <w:bCs/>
                <w:color w:val="0070C0"/>
                <w:sz w:val="19"/>
                <w:szCs w:val="19"/>
              </w:rPr>
              <w:t xml:space="preserve"> </w:t>
            </w:r>
            <w:r w:rsidRPr="00A46856">
              <w:rPr>
                <w:rFonts w:cs="Arial"/>
                <w:b/>
                <w:bCs/>
                <w:color w:val="0070C0"/>
                <w:sz w:val="19"/>
                <w:szCs w:val="19"/>
              </w:rPr>
              <w:fldChar w:fldCharType="begin"/>
            </w:r>
            <w:r w:rsidRPr="00A46856">
              <w:rPr>
                <w:rFonts w:cs="Arial"/>
                <w:b/>
                <w:bCs/>
                <w:color w:val="0070C0"/>
                <w:sz w:val="19"/>
                <w:szCs w:val="19"/>
              </w:rPr>
              <w:instrText xml:space="preserve"> REF _Ref150438144 \h  \* MERGEFORMAT </w:instrText>
            </w:r>
            <w:r w:rsidRPr="00A46856">
              <w:rPr>
                <w:rFonts w:cs="Arial"/>
                <w:b/>
                <w:bCs/>
                <w:color w:val="0070C0"/>
                <w:sz w:val="19"/>
                <w:szCs w:val="19"/>
              </w:rPr>
            </w:r>
            <w:r w:rsidRPr="00A46856">
              <w:rPr>
                <w:rFonts w:cs="Arial"/>
                <w:b/>
                <w:bCs/>
                <w:color w:val="0070C0"/>
                <w:sz w:val="19"/>
                <w:szCs w:val="19"/>
              </w:rPr>
              <w:fldChar w:fldCharType="separate"/>
            </w:r>
            <w:r w:rsidRPr="00A46856">
              <w:rPr>
                <w:rFonts w:cs="Arial"/>
                <w:b/>
                <w:bCs/>
                <w:color w:val="0070C0"/>
                <w:sz w:val="19"/>
                <w:szCs w:val="19"/>
              </w:rPr>
              <w:t>VERIFICATION</w:t>
            </w:r>
            <w:r w:rsidRPr="00A46856">
              <w:rPr>
                <w:rFonts w:cs="Arial"/>
                <w:b/>
                <w:bCs/>
                <w:color w:val="0070C0"/>
                <w:sz w:val="19"/>
                <w:szCs w:val="19"/>
              </w:rPr>
              <w:fldChar w:fldCharType="end"/>
            </w:r>
          </w:p>
        </w:tc>
        <w:tc>
          <w:tcPr>
            <w:tcW w:w="1980" w:type="dxa"/>
            <w:vAlign w:val="center"/>
          </w:tcPr>
          <w:p w14:paraId="75880FCB" w14:textId="0566BA02" w:rsidR="003B07E1" w:rsidRPr="000E681D" w:rsidRDefault="003B07E1" w:rsidP="00CB52D8">
            <w:pPr>
              <w:pStyle w:val="ListParagraph"/>
              <w:numPr>
                <w:ilvl w:val="0"/>
                <w:numId w:val="75"/>
              </w:numPr>
              <w:spacing w:before="60" w:after="60"/>
              <w:ind w:left="217" w:hanging="217"/>
              <w:contextualSpacing w:val="0"/>
              <w:jc w:val="left"/>
              <w:rPr>
                <w:rFonts w:cs="Arial"/>
                <w:b/>
                <w:bCs/>
                <w:color w:val="0070C0"/>
                <w:sz w:val="19"/>
                <w:szCs w:val="19"/>
              </w:rPr>
            </w:pPr>
            <w:r w:rsidRPr="000E681D">
              <w:rPr>
                <w:rFonts w:cs="Arial"/>
                <w:b/>
                <w:bCs/>
                <w:color w:val="0070C0"/>
                <w:sz w:val="19"/>
                <w:szCs w:val="19"/>
              </w:rPr>
              <w:fldChar w:fldCharType="begin"/>
            </w:r>
            <w:r w:rsidRPr="000E681D">
              <w:rPr>
                <w:rFonts w:cs="Arial"/>
                <w:b/>
                <w:bCs/>
                <w:color w:val="0070C0"/>
                <w:sz w:val="19"/>
                <w:szCs w:val="19"/>
              </w:rPr>
              <w:instrText xml:space="preserve"> REF _Ref165031946 \w \h  \* MERGEFORMAT </w:instrText>
            </w:r>
            <w:r w:rsidRPr="000E681D">
              <w:rPr>
                <w:rFonts w:cs="Arial"/>
                <w:b/>
                <w:bCs/>
                <w:color w:val="0070C0"/>
                <w:sz w:val="19"/>
                <w:szCs w:val="19"/>
              </w:rPr>
            </w:r>
            <w:r w:rsidRPr="000E681D">
              <w:rPr>
                <w:rFonts w:cs="Arial"/>
                <w:b/>
                <w:bCs/>
                <w:color w:val="0070C0"/>
                <w:sz w:val="19"/>
                <w:szCs w:val="19"/>
              </w:rPr>
              <w:fldChar w:fldCharType="separate"/>
            </w:r>
            <w:r w:rsidRPr="000E681D">
              <w:rPr>
                <w:rFonts w:cs="Arial"/>
                <w:b/>
                <w:bCs/>
                <w:color w:val="0070C0"/>
                <w:sz w:val="19"/>
                <w:szCs w:val="19"/>
              </w:rPr>
              <w:t>9.4.1</w:t>
            </w:r>
            <w:r w:rsidRPr="000E681D">
              <w:rPr>
                <w:rFonts w:cs="Arial"/>
                <w:b/>
                <w:bCs/>
                <w:color w:val="0070C0"/>
                <w:sz w:val="19"/>
                <w:szCs w:val="19"/>
              </w:rPr>
              <w:fldChar w:fldCharType="end"/>
            </w:r>
            <w:r w:rsidRPr="000E681D">
              <w:rPr>
                <w:rFonts w:cs="Arial"/>
                <w:b/>
                <w:bCs/>
                <w:color w:val="0070C0"/>
                <w:sz w:val="19"/>
                <w:szCs w:val="19"/>
              </w:rPr>
              <w:t xml:space="preserve"> </w:t>
            </w:r>
            <w:hyperlink w:anchor="_Alternative_Verification_Hierarchy" w:history="1">
              <w:r w:rsidR="000E681D" w:rsidRPr="000E681D">
                <w:rPr>
                  <w:rStyle w:val="Hyperlink"/>
                  <w:rFonts w:cs="Arial"/>
                  <w:b w:val="0"/>
                  <w:bCs/>
                  <w:color w:val="0070C0"/>
                  <w:sz w:val="19"/>
                  <w:szCs w:val="19"/>
                </w:rPr>
                <w:fldChar w:fldCharType="begin"/>
              </w:r>
              <w:r w:rsidR="000E681D" w:rsidRPr="000E681D">
                <w:rPr>
                  <w:rFonts w:cs="Arial"/>
                  <w:b/>
                  <w:bCs/>
                  <w:color w:val="0070C0"/>
                  <w:sz w:val="19"/>
                  <w:szCs w:val="19"/>
                </w:rPr>
                <w:instrText xml:space="preserve"> REF _Ref165031946 \h </w:instrText>
              </w:r>
              <w:r w:rsidR="000E681D" w:rsidRPr="000E681D">
                <w:rPr>
                  <w:rStyle w:val="Hyperlink"/>
                  <w:rFonts w:cs="Arial"/>
                  <w:b w:val="0"/>
                  <w:bCs/>
                  <w:color w:val="0070C0"/>
                  <w:sz w:val="19"/>
                  <w:szCs w:val="19"/>
                </w:rPr>
                <w:instrText xml:space="preserve"> \* MERGEFORMAT </w:instrText>
              </w:r>
              <w:r w:rsidR="000E681D" w:rsidRPr="000E681D">
                <w:rPr>
                  <w:rStyle w:val="Hyperlink"/>
                  <w:rFonts w:cs="Arial"/>
                  <w:b w:val="0"/>
                  <w:bCs/>
                  <w:color w:val="0070C0"/>
                  <w:sz w:val="19"/>
                  <w:szCs w:val="19"/>
                </w:rPr>
              </w:r>
              <w:r w:rsidR="000E681D" w:rsidRPr="000E681D">
                <w:rPr>
                  <w:rStyle w:val="Hyperlink"/>
                  <w:rFonts w:cs="Arial"/>
                  <w:b w:val="0"/>
                  <w:bCs/>
                  <w:color w:val="0070C0"/>
                  <w:sz w:val="19"/>
                  <w:szCs w:val="19"/>
                </w:rPr>
                <w:fldChar w:fldCharType="separate"/>
              </w:r>
              <w:r w:rsidR="000E681D" w:rsidRPr="000E681D">
                <w:rPr>
                  <w:b/>
                  <w:bCs/>
                  <w:color w:val="0070C0"/>
                  <w:sz w:val="19"/>
                  <w:szCs w:val="19"/>
                </w:rPr>
                <w:t>Alternative Verification Hierarchy</w:t>
              </w:r>
              <w:r w:rsidR="000E681D" w:rsidRPr="000E681D">
                <w:rPr>
                  <w:rStyle w:val="Hyperlink"/>
                  <w:rFonts w:cs="Arial"/>
                  <w:b w:val="0"/>
                  <w:bCs/>
                  <w:color w:val="0070C0"/>
                  <w:sz w:val="19"/>
                  <w:szCs w:val="19"/>
                </w:rPr>
                <w:fldChar w:fldCharType="end"/>
              </w:r>
            </w:hyperlink>
          </w:p>
          <w:p w14:paraId="2BFD4341" w14:textId="77777777" w:rsidR="003B07E1" w:rsidRDefault="003B07E1" w:rsidP="00CB52D8">
            <w:pPr>
              <w:pStyle w:val="ListParagraph"/>
              <w:numPr>
                <w:ilvl w:val="0"/>
                <w:numId w:val="75"/>
              </w:numPr>
              <w:spacing w:before="60" w:after="60"/>
              <w:ind w:left="217" w:hanging="217"/>
              <w:contextualSpacing w:val="0"/>
              <w:jc w:val="left"/>
              <w:rPr>
                <w:rFonts w:cs="Arial"/>
                <w:b/>
                <w:bCs/>
                <w:color w:val="0070C0"/>
                <w:sz w:val="19"/>
                <w:szCs w:val="19"/>
              </w:rPr>
            </w:pPr>
            <w:r w:rsidRPr="000E681D">
              <w:rPr>
                <w:rFonts w:cs="Arial"/>
                <w:b/>
                <w:bCs/>
                <w:color w:val="0070C0"/>
                <w:sz w:val="19"/>
                <w:szCs w:val="19"/>
              </w:rPr>
              <w:fldChar w:fldCharType="begin"/>
            </w:r>
            <w:r w:rsidRPr="000E681D">
              <w:rPr>
                <w:rFonts w:cs="Arial"/>
                <w:b/>
                <w:bCs/>
                <w:color w:val="0070C0"/>
                <w:sz w:val="19"/>
                <w:szCs w:val="19"/>
              </w:rPr>
              <w:instrText xml:space="preserve"> REF _Ref154585118 \w \h  \* MERGEFORMAT </w:instrText>
            </w:r>
            <w:r w:rsidRPr="000E681D">
              <w:rPr>
                <w:rFonts w:cs="Arial"/>
                <w:b/>
                <w:bCs/>
                <w:color w:val="0070C0"/>
                <w:sz w:val="19"/>
                <w:szCs w:val="19"/>
              </w:rPr>
            </w:r>
            <w:r w:rsidRPr="000E681D">
              <w:rPr>
                <w:rFonts w:cs="Arial"/>
                <w:b/>
                <w:bCs/>
                <w:color w:val="0070C0"/>
                <w:sz w:val="19"/>
                <w:szCs w:val="19"/>
              </w:rPr>
              <w:fldChar w:fldCharType="separate"/>
            </w:r>
            <w:r w:rsidRPr="000E681D">
              <w:rPr>
                <w:rFonts w:cs="Arial"/>
                <w:b/>
                <w:bCs/>
                <w:color w:val="0070C0"/>
                <w:sz w:val="19"/>
                <w:szCs w:val="19"/>
              </w:rPr>
              <w:t>9.4.2</w:t>
            </w:r>
            <w:r w:rsidRPr="000E681D">
              <w:rPr>
                <w:rFonts w:cs="Arial"/>
                <w:b/>
                <w:bCs/>
                <w:color w:val="0070C0"/>
                <w:sz w:val="19"/>
                <w:szCs w:val="19"/>
              </w:rPr>
              <w:fldChar w:fldCharType="end"/>
            </w:r>
            <w:r w:rsidRPr="000E681D">
              <w:rPr>
                <w:rFonts w:cs="Arial"/>
                <w:b/>
                <w:bCs/>
                <w:color w:val="0070C0"/>
                <w:sz w:val="19"/>
                <w:szCs w:val="19"/>
              </w:rPr>
              <w:t xml:space="preserve"> </w:t>
            </w:r>
            <w:r w:rsidR="000E681D" w:rsidRPr="000E681D">
              <w:rPr>
                <w:rFonts w:cs="Arial"/>
                <w:b/>
                <w:bCs/>
                <w:color w:val="0070C0"/>
                <w:sz w:val="19"/>
                <w:szCs w:val="19"/>
              </w:rPr>
              <w:fldChar w:fldCharType="begin"/>
            </w:r>
            <w:r w:rsidR="000E681D" w:rsidRPr="000E681D">
              <w:rPr>
                <w:rFonts w:cs="Arial"/>
                <w:b/>
                <w:bCs/>
                <w:color w:val="0070C0"/>
                <w:sz w:val="19"/>
                <w:szCs w:val="19"/>
              </w:rPr>
              <w:instrText xml:space="preserve"> REF _Ref154585118 \h  \* MERGEFORMAT </w:instrText>
            </w:r>
            <w:r w:rsidR="000E681D" w:rsidRPr="000E681D">
              <w:rPr>
                <w:rFonts w:cs="Arial"/>
                <w:b/>
                <w:bCs/>
                <w:color w:val="0070C0"/>
                <w:sz w:val="19"/>
                <w:szCs w:val="19"/>
              </w:rPr>
            </w:r>
            <w:r w:rsidR="000E681D" w:rsidRPr="000E681D">
              <w:rPr>
                <w:rFonts w:cs="Arial"/>
                <w:b/>
                <w:bCs/>
                <w:color w:val="0070C0"/>
                <w:sz w:val="19"/>
                <w:szCs w:val="19"/>
              </w:rPr>
              <w:fldChar w:fldCharType="separate"/>
            </w:r>
            <w:r w:rsidR="000E681D" w:rsidRPr="000E681D">
              <w:rPr>
                <w:b/>
                <w:bCs/>
                <w:color w:val="0070C0"/>
                <w:sz w:val="19"/>
                <w:szCs w:val="19"/>
              </w:rPr>
              <w:t>Alternative Verification Requirements</w:t>
            </w:r>
            <w:r w:rsidR="000E681D" w:rsidRPr="000E681D">
              <w:rPr>
                <w:rFonts w:cs="Arial"/>
                <w:b/>
                <w:bCs/>
                <w:color w:val="0070C0"/>
                <w:sz w:val="19"/>
                <w:szCs w:val="19"/>
              </w:rPr>
              <w:fldChar w:fldCharType="end"/>
            </w:r>
          </w:p>
          <w:p w14:paraId="5F0CD6C1" w14:textId="3E306AA5" w:rsidR="007F0A96" w:rsidRPr="007F0A96" w:rsidRDefault="007F0A96" w:rsidP="00CB52D8">
            <w:pPr>
              <w:pStyle w:val="ListParagraph"/>
              <w:numPr>
                <w:ilvl w:val="0"/>
                <w:numId w:val="75"/>
              </w:numPr>
              <w:spacing w:before="60" w:after="60"/>
              <w:ind w:left="217" w:hanging="217"/>
              <w:contextualSpacing w:val="0"/>
              <w:jc w:val="left"/>
              <w:rPr>
                <w:rFonts w:cs="Arial"/>
                <w:b/>
                <w:bCs/>
                <w:color w:val="0070C0"/>
                <w:sz w:val="19"/>
                <w:szCs w:val="19"/>
              </w:rPr>
            </w:pPr>
            <w:r w:rsidRPr="007F0A96">
              <w:rPr>
                <w:rFonts w:cs="Arial"/>
                <w:b/>
                <w:bCs/>
                <w:color w:val="0070C0"/>
                <w:sz w:val="19"/>
                <w:szCs w:val="19"/>
              </w:rPr>
              <w:fldChar w:fldCharType="begin"/>
            </w:r>
            <w:r w:rsidRPr="007F0A96">
              <w:rPr>
                <w:rFonts w:cs="Arial"/>
                <w:b/>
                <w:bCs/>
                <w:color w:val="0070C0"/>
                <w:sz w:val="19"/>
                <w:szCs w:val="19"/>
              </w:rPr>
              <w:instrText xml:space="preserve"> REF _Ref165036292 \w \h  \* MERGEFORMAT </w:instrText>
            </w:r>
            <w:r w:rsidRPr="007F0A96">
              <w:rPr>
                <w:rFonts w:cs="Arial"/>
                <w:b/>
                <w:bCs/>
                <w:color w:val="0070C0"/>
                <w:sz w:val="19"/>
                <w:szCs w:val="19"/>
              </w:rPr>
            </w:r>
            <w:r w:rsidRPr="007F0A96">
              <w:rPr>
                <w:rFonts w:cs="Arial"/>
                <w:b/>
                <w:bCs/>
                <w:color w:val="0070C0"/>
                <w:sz w:val="19"/>
                <w:szCs w:val="19"/>
              </w:rPr>
              <w:fldChar w:fldCharType="separate"/>
            </w:r>
            <w:r w:rsidRPr="007F0A96">
              <w:rPr>
                <w:rFonts w:cs="Arial"/>
                <w:b/>
                <w:bCs/>
                <w:color w:val="0070C0"/>
                <w:sz w:val="19"/>
                <w:szCs w:val="19"/>
              </w:rPr>
              <w:t>9.5.1</w:t>
            </w:r>
            <w:r w:rsidRPr="007F0A96">
              <w:rPr>
                <w:rFonts w:cs="Arial"/>
                <w:b/>
                <w:bCs/>
                <w:color w:val="0070C0"/>
                <w:sz w:val="19"/>
                <w:szCs w:val="19"/>
              </w:rPr>
              <w:fldChar w:fldCharType="end"/>
            </w:r>
            <w:r w:rsidRPr="007F0A96">
              <w:rPr>
                <w:rFonts w:cs="Arial"/>
                <w:b/>
                <w:bCs/>
                <w:color w:val="0070C0"/>
                <w:sz w:val="19"/>
                <w:szCs w:val="19"/>
              </w:rPr>
              <w:t xml:space="preserve"> </w:t>
            </w:r>
            <w:r w:rsidRPr="007F0A96">
              <w:rPr>
                <w:rFonts w:cs="Arial"/>
                <w:b/>
                <w:bCs/>
                <w:color w:val="0070C0"/>
                <w:sz w:val="19"/>
                <w:szCs w:val="19"/>
              </w:rPr>
              <w:fldChar w:fldCharType="begin"/>
            </w:r>
            <w:r w:rsidRPr="007F0A96">
              <w:rPr>
                <w:rFonts w:cs="Arial"/>
                <w:b/>
                <w:bCs/>
                <w:color w:val="0070C0"/>
                <w:sz w:val="19"/>
                <w:szCs w:val="19"/>
              </w:rPr>
              <w:instrText xml:space="preserve"> REF _Ref165036292 \h  \* MERGEFORMAT </w:instrText>
            </w:r>
            <w:r w:rsidRPr="007F0A96">
              <w:rPr>
                <w:rFonts w:cs="Arial"/>
                <w:b/>
                <w:bCs/>
                <w:color w:val="0070C0"/>
                <w:sz w:val="19"/>
                <w:szCs w:val="19"/>
              </w:rPr>
            </w:r>
            <w:r w:rsidRPr="007F0A96">
              <w:rPr>
                <w:rFonts w:cs="Arial"/>
                <w:b/>
                <w:bCs/>
                <w:color w:val="0070C0"/>
                <w:sz w:val="19"/>
                <w:szCs w:val="19"/>
              </w:rPr>
              <w:fldChar w:fldCharType="separate"/>
            </w:r>
            <w:r w:rsidRPr="007F0A96">
              <w:rPr>
                <w:b/>
                <w:bCs/>
                <w:color w:val="0070C0"/>
                <w:sz w:val="19"/>
                <w:szCs w:val="19"/>
              </w:rPr>
              <w:t>Substantial Difference</w:t>
            </w:r>
            <w:r w:rsidRPr="007F0A96">
              <w:rPr>
                <w:rFonts w:cs="Arial"/>
                <w:b/>
                <w:bCs/>
                <w:color w:val="0070C0"/>
                <w:sz w:val="19"/>
                <w:szCs w:val="19"/>
              </w:rPr>
              <w:fldChar w:fldCharType="end"/>
            </w:r>
          </w:p>
        </w:tc>
        <w:tc>
          <w:tcPr>
            <w:tcW w:w="1350" w:type="dxa"/>
            <w:vAlign w:val="center"/>
          </w:tcPr>
          <w:p w14:paraId="0A9789A7" w14:textId="77777777" w:rsidR="003B07E1" w:rsidRPr="00A46856" w:rsidRDefault="003B07E1" w:rsidP="00B35D5E">
            <w:pPr>
              <w:spacing w:before="60" w:after="60"/>
              <w:jc w:val="left"/>
              <w:rPr>
                <w:rFonts w:cs="Arial"/>
                <w:sz w:val="19"/>
                <w:szCs w:val="19"/>
              </w:rPr>
            </w:pPr>
            <w:r w:rsidRPr="00A46856">
              <w:rPr>
                <w:rFonts w:cs="Arial"/>
                <w:sz w:val="19"/>
                <w:szCs w:val="19"/>
              </w:rPr>
              <w:t>All MTW-assisted households</w:t>
            </w:r>
          </w:p>
        </w:tc>
      </w:tr>
    </w:tbl>
    <w:p w14:paraId="7729BB24" w14:textId="77777777" w:rsidR="006A237C" w:rsidRDefault="006A237C" w:rsidP="006A237C"/>
    <w:p w14:paraId="16FD3EDB" w14:textId="77777777" w:rsidR="006A237C" w:rsidRDefault="006A237C" w:rsidP="006A237C">
      <w:pPr>
        <w:pStyle w:val="Heading2"/>
      </w:pPr>
      <w:bookmarkStart w:id="37" w:name="_Ref165033820"/>
      <w:bookmarkStart w:id="38" w:name="_Ref165033826"/>
      <w:bookmarkStart w:id="39" w:name="_Ref165033834"/>
      <w:bookmarkStart w:id="40" w:name="_Toc173222623"/>
      <w:bookmarkStart w:id="41" w:name="_Toc200375475"/>
      <w:bookmarkStart w:id="42" w:name="_Toc200376889"/>
      <w:r>
        <w:t>MTW Tiered Rent Policy</w:t>
      </w:r>
      <w:bookmarkEnd w:id="37"/>
      <w:bookmarkEnd w:id="38"/>
      <w:bookmarkEnd w:id="39"/>
      <w:bookmarkEnd w:id="40"/>
      <w:bookmarkEnd w:id="41"/>
      <w:bookmarkEnd w:id="42"/>
    </w:p>
    <w:p w14:paraId="0C6104E5" w14:textId="77777777" w:rsidR="006A237C" w:rsidRDefault="006A237C" w:rsidP="006A237C">
      <w:r>
        <w:t xml:space="preserve">HHA, as part of MTW Cohort #2, is required to apply MTW policies to specific groups of randomly selected program participants—herein referred to as the </w:t>
      </w:r>
      <w:r w:rsidRPr="00FE1072">
        <w:rPr>
          <w:b/>
          <w:bCs/>
        </w:rPr>
        <w:t>Treatment group</w:t>
      </w:r>
      <w:r>
        <w:t xml:space="preserve">—and conversely, cannot apply other MTW policies to randomly selected participants, herein referred to as the </w:t>
      </w:r>
      <w:r w:rsidRPr="00FE1072">
        <w:rPr>
          <w:b/>
          <w:bCs/>
        </w:rPr>
        <w:t>Control group</w:t>
      </w:r>
      <w:r>
        <w:t xml:space="preserve">. Finally, HHA has discretion to apply certain MTW policies to a third group of participants outside of the Treatment and Control groups, herein referred to as the </w:t>
      </w:r>
      <w:r w:rsidRPr="00FE1072">
        <w:rPr>
          <w:b/>
          <w:bCs/>
        </w:rPr>
        <w:t>Excluded group</w:t>
      </w:r>
      <w:r>
        <w:t>. Outlined below are the definitions of the participants who make up each of the aforementioned groups. The ACOP will identify the policies and related group for which the policy is applicable. Where there is no policy distinction, the policy applies to all groups. Applicable households who are part of RAD conversions to PBV may be assigned to the Treatment or Control group.</w:t>
      </w:r>
    </w:p>
    <w:p w14:paraId="0105748D" w14:textId="77777777" w:rsidR="006A237C" w:rsidRDefault="006A237C" w:rsidP="006A237C">
      <w:pPr>
        <w:pStyle w:val="ListParagraph"/>
        <w:numPr>
          <w:ilvl w:val="0"/>
          <w:numId w:val="3"/>
        </w:numPr>
        <w:spacing w:after="120"/>
        <w:contextualSpacing w:val="0"/>
      </w:pPr>
      <w:r w:rsidRPr="00482CA5">
        <w:rPr>
          <w:b/>
          <w:bCs/>
        </w:rPr>
        <w:t>Treatment Group</w:t>
      </w:r>
      <w:r>
        <w:t>: Non-elderly, non-disabled households who were randomly selected, during the initial 12-month enrollment period, to have their rent calculated using the HHA’s required Tiered Rent policy. This includes randomly selected existing residents as well as applicable, randomly selected new admissions during the initial enrollment period.</w:t>
      </w:r>
    </w:p>
    <w:p w14:paraId="4954F0E8" w14:textId="77777777" w:rsidR="006A237C" w:rsidRDefault="006A237C" w:rsidP="006A237C">
      <w:pPr>
        <w:pStyle w:val="ListParagraph"/>
        <w:numPr>
          <w:ilvl w:val="0"/>
          <w:numId w:val="3"/>
        </w:numPr>
        <w:spacing w:after="120"/>
        <w:contextualSpacing w:val="0"/>
      </w:pPr>
      <w:r w:rsidRPr="00482CA5">
        <w:rPr>
          <w:b/>
          <w:bCs/>
        </w:rPr>
        <w:t>Control Group:</w:t>
      </w:r>
      <w:r>
        <w:t xml:space="preserve"> Non-elderly, non-disabled households who were randomly selected to have their rent calculated in accordance with standard public housing program regulations with no MTW waivers applied. Tiered Rent does not apply to residents in the Control group.</w:t>
      </w:r>
    </w:p>
    <w:p w14:paraId="5AAACA26" w14:textId="77777777" w:rsidR="006A237C" w:rsidRDefault="006A237C" w:rsidP="006A237C">
      <w:pPr>
        <w:pStyle w:val="ListParagraph"/>
        <w:numPr>
          <w:ilvl w:val="0"/>
          <w:numId w:val="3"/>
        </w:numPr>
        <w:spacing w:after="120"/>
        <w:contextualSpacing w:val="0"/>
      </w:pPr>
      <w:r w:rsidRPr="00482CA5">
        <w:rPr>
          <w:b/>
          <w:bCs/>
        </w:rPr>
        <w:t>Excluded Group</w:t>
      </w:r>
      <w:r>
        <w:t>: The following households are in the excluded group:</w:t>
      </w:r>
    </w:p>
    <w:p w14:paraId="6519FF40" w14:textId="77777777" w:rsidR="006A237C" w:rsidRDefault="006A237C" w:rsidP="006A237C">
      <w:pPr>
        <w:pStyle w:val="ListParagraph"/>
        <w:numPr>
          <w:ilvl w:val="1"/>
          <w:numId w:val="3"/>
        </w:numPr>
        <w:spacing w:after="120"/>
        <w:contextualSpacing w:val="0"/>
      </w:pPr>
      <w:r>
        <w:t>Head, Co-Head, Spouse 56 years of age or older;</w:t>
      </w:r>
    </w:p>
    <w:p w14:paraId="31622639" w14:textId="77777777" w:rsidR="006A237C" w:rsidRDefault="006A237C" w:rsidP="006A237C">
      <w:pPr>
        <w:pStyle w:val="ListParagraph"/>
        <w:numPr>
          <w:ilvl w:val="1"/>
          <w:numId w:val="3"/>
        </w:numPr>
        <w:spacing w:after="120"/>
        <w:contextualSpacing w:val="0"/>
      </w:pPr>
      <w:r>
        <w:t>Head, Co-Head, Spouse is disabled;</w:t>
      </w:r>
    </w:p>
    <w:p w14:paraId="1D6128BC" w14:textId="77777777" w:rsidR="006A237C" w:rsidRDefault="006A237C" w:rsidP="006A237C">
      <w:pPr>
        <w:pStyle w:val="ListParagraph"/>
        <w:numPr>
          <w:ilvl w:val="2"/>
          <w:numId w:val="3"/>
        </w:numPr>
        <w:spacing w:after="120"/>
        <w:contextualSpacing w:val="0"/>
      </w:pPr>
      <w:r>
        <w:t xml:space="preserve">Household must meet the HUD definition of </w:t>
      </w:r>
      <w:r w:rsidRPr="00A84C01">
        <w:rPr>
          <w:i/>
          <w:iCs/>
        </w:rPr>
        <w:t>disabled household</w:t>
      </w:r>
      <w:r>
        <w:t xml:space="preserve"> to be excluded and may self-certify that they have applied for Social Security (disability) for the head, co-head or spouse.</w:t>
      </w:r>
    </w:p>
    <w:p w14:paraId="33646779" w14:textId="77777777" w:rsidR="006A237C" w:rsidRDefault="006A237C" w:rsidP="006A237C">
      <w:pPr>
        <w:pStyle w:val="ListParagraph"/>
        <w:numPr>
          <w:ilvl w:val="1"/>
          <w:numId w:val="3"/>
        </w:numPr>
        <w:spacing w:after="120"/>
        <w:contextualSpacing w:val="0"/>
      </w:pPr>
      <w:r>
        <w:t>Current FSS participants;</w:t>
      </w:r>
    </w:p>
    <w:p w14:paraId="2DE2691F" w14:textId="77777777" w:rsidR="006A237C" w:rsidRDefault="006A237C" w:rsidP="006A237C">
      <w:pPr>
        <w:pStyle w:val="ListParagraph"/>
        <w:numPr>
          <w:ilvl w:val="1"/>
          <w:numId w:val="3"/>
        </w:numPr>
        <w:spacing w:after="120"/>
        <w:contextualSpacing w:val="0"/>
      </w:pPr>
      <w:r>
        <w:t>Mixed eligibility families;</w:t>
      </w:r>
    </w:p>
    <w:p w14:paraId="61E78DC5" w14:textId="77777777" w:rsidR="006A237C" w:rsidRDefault="006A237C" w:rsidP="006A237C">
      <w:pPr>
        <w:pStyle w:val="ListParagraph"/>
        <w:numPr>
          <w:ilvl w:val="1"/>
          <w:numId w:val="3"/>
        </w:numPr>
        <w:spacing w:after="120"/>
        <w:contextualSpacing w:val="0"/>
      </w:pPr>
      <w:r>
        <w:t>Households receiving Earned Income Disregard (EID);</w:t>
      </w:r>
    </w:p>
    <w:p w14:paraId="0B36B1A9" w14:textId="77777777" w:rsidR="006A237C" w:rsidRDefault="006A237C" w:rsidP="006A237C">
      <w:pPr>
        <w:pStyle w:val="ListParagraph"/>
        <w:numPr>
          <w:ilvl w:val="1"/>
          <w:numId w:val="3"/>
        </w:numPr>
        <w:spacing w:after="120"/>
        <w:contextualSpacing w:val="0"/>
      </w:pPr>
      <w:r>
        <w:t>Households living in developments that underwent a PBRA RAD conversion (not excluded if PBV conversion);</w:t>
      </w:r>
    </w:p>
    <w:p w14:paraId="4C4A53DF" w14:textId="77777777" w:rsidR="006A237C" w:rsidRDefault="006A237C" w:rsidP="006A237C">
      <w:pPr>
        <w:pStyle w:val="ListParagraph"/>
        <w:numPr>
          <w:ilvl w:val="1"/>
          <w:numId w:val="3"/>
        </w:numPr>
        <w:spacing w:after="120"/>
        <w:contextualSpacing w:val="0"/>
      </w:pPr>
      <w:r>
        <w:t>Households in phase-in period under RAD protections;</w:t>
      </w:r>
    </w:p>
    <w:p w14:paraId="5A8063AF" w14:textId="77777777" w:rsidR="006A237C" w:rsidRDefault="006A237C" w:rsidP="006A237C">
      <w:pPr>
        <w:pStyle w:val="ListParagraph"/>
        <w:numPr>
          <w:ilvl w:val="1"/>
          <w:numId w:val="3"/>
        </w:numPr>
        <w:spacing w:after="120"/>
        <w:contextualSpacing w:val="0"/>
      </w:pPr>
      <w:r>
        <w:t>Households who are not yet indicated as disabled according to HUD definition, but:</w:t>
      </w:r>
    </w:p>
    <w:p w14:paraId="0A7D09F8" w14:textId="77777777" w:rsidR="006A237C" w:rsidRDefault="006A237C" w:rsidP="006A237C">
      <w:pPr>
        <w:pStyle w:val="ListParagraph"/>
        <w:numPr>
          <w:ilvl w:val="2"/>
          <w:numId w:val="3"/>
        </w:numPr>
        <w:spacing w:after="120"/>
        <w:contextualSpacing w:val="0"/>
      </w:pPr>
      <w:r>
        <w:t>Have been approved to receive SSI/SSDI but have not yet received first payment; or</w:t>
      </w:r>
    </w:p>
    <w:p w14:paraId="79F416F4" w14:textId="77777777" w:rsidR="006A237C" w:rsidRDefault="006A237C" w:rsidP="006A237C">
      <w:pPr>
        <w:pStyle w:val="ListParagraph"/>
        <w:numPr>
          <w:ilvl w:val="2"/>
          <w:numId w:val="3"/>
        </w:numPr>
        <w:spacing w:after="120"/>
        <w:contextualSpacing w:val="0"/>
      </w:pPr>
      <w:r>
        <w:t>Have a pending SSI/SSDI application in (applied recently and waiting to learn of approval status).</w:t>
      </w:r>
    </w:p>
    <w:p w14:paraId="242180C2" w14:textId="77777777" w:rsidR="006A237C" w:rsidRDefault="006A237C" w:rsidP="006A237C">
      <w:pPr>
        <w:adjustRightInd w:val="0"/>
        <w:ind w:left="720"/>
      </w:pPr>
      <w:r>
        <w:t xml:space="preserve">If a household is assigned to the tiered rent rules group but then subsequently becomes disabled (meets HUD definition of disabled) HHA can switch the household to the standard rent rules. </w:t>
      </w:r>
    </w:p>
    <w:p w14:paraId="34555E88" w14:textId="77777777" w:rsidR="006A237C" w:rsidRPr="00A2158C" w:rsidRDefault="006A237C" w:rsidP="006A237C">
      <w:pPr>
        <w:adjustRightInd w:val="0"/>
        <w:ind w:left="720"/>
        <w:rPr>
          <w:rFonts w:cs="Arial"/>
          <w:szCs w:val="20"/>
        </w:rPr>
      </w:pPr>
      <w:r w:rsidRPr="00A2158C">
        <w:rPr>
          <w:rFonts w:cs="Arial"/>
          <w:szCs w:val="20"/>
        </w:rPr>
        <w:t xml:space="preserve">Tiered rent does not apply to the </w:t>
      </w:r>
      <w:r>
        <w:rPr>
          <w:rFonts w:cs="Arial"/>
          <w:szCs w:val="20"/>
        </w:rPr>
        <w:t>E</w:t>
      </w:r>
      <w:r w:rsidRPr="00A2158C">
        <w:rPr>
          <w:rFonts w:cs="Arial"/>
          <w:szCs w:val="20"/>
        </w:rPr>
        <w:t>xcluded group.</w:t>
      </w:r>
    </w:p>
    <w:p w14:paraId="6F8F229E" w14:textId="77777777" w:rsidR="006A237C" w:rsidRDefault="006A237C" w:rsidP="00482CA5"/>
    <w:p w14:paraId="4A0C3F3D" w14:textId="77777777" w:rsidR="006A237C" w:rsidRDefault="006A237C" w:rsidP="00482CA5"/>
    <w:p w14:paraId="4E1D6D65" w14:textId="77777777" w:rsidR="006A237C" w:rsidRDefault="006A237C" w:rsidP="00482CA5">
      <w:pPr>
        <w:sectPr w:rsidR="006A237C" w:rsidSect="00EE2233">
          <w:pgSz w:w="12240" w:h="15840" w:code="1"/>
          <w:pgMar w:top="1440" w:right="1440" w:bottom="1440" w:left="1440" w:header="720" w:footer="720" w:gutter="0"/>
          <w:pgNumType w:start="1"/>
          <w:cols w:space="720"/>
          <w:docGrid w:linePitch="360"/>
        </w:sectPr>
      </w:pPr>
    </w:p>
    <w:p w14:paraId="59FA9920" w14:textId="77777777" w:rsidR="00482CA5" w:rsidRPr="005315DA" w:rsidRDefault="00482CA5" w:rsidP="00482CA5">
      <w:pPr>
        <w:pStyle w:val="Heading1"/>
        <w:ind w:left="0" w:firstLine="0"/>
      </w:pPr>
      <w:bookmarkStart w:id="43" w:name="_Ref163636015"/>
      <w:bookmarkStart w:id="44" w:name="_Toc173222624"/>
      <w:bookmarkStart w:id="45" w:name="_Toc200375476"/>
      <w:bookmarkStart w:id="46" w:name="_Toc200376890"/>
      <w:r w:rsidRPr="005315DA">
        <w:t>FAIR HOUSING AND EQUAL OPPORTUNITY</w:t>
      </w:r>
      <w:bookmarkEnd w:id="43"/>
      <w:bookmarkEnd w:id="44"/>
      <w:bookmarkEnd w:id="45"/>
      <w:bookmarkEnd w:id="46"/>
    </w:p>
    <w:p w14:paraId="7DD14DDE" w14:textId="77777777" w:rsidR="00482CA5" w:rsidRDefault="004708AC" w:rsidP="00BB64BD">
      <w:pPr>
        <w:pStyle w:val="Heading2"/>
      </w:pPr>
      <w:bookmarkStart w:id="47" w:name="_Toc173222625"/>
      <w:bookmarkStart w:id="48" w:name="_Toc200375477"/>
      <w:bookmarkStart w:id="49" w:name="_Toc200376891"/>
      <w:r>
        <w:t>Overview</w:t>
      </w:r>
      <w:bookmarkEnd w:id="47"/>
      <w:bookmarkEnd w:id="48"/>
      <w:bookmarkEnd w:id="49"/>
    </w:p>
    <w:p w14:paraId="61A53768" w14:textId="77777777" w:rsidR="00DF792E" w:rsidRPr="003229C9" w:rsidRDefault="00DF792E" w:rsidP="00DF792E">
      <w:r w:rsidRPr="00435D29">
        <w:t xml:space="preserve">This chapter explains the laws and HUD regulations requiring HHA to affirmatively further civil rights and fair housing in all federally assisted housing programs. The letter and spirit of these laws are implemented through consistent policies and processes. The responsibility for further nondiscrimination pertains to all areas of HHA’s </w:t>
      </w:r>
      <w:r w:rsidR="00972536" w:rsidRPr="00435D29">
        <w:t>public housing program</w:t>
      </w:r>
      <w:r w:rsidRPr="00435D29">
        <w:t>.</w:t>
      </w:r>
    </w:p>
    <w:p w14:paraId="1A4B7111" w14:textId="77777777" w:rsidR="00DF792E" w:rsidRDefault="004708AC" w:rsidP="00BB64BD">
      <w:pPr>
        <w:pStyle w:val="Heading2"/>
      </w:pPr>
      <w:bookmarkStart w:id="50" w:name="_Ref146115399"/>
      <w:bookmarkStart w:id="51" w:name="_Toc173222626"/>
      <w:bookmarkStart w:id="52" w:name="_Toc200375478"/>
      <w:bookmarkStart w:id="53" w:name="_Toc200376892"/>
      <w:r>
        <w:t>Non-Discrimination</w:t>
      </w:r>
      <w:bookmarkEnd w:id="50"/>
      <w:bookmarkEnd w:id="51"/>
      <w:bookmarkEnd w:id="52"/>
      <w:bookmarkEnd w:id="53"/>
    </w:p>
    <w:p w14:paraId="5B3D5C4F" w14:textId="77777777" w:rsidR="00DF792E" w:rsidRDefault="00DF792E" w:rsidP="00DF792E">
      <w:r>
        <w:t>HHA treats all applicants and clients equally, providing the same quality of service, regardless of household characteristics and background. Federal law prohibits discrimination in housing on the basis of race, color, religion, sex, national origin, age, familial status, and/or disability. In addition, HUD regulations provide for additional protections regarding sexual orientation, gender identity, and marital status. HHA will comply with all applicable federal, state, and local nondiscrimination laws, and with rules and regulations governing fair housing and equal opportunity in housing and employment, including:</w:t>
      </w:r>
    </w:p>
    <w:p w14:paraId="5C0B394F" w14:textId="77777777" w:rsidR="00DF792E" w:rsidRPr="00865057" w:rsidRDefault="00DF792E" w:rsidP="00CB52D8">
      <w:pPr>
        <w:pStyle w:val="ListParagraph"/>
        <w:numPr>
          <w:ilvl w:val="0"/>
          <w:numId w:val="38"/>
        </w:numPr>
        <w:autoSpaceDE w:val="0"/>
        <w:autoSpaceDN w:val="0"/>
        <w:adjustRightInd w:val="0"/>
        <w:spacing w:after="120"/>
        <w:ind w:left="720"/>
        <w:contextualSpacing w:val="0"/>
        <w:rPr>
          <w:rFonts w:cs="Arial"/>
          <w:szCs w:val="20"/>
        </w:rPr>
      </w:pPr>
      <w:r w:rsidRPr="00865057">
        <w:rPr>
          <w:rFonts w:cs="Arial"/>
          <w:szCs w:val="20"/>
        </w:rPr>
        <w:t>Title VI of the Civil Rights Act of 1964</w:t>
      </w:r>
      <w:r w:rsidR="003E361A">
        <w:rPr>
          <w:rFonts w:cs="Arial"/>
          <w:szCs w:val="20"/>
        </w:rPr>
        <w:t>;</w:t>
      </w:r>
    </w:p>
    <w:p w14:paraId="35A27A25" w14:textId="77777777" w:rsidR="00DF792E" w:rsidRPr="00865057" w:rsidRDefault="00DF792E" w:rsidP="00CB52D8">
      <w:pPr>
        <w:pStyle w:val="ListParagraph"/>
        <w:numPr>
          <w:ilvl w:val="0"/>
          <w:numId w:val="38"/>
        </w:numPr>
        <w:autoSpaceDE w:val="0"/>
        <w:autoSpaceDN w:val="0"/>
        <w:adjustRightInd w:val="0"/>
        <w:spacing w:after="120"/>
        <w:ind w:left="720"/>
        <w:contextualSpacing w:val="0"/>
        <w:rPr>
          <w:rFonts w:cs="Arial"/>
          <w:szCs w:val="20"/>
        </w:rPr>
      </w:pPr>
      <w:r w:rsidRPr="00865057">
        <w:rPr>
          <w:rFonts w:cs="Arial"/>
          <w:szCs w:val="20"/>
        </w:rPr>
        <w:t>Title VIII of the Civil Rights Act of 1968 (as amended by the Community Development Act of 1974 and the Fair Housing Amendments Act of 1988)</w:t>
      </w:r>
      <w:r w:rsidR="003E361A">
        <w:rPr>
          <w:rFonts w:cs="Arial"/>
          <w:szCs w:val="20"/>
        </w:rPr>
        <w:t>;</w:t>
      </w:r>
    </w:p>
    <w:p w14:paraId="3534AD3E" w14:textId="77777777" w:rsidR="00DF792E" w:rsidRPr="00865057" w:rsidRDefault="00DF792E" w:rsidP="00CB52D8">
      <w:pPr>
        <w:pStyle w:val="ListParagraph"/>
        <w:numPr>
          <w:ilvl w:val="0"/>
          <w:numId w:val="38"/>
        </w:numPr>
        <w:autoSpaceDE w:val="0"/>
        <w:autoSpaceDN w:val="0"/>
        <w:adjustRightInd w:val="0"/>
        <w:spacing w:after="120"/>
        <w:ind w:left="720"/>
        <w:contextualSpacing w:val="0"/>
        <w:rPr>
          <w:rFonts w:cs="Arial"/>
          <w:szCs w:val="20"/>
        </w:rPr>
      </w:pPr>
      <w:r w:rsidRPr="00865057">
        <w:rPr>
          <w:rFonts w:cs="Arial"/>
          <w:szCs w:val="20"/>
        </w:rPr>
        <w:t>Executive Orders 11063 and 13988</w:t>
      </w:r>
      <w:r w:rsidR="003E361A">
        <w:rPr>
          <w:rFonts w:cs="Arial"/>
          <w:szCs w:val="20"/>
        </w:rPr>
        <w:t>;</w:t>
      </w:r>
    </w:p>
    <w:p w14:paraId="40E6E828" w14:textId="77777777" w:rsidR="00DF792E" w:rsidRPr="00865057" w:rsidRDefault="00DF792E" w:rsidP="00CB52D8">
      <w:pPr>
        <w:pStyle w:val="ListParagraph"/>
        <w:numPr>
          <w:ilvl w:val="0"/>
          <w:numId w:val="38"/>
        </w:numPr>
        <w:autoSpaceDE w:val="0"/>
        <w:autoSpaceDN w:val="0"/>
        <w:adjustRightInd w:val="0"/>
        <w:spacing w:after="120"/>
        <w:ind w:left="720"/>
        <w:contextualSpacing w:val="0"/>
        <w:rPr>
          <w:rFonts w:cs="Arial"/>
          <w:szCs w:val="20"/>
        </w:rPr>
      </w:pPr>
      <w:r w:rsidRPr="00865057">
        <w:rPr>
          <w:rFonts w:cs="Arial"/>
          <w:szCs w:val="20"/>
        </w:rPr>
        <w:t>Section 504 of the Rehabilitation Act of 1973</w:t>
      </w:r>
      <w:r w:rsidR="003E361A">
        <w:rPr>
          <w:rFonts w:cs="Arial"/>
          <w:szCs w:val="20"/>
        </w:rPr>
        <w:t>;</w:t>
      </w:r>
    </w:p>
    <w:p w14:paraId="75652F0E" w14:textId="77777777" w:rsidR="00DF792E" w:rsidRPr="00865057" w:rsidRDefault="00DF792E" w:rsidP="00CB52D8">
      <w:pPr>
        <w:pStyle w:val="ListParagraph"/>
        <w:numPr>
          <w:ilvl w:val="0"/>
          <w:numId w:val="38"/>
        </w:numPr>
        <w:autoSpaceDE w:val="0"/>
        <w:autoSpaceDN w:val="0"/>
        <w:adjustRightInd w:val="0"/>
        <w:spacing w:after="120"/>
        <w:ind w:left="720"/>
        <w:contextualSpacing w:val="0"/>
        <w:rPr>
          <w:rFonts w:cs="Arial"/>
          <w:szCs w:val="20"/>
        </w:rPr>
      </w:pPr>
      <w:r w:rsidRPr="00865057">
        <w:rPr>
          <w:rFonts w:cs="Arial"/>
          <w:szCs w:val="20"/>
        </w:rPr>
        <w:t>The Age Discrimination Act (ADA) of 1975</w:t>
      </w:r>
      <w:r w:rsidR="003E361A">
        <w:rPr>
          <w:rFonts w:cs="Arial"/>
          <w:szCs w:val="20"/>
        </w:rPr>
        <w:t>;</w:t>
      </w:r>
    </w:p>
    <w:p w14:paraId="45CB14D6" w14:textId="77777777" w:rsidR="00DF792E" w:rsidRPr="00865057" w:rsidRDefault="00DF792E" w:rsidP="00CB52D8">
      <w:pPr>
        <w:pStyle w:val="ListParagraph"/>
        <w:numPr>
          <w:ilvl w:val="0"/>
          <w:numId w:val="38"/>
        </w:numPr>
        <w:autoSpaceDE w:val="0"/>
        <w:autoSpaceDN w:val="0"/>
        <w:adjustRightInd w:val="0"/>
        <w:spacing w:after="120"/>
        <w:ind w:left="720"/>
        <w:contextualSpacing w:val="0"/>
        <w:rPr>
          <w:rFonts w:cs="Arial"/>
          <w:szCs w:val="20"/>
        </w:rPr>
      </w:pPr>
      <w:r w:rsidRPr="00865057">
        <w:rPr>
          <w:rFonts w:cs="Arial"/>
          <w:szCs w:val="20"/>
        </w:rPr>
        <w:t>Title II of the Americans with Disabilities Act (to the extent that it applies, otherwise Section 504 and the Fair Housing Amendments govern)</w:t>
      </w:r>
      <w:r w:rsidR="00955A52">
        <w:rPr>
          <w:rFonts w:cs="Arial"/>
          <w:szCs w:val="20"/>
        </w:rPr>
        <w:t>;</w:t>
      </w:r>
    </w:p>
    <w:p w14:paraId="1AEB2D30" w14:textId="77777777" w:rsidR="00DF792E" w:rsidRDefault="00DF792E" w:rsidP="00CB52D8">
      <w:pPr>
        <w:pStyle w:val="ListParagraph"/>
        <w:numPr>
          <w:ilvl w:val="0"/>
          <w:numId w:val="38"/>
        </w:numPr>
        <w:autoSpaceDE w:val="0"/>
        <w:autoSpaceDN w:val="0"/>
        <w:adjustRightInd w:val="0"/>
        <w:spacing w:after="120"/>
        <w:ind w:left="720"/>
        <w:contextualSpacing w:val="0"/>
        <w:rPr>
          <w:rFonts w:cs="Arial"/>
          <w:szCs w:val="20"/>
        </w:rPr>
      </w:pPr>
      <w:r w:rsidRPr="00865057">
        <w:rPr>
          <w:rFonts w:cs="Arial"/>
          <w:szCs w:val="20"/>
        </w:rPr>
        <w:t>The Equal Access to Housing in HUD Programs regardless of Sexual Orientation or Gender Identity Final Rule, published in the Federal Register February 3, 2012 and further clarified in Notice PIH 2014-20</w:t>
      </w:r>
      <w:r w:rsidR="00D2377A">
        <w:rPr>
          <w:rFonts w:cs="Arial"/>
          <w:szCs w:val="20"/>
        </w:rPr>
        <w:t>;</w:t>
      </w:r>
    </w:p>
    <w:p w14:paraId="4B313CF0" w14:textId="77777777" w:rsidR="00DF792E" w:rsidRPr="00435D29" w:rsidRDefault="00565067" w:rsidP="00CB52D8">
      <w:pPr>
        <w:pStyle w:val="ListParagraph"/>
        <w:numPr>
          <w:ilvl w:val="0"/>
          <w:numId w:val="38"/>
        </w:numPr>
        <w:autoSpaceDE w:val="0"/>
        <w:autoSpaceDN w:val="0"/>
        <w:adjustRightInd w:val="0"/>
        <w:spacing w:after="120"/>
        <w:ind w:left="720"/>
        <w:contextualSpacing w:val="0"/>
        <w:rPr>
          <w:rFonts w:cs="Arial"/>
          <w:szCs w:val="20"/>
        </w:rPr>
      </w:pPr>
      <w:r w:rsidRPr="00865057">
        <w:rPr>
          <w:rFonts w:cs="Arial"/>
          <w:szCs w:val="20"/>
        </w:rPr>
        <w:t>Violence Against Women Reauthorization Act of 20</w:t>
      </w:r>
      <w:r w:rsidR="00D10309">
        <w:rPr>
          <w:rFonts w:cs="Arial"/>
          <w:szCs w:val="20"/>
        </w:rPr>
        <w:t>22</w:t>
      </w:r>
      <w:r w:rsidRPr="00865057">
        <w:rPr>
          <w:rFonts w:cs="Arial"/>
          <w:szCs w:val="20"/>
        </w:rPr>
        <w:t xml:space="preserve"> (VAWA)</w:t>
      </w:r>
      <w:r w:rsidR="00D2377A">
        <w:rPr>
          <w:rFonts w:cs="Arial"/>
          <w:szCs w:val="20"/>
        </w:rPr>
        <w:t>.</w:t>
      </w:r>
    </w:p>
    <w:p w14:paraId="3AFBAD5D" w14:textId="77777777" w:rsidR="00565067" w:rsidRDefault="00DF792E" w:rsidP="00DF792E">
      <w:r>
        <w:t>When more than one civil rights law applies to a situation, the laws will be read and applied together</w:t>
      </w:r>
      <w:r w:rsidR="00565067">
        <w:t>.</w:t>
      </w:r>
    </w:p>
    <w:p w14:paraId="64368B05" w14:textId="77777777" w:rsidR="00DF792E" w:rsidRDefault="00565067" w:rsidP="00DF792E">
      <w:r>
        <w:t>A</w:t>
      </w:r>
      <w:r w:rsidR="00DF792E">
        <w:t xml:space="preserve">ny applicable state laws or local ordinances and any legislation protecting individual rights of participating households, applicants, or staff that may subsequently be enacted will also apply. </w:t>
      </w:r>
    </w:p>
    <w:p w14:paraId="1B802E89" w14:textId="77777777" w:rsidR="00565067" w:rsidRDefault="00565067" w:rsidP="00677451">
      <w:pPr>
        <w:pStyle w:val="Heading3"/>
      </w:pPr>
      <w:bookmarkStart w:id="54" w:name="_Toc200375479"/>
      <w:r>
        <w:t>Protected Classes</w:t>
      </w:r>
      <w:bookmarkEnd w:id="54"/>
    </w:p>
    <w:p w14:paraId="1F8610F1" w14:textId="77777777" w:rsidR="00DF792E" w:rsidRDefault="00DF792E" w:rsidP="00DF792E">
      <w:r>
        <w:t xml:space="preserve">HHA will not discriminate on the basis of race, color, sex, religion, familial status, age, disability, national origin, gender identity, marital status or sexual orientation (called </w:t>
      </w:r>
      <w:r w:rsidRPr="006D15C8">
        <w:rPr>
          <w:i/>
          <w:iCs/>
        </w:rPr>
        <w:t>protected classes</w:t>
      </w:r>
      <w:r>
        <w:t xml:space="preserve">). </w:t>
      </w:r>
    </w:p>
    <w:p w14:paraId="7544B8DA" w14:textId="77777777" w:rsidR="00DF792E" w:rsidRDefault="00DF792E" w:rsidP="00DF792E">
      <w:r>
        <w:t>HHA will not use any of the household characteristics or background described above to:</w:t>
      </w:r>
    </w:p>
    <w:p w14:paraId="68747216" w14:textId="77777777" w:rsidR="00DF792E" w:rsidRPr="00865057" w:rsidRDefault="00DF792E" w:rsidP="00CB52D8">
      <w:pPr>
        <w:pStyle w:val="ListParagraph"/>
        <w:numPr>
          <w:ilvl w:val="0"/>
          <w:numId w:val="39"/>
        </w:numPr>
        <w:autoSpaceDE w:val="0"/>
        <w:autoSpaceDN w:val="0"/>
        <w:adjustRightInd w:val="0"/>
        <w:spacing w:after="120"/>
        <w:ind w:left="720"/>
        <w:contextualSpacing w:val="0"/>
        <w:rPr>
          <w:rFonts w:cs="Arial"/>
          <w:szCs w:val="20"/>
        </w:rPr>
      </w:pPr>
      <w:r w:rsidRPr="00865057">
        <w:rPr>
          <w:rFonts w:cs="Arial"/>
          <w:szCs w:val="20"/>
        </w:rPr>
        <w:t xml:space="preserve">Deny to any household the opportunity to apply for housing, nor deny any qualified applicant the opportunity to participate in the </w:t>
      </w:r>
      <w:r w:rsidR="00241181">
        <w:rPr>
          <w:rFonts w:cs="Arial"/>
          <w:szCs w:val="20"/>
        </w:rPr>
        <w:t xml:space="preserve">public housing </w:t>
      </w:r>
      <w:r w:rsidRPr="00865057">
        <w:rPr>
          <w:rFonts w:cs="Arial"/>
          <w:szCs w:val="20"/>
        </w:rPr>
        <w:t>program;</w:t>
      </w:r>
    </w:p>
    <w:p w14:paraId="5649AF9A" w14:textId="77777777" w:rsidR="00DF792E" w:rsidRPr="00865057" w:rsidRDefault="00DF792E" w:rsidP="00CB52D8">
      <w:pPr>
        <w:pStyle w:val="ListParagraph"/>
        <w:numPr>
          <w:ilvl w:val="0"/>
          <w:numId w:val="39"/>
        </w:numPr>
        <w:autoSpaceDE w:val="0"/>
        <w:autoSpaceDN w:val="0"/>
        <w:adjustRightInd w:val="0"/>
        <w:spacing w:after="120"/>
        <w:ind w:left="720"/>
        <w:contextualSpacing w:val="0"/>
        <w:rPr>
          <w:rFonts w:cs="Arial"/>
          <w:szCs w:val="20"/>
        </w:rPr>
      </w:pPr>
      <w:r w:rsidRPr="00865057">
        <w:rPr>
          <w:rFonts w:cs="Arial"/>
          <w:szCs w:val="20"/>
        </w:rPr>
        <w:t>Provide housing that is different from that provided to others;</w:t>
      </w:r>
    </w:p>
    <w:p w14:paraId="63E27937" w14:textId="77777777" w:rsidR="00DF792E" w:rsidRPr="00865057" w:rsidRDefault="00DF792E" w:rsidP="00CB52D8">
      <w:pPr>
        <w:pStyle w:val="ListParagraph"/>
        <w:numPr>
          <w:ilvl w:val="0"/>
          <w:numId w:val="39"/>
        </w:numPr>
        <w:autoSpaceDE w:val="0"/>
        <w:autoSpaceDN w:val="0"/>
        <w:adjustRightInd w:val="0"/>
        <w:spacing w:after="120"/>
        <w:ind w:left="720"/>
        <w:contextualSpacing w:val="0"/>
        <w:rPr>
          <w:rFonts w:cs="Arial"/>
          <w:szCs w:val="20"/>
        </w:rPr>
      </w:pPr>
      <w:r w:rsidRPr="00865057">
        <w:rPr>
          <w:rFonts w:cs="Arial"/>
          <w:szCs w:val="20"/>
        </w:rPr>
        <w:t>Subject anyone to segregation or disparate treatment;</w:t>
      </w:r>
    </w:p>
    <w:p w14:paraId="02511DC2" w14:textId="77777777" w:rsidR="00DF792E" w:rsidRPr="00865057" w:rsidRDefault="00DF792E" w:rsidP="00CB52D8">
      <w:pPr>
        <w:pStyle w:val="ListParagraph"/>
        <w:numPr>
          <w:ilvl w:val="0"/>
          <w:numId w:val="39"/>
        </w:numPr>
        <w:autoSpaceDE w:val="0"/>
        <w:autoSpaceDN w:val="0"/>
        <w:adjustRightInd w:val="0"/>
        <w:spacing w:after="120"/>
        <w:ind w:left="720"/>
        <w:contextualSpacing w:val="0"/>
        <w:rPr>
          <w:rFonts w:cs="Arial"/>
          <w:szCs w:val="20"/>
        </w:rPr>
      </w:pPr>
      <w:r w:rsidRPr="00865057">
        <w:rPr>
          <w:rFonts w:cs="Arial"/>
          <w:szCs w:val="20"/>
        </w:rPr>
        <w:t>Subject anyone to sexual harassment;</w:t>
      </w:r>
    </w:p>
    <w:p w14:paraId="7CEF48BB" w14:textId="77777777" w:rsidR="00DF792E" w:rsidRPr="00865057" w:rsidRDefault="00DF792E" w:rsidP="00CB52D8">
      <w:pPr>
        <w:pStyle w:val="ListParagraph"/>
        <w:numPr>
          <w:ilvl w:val="0"/>
          <w:numId w:val="39"/>
        </w:numPr>
        <w:autoSpaceDE w:val="0"/>
        <w:autoSpaceDN w:val="0"/>
        <w:adjustRightInd w:val="0"/>
        <w:spacing w:after="120"/>
        <w:ind w:left="720"/>
        <w:contextualSpacing w:val="0"/>
        <w:rPr>
          <w:rFonts w:cs="Arial"/>
          <w:szCs w:val="20"/>
        </w:rPr>
      </w:pPr>
      <w:r w:rsidRPr="00865057">
        <w:rPr>
          <w:rFonts w:cs="Arial"/>
          <w:szCs w:val="20"/>
        </w:rPr>
        <w:t>Restrict anyone’s access to any benefit enjoyed by others in connection with the housing program;</w:t>
      </w:r>
    </w:p>
    <w:p w14:paraId="02C6230E" w14:textId="77777777" w:rsidR="00DF792E" w:rsidRPr="00865057" w:rsidRDefault="00DF792E" w:rsidP="00CB52D8">
      <w:pPr>
        <w:pStyle w:val="ListParagraph"/>
        <w:numPr>
          <w:ilvl w:val="0"/>
          <w:numId w:val="39"/>
        </w:numPr>
        <w:autoSpaceDE w:val="0"/>
        <w:autoSpaceDN w:val="0"/>
        <w:adjustRightInd w:val="0"/>
        <w:spacing w:after="120"/>
        <w:ind w:left="720"/>
        <w:contextualSpacing w:val="0"/>
        <w:rPr>
          <w:rFonts w:cs="Arial"/>
          <w:szCs w:val="20"/>
        </w:rPr>
      </w:pPr>
      <w:r w:rsidRPr="00865057">
        <w:rPr>
          <w:rFonts w:cs="Arial"/>
          <w:szCs w:val="20"/>
        </w:rPr>
        <w:t>Treat a person differently in determining eligibility or other requirements for admission;</w:t>
      </w:r>
    </w:p>
    <w:p w14:paraId="063B7089" w14:textId="77777777" w:rsidR="00DF792E" w:rsidRPr="00865057" w:rsidRDefault="00DF792E" w:rsidP="00CB52D8">
      <w:pPr>
        <w:pStyle w:val="ListParagraph"/>
        <w:numPr>
          <w:ilvl w:val="0"/>
          <w:numId w:val="39"/>
        </w:numPr>
        <w:autoSpaceDE w:val="0"/>
        <w:autoSpaceDN w:val="0"/>
        <w:adjustRightInd w:val="0"/>
        <w:spacing w:after="120"/>
        <w:ind w:left="720"/>
        <w:contextualSpacing w:val="0"/>
        <w:rPr>
          <w:rFonts w:cs="Arial"/>
          <w:szCs w:val="20"/>
        </w:rPr>
      </w:pPr>
      <w:r w:rsidRPr="00865057">
        <w:rPr>
          <w:rFonts w:cs="Arial"/>
          <w:szCs w:val="20"/>
        </w:rPr>
        <w:t>Steer an applicant or client toward or away from a particular area based any of these factors;</w:t>
      </w:r>
    </w:p>
    <w:p w14:paraId="3158DDD6" w14:textId="77777777" w:rsidR="00DF792E" w:rsidRPr="00865057" w:rsidRDefault="00DF792E" w:rsidP="00CB52D8">
      <w:pPr>
        <w:pStyle w:val="ListParagraph"/>
        <w:numPr>
          <w:ilvl w:val="0"/>
          <w:numId w:val="39"/>
        </w:numPr>
        <w:autoSpaceDE w:val="0"/>
        <w:autoSpaceDN w:val="0"/>
        <w:adjustRightInd w:val="0"/>
        <w:spacing w:after="120"/>
        <w:ind w:left="720"/>
        <w:contextualSpacing w:val="0"/>
        <w:rPr>
          <w:rFonts w:cs="Arial"/>
          <w:szCs w:val="20"/>
        </w:rPr>
      </w:pPr>
      <w:r w:rsidRPr="00865057">
        <w:rPr>
          <w:rFonts w:cs="Arial"/>
          <w:szCs w:val="20"/>
        </w:rPr>
        <w:t>Deny anyone access to the same level of services;</w:t>
      </w:r>
    </w:p>
    <w:p w14:paraId="39432FB4" w14:textId="77777777" w:rsidR="00DF792E" w:rsidRPr="00865057" w:rsidRDefault="00DF792E" w:rsidP="00CB52D8">
      <w:pPr>
        <w:pStyle w:val="ListParagraph"/>
        <w:numPr>
          <w:ilvl w:val="0"/>
          <w:numId w:val="39"/>
        </w:numPr>
        <w:autoSpaceDE w:val="0"/>
        <w:autoSpaceDN w:val="0"/>
        <w:adjustRightInd w:val="0"/>
        <w:spacing w:after="120"/>
        <w:ind w:left="720"/>
        <w:contextualSpacing w:val="0"/>
        <w:rPr>
          <w:rFonts w:cs="Arial"/>
          <w:szCs w:val="20"/>
        </w:rPr>
      </w:pPr>
      <w:r w:rsidRPr="00865057">
        <w:rPr>
          <w:rFonts w:cs="Arial"/>
          <w:szCs w:val="20"/>
        </w:rPr>
        <w:t>Deny anyone the opportunity to participate in a planning or advisory group that is an integral part of the housing program;</w:t>
      </w:r>
    </w:p>
    <w:p w14:paraId="6189D63B" w14:textId="77777777" w:rsidR="00DF792E" w:rsidRPr="00865057" w:rsidRDefault="00DF792E" w:rsidP="00CB52D8">
      <w:pPr>
        <w:pStyle w:val="ListParagraph"/>
        <w:numPr>
          <w:ilvl w:val="0"/>
          <w:numId w:val="39"/>
        </w:numPr>
        <w:autoSpaceDE w:val="0"/>
        <w:autoSpaceDN w:val="0"/>
        <w:adjustRightInd w:val="0"/>
        <w:spacing w:after="120"/>
        <w:ind w:left="720"/>
        <w:contextualSpacing w:val="0"/>
        <w:rPr>
          <w:rFonts w:cs="Arial"/>
          <w:szCs w:val="20"/>
        </w:rPr>
      </w:pPr>
      <w:r w:rsidRPr="00865057">
        <w:rPr>
          <w:rFonts w:cs="Arial"/>
          <w:szCs w:val="20"/>
        </w:rPr>
        <w:t xml:space="preserve">Discriminate in the provision of residential real estate transactions; </w:t>
      </w:r>
    </w:p>
    <w:p w14:paraId="7FEC82AD" w14:textId="77777777" w:rsidR="00DF792E" w:rsidRPr="00865057" w:rsidRDefault="00DF792E" w:rsidP="00CB52D8">
      <w:pPr>
        <w:pStyle w:val="ListParagraph"/>
        <w:numPr>
          <w:ilvl w:val="0"/>
          <w:numId w:val="39"/>
        </w:numPr>
        <w:autoSpaceDE w:val="0"/>
        <w:autoSpaceDN w:val="0"/>
        <w:adjustRightInd w:val="0"/>
        <w:spacing w:after="120"/>
        <w:ind w:left="720"/>
        <w:contextualSpacing w:val="0"/>
        <w:rPr>
          <w:rFonts w:cs="Arial"/>
          <w:szCs w:val="20"/>
        </w:rPr>
      </w:pPr>
      <w:r w:rsidRPr="00865057">
        <w:rPr>
          <w:rFonts w:cs="Arial"/>
          <w:szCs w:val="20"/>
        </w:rPr>
        <w:t xml:space="preserve">Discriminate against someone because they are related to or associated with a member of a protected class; or </w:t>
      </w:r>
    </w:p>
    <w:p w14:paraId="2F5E209C" w14:textId="77777777" w:rsidR="00DF792E" w:rsidRPr="00865057" w:rsidRDefault="00DF792E" w:rsidP="00CB52D8">
      <w:pPr>
        <w:pStyle w:val="ListParagraph"/>
        <w:numPr>
          <w:ilvl w:val="0"/>
          <w:numId w:val="39"/>
        </w:numPr>
        <w:autoSpaceDE w:val="0"/>
        <w:autoSpaceDN w:val="0"/>
        <w:adjustRightInd w:val="0"/>
        <w:spacing w:after="120"/>
        <w:ind w:left="720"/>
        <w:contextualSpacing w:val="0"/>
        <w:rPr>
          <w:rFonts w:cs="Arial"/>
          <w:szCs w:val="20"/>
        </w:rPr>
      </w:pPr>
      <w:r w:rsidRPr="00865057">
        <w:rPr>
          <w:rFonts w:cs="Arial"/>
          <w:szCs w:val="20"/>
        </w:rPr>
        <w:t>Publish or cause to be published an advertisement or notice indicating the availability of housing that prefers or excludes persons who are members of a protected class.</w:t>
      </w:r>
    </w:p>
    <w:p w14:paraId="4915BA97" w14:textId="77777777" w:rsidR="00DF792E" w:rsidRPr="009345B0" w:rsidRDefault="009345B0" w:rsidP="00677451">
      <w:pPr>
        <w:pStyle w:val="Heading3"/>
      </w:pPr>
      <w:bookmarkStart w:id="55" w:name="_Toc200375480"/>
      <w:r>
        <w:t>Providing Information to Families</w:t>
      </w:r>
      <w:bookmarkEnd w:id="55"/>
    </w:p>
    <w:p w14:paraId="61A41C5A" w14:textId="77777777" w:rsidR="00F43F46" w:rsidRDefault="00DF792E" w:rsidP="00F43F46">
      <w:r>
        <w:t>H</w:t>
      </w:r>
      <w:r w:rsidR="009345B0">
        <w:t>HA</w:t>
      </w:r>
      <w:r>
        <w:t xml:space="preserve"> takes steps to ensure that families are fully aware of all applicable civil rights laws. </w:t>
      </w:r>
    </w:p>
    <w:p w14:paraId="6FE09F4E" w14:textId="77777777" w:rsidR="00DF792E" w:rsidRPr="009345B0" w:rsidRDefault="009345B0" w:rsidP="00677451">
      <w:pPr>
        <w:pStyle w:val="Heading3"/>
      </w:pPr>
      <w:bookmarkStart w:id="56" w:name="_Toc200375481"/>
      <w:r>
        <w:t>Discrimination Complaints</w:t>
      </w:r>
      <w:bookmarkEnd w:id="56"/>
    </w:p>
    <w:p w14:paraId="174C61C8" w14:textId="77777777" w:rsidR="00DF792E" w:rsidRDefault="00DF792E" w:rsidP="00DF792E">
      <w:r>
        <w:t xml:space="preserve">Applicants or households that believe they have been subject to unlawful discrimination may notify HHA. HHA will attempt to remedy discrimination complaints made against HHA and will conduct an investigation into all allegations of discrimination.  </w:t>
      </w:r>
    </w:p>
    <w:p w14:paraId="6850059A" w14:textId="77777777" w:rsidR="00DF792E" w:rsidRDefault="00DF792E" w:rsidP="00DF792E">
      <w:r>
        <w:t>HHA will provide a copy of a discrimination complaint form to the complainant and provide them with information on how to complete and submit the form to HUD’s Office of Fair Housing and Equal Opportunity (FHEO).</w:t>
      </w:r>
    </w:p>
    <w:p w14:paraId="60F3DDE1" w14:textId="77777777" w:rsidR="00DF792E" w:rsidRDefault="00DF792E" w:rsidP="00DF792E">
      <w:r>
        <w:t>HHA will keep a record of all complaints, investigations, notices, and corrective actions.</w:t>
      </w:r>
    </w:p>
    <w:p w14:paraId="0693E106" w14:textId="77777777" w:rsidR="00DF792E" w:rsidRDefault="004708AC" w:rsidP="00BB64BD">
      <w:pPr>
        <w:pStyle w:val="Heading2"/>
      </w:pPr>
      <w:bookmarkStart w:id="57" w:name="_Toc173222627"/>
      <w:bookmarkStart w:id="58" w:name="_Toc200375482"/>
      <w:bookmarkStart w:id="59" w:name="_Toc200376893"/>
      <w:r>
        <w:t xml:space="preserve">Policies Related </w:t>
      </w:r>
      <w:r w:rsidR="005B29BF">
        <w:t>t</w:t>
      </w:r>
      <w:r>
        <w:t xml:space="preserve">o Persons </w:t>
      </w:r>
      <w:r w:rsidR="005B29BF">
        <w:t>w</w:t>
      </w:r>
      <w:r>
        <w:t>ith Disabilities</w:t>
      </w:r>
      <w:bookmarkEnd w:id="57"/>
      <w:bookmarkEnd w:id="58"/>
      <w:bookmarkEnd w:id="59"/>
    </w:p>
    <w:p w14:paraId="722C6650" w14:textId="77777777" w:rsidR="00DF792E" w:rsidRDefault="00DF792E" w:rsidP="00DF792E">
      <w:r>
        <w:t>One type of disability discrimination prohibited by the Fair Housing Act is the refusal to make Reasonable Accommodation in rules, policies, practices, or services when such accommodation may be necessary to provide a person with a disability the equal opportunity to use and enjoy a program or dwelling under the program.</w:t>
      </w:r>
    </w:p>
    <w:p w14:paraId="2C5E01AD" w14:textId="77777777" w:rsidR="00DF792E" w:rsidRDefault="00DF792E" w:rsidP="00DF792E">
      <w:r>
        <w:t xml:space="preserve">HHA must ensure that persons with disabilities have full access to HHA’s programs and services. This responsibility begins with the first inquiry of an interested family and continues through every programmatic area of the </w:t>
      </w:r>
      <w:r w:rsidR="00BB2E2F">
        <w:t>public housing</w:t>
      </w:r>
      <w:r>
        <w:t xml:space="preserve"> program.</w:t>
      </w:r>
    </w:p>
    <w:p w14:paraId="2D731201" w14:textId="77777777" w:rsidR="00DF792E" w:rsidRPr="00DF792E" w:rsidRDefault="00DF792E" w:rsidP="00DF792E">
      <w:r>
        <w:t xml:space="preserve">HHA will ask all applicants and </w:t>
      </w:r>
      <w:r w:rsidR="006B3736">
        <w:t>resident</w:t>
      </w:r>
      <w:r>
        <w:t>s if they require any type of accommodations, in writing, on the intake application, reexamination documents, and notices of adverse action by HHA.</w:t>
      </w:r>
    </w:p>
    <w:p w14:paraId="32868722" w14:textId="77777777" w:rsidR="00EE7094" w:rsidRDefault="0096433E" w:rsidP="002D577F">
      <w:r>
        <w:t>See</w:t>
      </w:r>
      <w:r w:rsidR="00EE7094">
        <w:t xml:space="preserve"> </w:t>
      </w:r>
      <w:hyperlink w:anchor="_APPENDIX_A:_REASONABLE" w:history="1">
        <w:r w:rsidR="00703EB0" w:rsidRPr="00703EB0">
          <w:rPr>
            <w:rStyle w:val="OurLinksChar"/>
          </w:rPr>
          <w:fldChar w:fldCharType="begin"/>
        </w:r>
        <w:r w:rsidR="00703EB0" w:rsidRPr="00703EB0">
          <w:rPr>
            <w:rStyle w:val="OurLinksChar"/>
          </w:rPr>
          <w:instrText xml:space="preserve"> REF _Ref144995089 \h </w:instrText>
        </w:r>
        <w:r w:rsidR="00703EB0">
          <w:rPr>
            <w:rStyle w:val="OurLinksChar"/>
          </w:rPr>
          <w:instrText xml:space="preserve"> \* MERGEFORMAT </w:instrText>
        </w:r>
        <w:r w:rsidR="00703EB0" w:rsidRPr="00703EB0">
          <w:rPr>
            <w:rStyle w:val="OurLinksChar"/>
          </w:rPr>
        </w:r>
        <w:r w:rsidR="00703EB0" w:rsidRPr="00703EB0">
          <w:rPr>
            <w:rStyle w:val="OurLinksChar"/>
          </w:rPr>
          <w:fldChar w:fldCharType="separate"/>
        </w:r>
        <w:r w:rsidR="00703EB0" w:rsidRPr="00703EB0">
          <w:rPr>
            <w:rStyle w:val="OurLinksChar"/>
          </w:rPr>
          <w:t>APPENDIX A: REASONABLE ACCOMMODATION POLICY AND PROCEDURES</w:t>
        </w:r>
        <w:r w:rsidR="00703EB0" w:rsidRPr="00703EB0">
          <w:rPr>
            <w:rStyle w:val="OurLinksChar"/>
          </w:rPr>
          <w:fldChar w:fldCharType="end"/>
        </w:r>
      </w:hyperlink>
      <w:r w:rsidR="00EE7094">
        <w:t>.</w:t>
      </w:r>
    </w:p>
    <w:p w14:paraId="6DFAE3DD" w14:textId="77777777" w:rsidR="002D577F" w:rsidRPr="00D4127C" w:rsidRDefault="005064F1" w:rsidP="00677451">
      <w:pPr>
        <w:pStyle w:val="Heading3"/>
      </w:pPr>
      <w:bookmarkStart w:id="60" w:name="_Toc138936373"/>
      <w:bookmarkStart w:id="61" w:name="_Ref144889372"/>
      <w:bookmarkStart w:id="62" w:name="_Ref163635997"/>
      <w:bookmarkStart w:id="63" w:name="_Toc200375483"/>
      <w:r>
        <w:t xml:space="preserve">Definition </w:t>
      </w:r>
      <w:r w:rsidR="007F5B4A">
        <w:t>o</w:t>
      </w:r>
      <w:r w:rsidR="007F5B4A" w:rsidRPr="00D4127C">
        <w:t>f Disability</w:t>
      </w:r>
      <w:bookmarkEnd w:id="60"/>
      <w:bookmarkEnd w:id="61"/>
      <w:bookmarkEnd w:id="62"/>
      <w:bookmarkEnd w:id="63"/>
    </w:p>
    <w:p w14:paraId="4D047E2F" w14:textId="77777777" w:rsidR="005064F1" w:rsidRPr="00765546" w:rsidRDefault="005064F1" w:rsidP="005064F1">
      <w:pPr>
        <w:rPr>
          <w:rFonts w:cs="Arial"/>
          <w:szCs w:val="20"/>
        </w:rPr>
      </w:pPr>
      <w:r w:rsidRPr="00765546">
        <w:rPr>
          <w:rFonts w:cs="Arial"/>
          <w:szCs w:val="20"/>
        </w:rPr>
        <w:t xml:space="preserve">There are two different definitions for </w:t>
      </w:r>
      <w:r w:rsidRPr="00765546">
        <w:rPr>
          <w:rFonts w:cs="Arial"/>
          <w:i/>
          <w:iCs/>
          <w:szCs w:val="20"/>
        </w:rPr>
        <w:t>person with a disability</w:t>
      </w:r>
      <w:r w:rsidRPr="00765546">
        <w:rPr>
          <w:rFonts w:cs="Arial"/>
          <w:szCs w:val="20"/>
        </w:rPr>
        <w:t xml:space="preserve"> used in the </w:t>
      </w:r>
      <w:r>
        <w:rPr>
          <w:rFonts w:cs="Arial"/>
          <w:szCs w:val="20"/>
        </w:rPr>
        <w:t>public housing</w:t>
      </w:r>
      <w:r w:rsidRPr="00765546">
        <w:rPr>
          <w:rFonts w:cs="Arial"/>
          <w:szCs w:val="20"/>
        </w:rPr>
        <w:t xml:space="preserve"> program. </w:t>
      </w:r>
      <w:r w:rsidR="000D6068" w:rsidRPr="00765546">
        <w:rPr>
          <w:rFonts w:cs="Arial"/>
          <w:szCs w:val="20"/>
        </w:rPr>
        <w:t>One definition is used to qualify a family for</w:t>
      </w:r>
      <w:r w:rsidR="000D6068">
        <w:rPr>
          <w:rFonts w:cs="Arial"/>
          <w:szCs w:val="20"/>
        </w:rPr>
        <w:t xml:space="preserve"> a</w:t>
      </w:r>
      <w:r w:rsidR="000D6068" w:rsidRPr="00765546">
        <w:rPr>
          <w:rFonts w:cs="Arial"/>
          <w:szCs w:val="20"/>
        </w:rPr>
        <w:t xml:space="preserve"> </w:t>
      </w:r>
      <w:r w:rsidR="000D6068" w:rsidRPr="00765546">
        <w:rPr>
          <w:rFonts w:cs="Arial"/>
          <w:b/>
          <w:bCs/>
          <w:szCs w:val="20"/>
        </w:rPr>
        <w:t>d</w:t>
      </w:r>
      <w:r w:rsidR="000D6068">
        <w:rPr>
          <w:rFonts w:cs="Arial"/>
          <w:b/>
          <w:bCs/>
          <w:szCs w:val="20"/>
        </w:rPr>
        <w:t>isabled d</w:t>
      </w:r>
      <w:r w:rsidR="000D6068" w:rsidRPr="00765546">
        <w:rPr>
          <w:rFonts w:cs="Arial"/>
          <w:b/>
          <w:bCs/>
          <w:szCs w:val="20"/>
        </w:rPr>
        <w:t>eduction</w:t>
      </w:r>
      <w:r w:rsidR="000D6068">
        <w:rPr>
          <w:rFonts w:cs="Arial"/>
          <w:szCs w:val="20"/>
        </w:rPr>
        <w:t>—either as a disabled household or as a dependent for an other adult with a disability—a</w:t>
      </w:r>
      <w:r w:rsidR="000D6068" w:rsidRPr="00765546">
        <w:rPr>
          <w:rFonts w:cs="Arial"/>
          <w:szCs w:val="20"/>
        </w:rPr>
        <w:t xml:space="preserve">nd the other is used in determining eligibility for a </w:t>
      </w:r>
      <w:r w:rsidR="000D6068" w:rsidRPr="00765546">
        <w:rPr>
          <w:rFonts w:cs="Arial"/>
          <w:b/>
          <w:bCs/>
          <w:szCs w:val="20"/>
        </w:rPr>
        <w:t>reasonable accommodation</w:t>
      </w:r>
      <w:r w:rsidR="000D6068" w:rsidRPr="00765546">
        <w:rPr>
          <w:rFonts w:cs="Arial"/>
          <w:szCs w:val="20"/>
        </w:rPr>
        <w:t>.</w:t>
      </w:r>
    </w:p>
    <w:p w14:paraId="4069B64D" w14:textId="77777777" w:rsidR="005064F1" w:rsidRPr="00765546" w:rsidRDefault="005064F1" w:rsidP="00C65247">
      <w:pPr>
        <w:pStyle w:val="Heading4"/>
      </w:pPr>
      <w:bookmarkStart w:id="64" w:name="_Ref150863054"/>
      <w:r w:rsidRPr="00765546">
        <w:t>Disabled Deduction</w:t>
      </w:r>
      <w:r w:rsidR="000D6068">
        <w:t>:</w:t>
      </w:r>
      <w:r w:rsidRPr="00765546">
        <w:t xml:space="preserve"> Definition of a Person with a Disability</w:t>
      </w:r>
      <w:bookmarkEnd w:id="64"/>
    </w:p>
    <w:p w14:paraId="32839106" w14:textId="77777777" w:rsidR="005064F1" w:rsidRPr="00E62753" w:rsidRDefault="005064F1" w:rsidP="00E62753">
      <w:pPr>
        <w:autoSpaceDE w:val="0"/>
        <w:autoSpaceDN w:val="0"/>
        <w:adjustRightInd w:val="0"/>
        <w:rPr>
          <w:rFonts w:cs="Arial"/>
        </w:rPr>
      </w:pPr>
      <w:r w:rsidRPr="00E62753">
        <w:rPr>
          <w:rFonts w:cs="Arial"/>
        </w:rPr>
        <w:t xml:space="preserve">The term </w:t>
      </w:r>
      <w:r w:rsidRPr="00E62753">
        <w:rPr>
          <w:rFonts w:cs="Arial"/>
          <w:i/>
          <w:iCs/>
        </w:rPr>
        <w:t xml:space="preserve">person with disabilities </w:t>
      </w:r>
      <w:r w:rsidRPr="00E62753">
        <w:rPr>
          <w:rFonts w:cs="Arial"/>
        </w:rPr>
        <w:t>means a person who has any of the following types of conditions.</w:t>
      </w:r>
    </w:p>
    <w:p w14:paraId="7C5F5FFA" w14:textId="77777777" w:rsidR="005064F1" w:rsidRPr="00E62753" w:rsidRDefault="005064F1" w:rsidP="00CB52D8">
      <w:pPr>
        <w:pStyle w:val="ListParagraph"/>
        <w:numPr>
          <w:ilvl w:val="0"/>
          <w:numId w:val="40"/>
        </w:numPr>
        <w:autoSpaceDE w:val="0"/>
        <w:autoSpaceDN w:val="0"/>
        <w:adjustRightInd w:val="0"/>
        <w:ind w:left="720"/>
        <w:contextualSpacing w:val="0"/>
        <w:rPr>
          <w:rFonts w:cs="Arial"/>
        </w:rPr>
      </w:pPr>
      <w:r w:rsidRPr="00E62753">
        <w:rPr>
          <w:rFonts w:cs="Arial"/>
        </w:rPr>
        <w:t>Has a disability, as defined in 42 U.S.C. Section 423(d)(1)(A), which reads:</w:t>
      </w:r>
    </w:p>
    <w:p w14:paraId="71F200FD" w14:textId="77777777" w:rsidR="005064F1" w:rsidRPr="00E62753" w:rsidRDefault="005064F1" w:rsidP="00BF7B49">
      <w:pPr>
        <w:pStyle w:val="ListParagraph"/>
        <w:autoSpaceDE w:val="0"/>
        <w:autoSpaceDN w:val="0"/>
        <w:adjustRightInd w:val="0"/>
        <w:contextualSpacing w:val="0"/>
        <w:rPr>
          <w:rFonts w:cs="Arial"/>
          <w:i/>
          <w:iCs/>
        </w:rPr>
      </w:pPr>
      <w:r w:rsidRPr="00E62753">
        <w:rPr>
          <w:rFonts w:cs="Arial"/>
          <w:i/>
          <w:iCs/>
        </w:rPr>
        <w:t>Inability to engage in any substantial gainful activity by reason of any medically determinable physical or mental impairment which can be expected to result in death or which has lasted or can be expected to last for a continuous period of not less than 12 months</w:t>
      </w:r>
      <w:r w:rsidR="00E62753" w:rsidRPr="00E62753">
        <w:rPr>
          <w:rFonts w:cs="Arial"/>
          <w:i/>
          <w:iCs/>
        </w:rPr>
        <w:t>.</w:t>
      </w:r>
    </w:p>
    <w:p w14:paraId="6C1CDDD2" w14:textId="77777777" w:rsidR="005064F1" w:rsidRPr="00E62753" w:rsidRDefault="005064F1" w:rsidP="00BF7B49">
      <w:pPr>
        <w:autoSpaceDE w:val="0"/>
        <w:autoSpaceDN w:val="0"/>
        <w:adjustRightInd w:val="0"/>
        <w:ind w:left="720"/>
        <w:rPr>
          <w:rFonts w:cs="Arial"/>
          <w:i/>
          <w:iCs/>
        </w:rPr>
      </w:pPr>
      <w:r w:rsidRPr="00E62753">
        <w:rPr>
          <w:rFonts w:cs="Arial"/>
          <w:i/>
          <w:iCs/>
        </w:rPr>
        <w:t>In the case of an individual who has attained the age of 55 and is blind (within the meaning of blindness as defined by 42 U.S.C 416(i)(1)), inability by reason of such blindness to engage in substantial gainful activity, requiring skills or ability comparable to those of any gainful activity in which he has previously engaged with some regularity and over a substantial period of time.</w:t>
      </w:r>
    </w:p>
    <w:p w14:paraId="2A76C17E" w14:textId="77777777" w:rsidR="005064F1" w:rsidRPr="00E62753" w:rsidRDefault="005064F1" w:rsidP="00CB52D8">
      <w:pPr>
        <w:pStyle w:val="ListParagraph"/>
        <w:numPr>
          <w:ilvl w:val="0"/>
          <w:numId w:val="40"/>
        </w:numPr>
        <w:autoSpaceDE w:val="0"/>
        <w:autoSpaceDN w:val="0"/>
        <w:adjustRightInd w:val="0"/>
        <w:ind w:left="720"/>
        <w:contextualSpacing w:val="0"/>
        <w:rPr>
          <w:rFonts w:cs="Arial"/>
        </w:rPr>
      </w:pPr>
      <w:r w:rsidRPr="00E62753">
        <w:rPr>
          <w:rFonts w:cs="Arial"/>
        </w:rPr>
        <w:t>Has a physical, mental, or emotional impairment that is expected to be of long-continued and indefinite duration; substantially impedes his or her ability to live independently, and is of such a nature that the ability to live independently could be improved by more suitable housing conditions.</w:t>
      </w:r>
    </w:p>
    <w:p w14:paraId="28E9D086" w14:textId="77777777" w:rsidR="005064F1" w:rsidRPr="00E62753" w:rsidRDefault="005064F1" w:rsidP="00CB52D8">
      <w:pPr>
        <w:pStyle w:val="ListParagraph"/>
        <w:numPr>
          <w:ilvl w:val="0"/>
          <w:numId w:val="40"/>
        </w:numPr>
        <w:autoSpaceDE w:val="0"/>
        <w:autoSpaceDN w:val="0"/>
        <w:adjustRightInd w:val="0"/>
        <w:ind w:left="720"/>
        <w:contextualSpacing w:val="0"/>
        <w:rPr>
          <w:rFonts w:cs="Arial"/>
        </w:rPr>
      </w:pPr>
      <w:r w:rsidRPr="00E62753">
        <w:rPr>
          <w:rFonts w:cs="Arial"/>
        </w:rPr>
        <w:t>Has a developmental disability as defined in the Developmental Disabilities Assistance and Bill of Rights Act of 2000 (42 U.S.C.15002(8)), which defines developmental disability in functional terms as follows:</w:t>
      </w:r>
    </w:p>
    <w:p w14:paraId="2CF15EAD" w14:textId="77777777" w:rsidR="005064F1" w:rsidRPr="00E62753" w:rsidRDefault="005064F1" w:rsidP="00CB52D8">
      <w:pPr>
        <w:pStyle w:val="ListParagraph"/>
        <w:numPr>
          <w:ilvl w:val="0"/>
          <w:numId w:val="41"/>
        </w:numPr>
        <w:autoSpaceDE w:val="0"/>
        <w:autoSpaceDN w:val="0"/>
        <w:adjustRightInd w:val="0"/>
        <w:ind w:left="1440"/>
        <w:contextualSpacing w:val="0"/>
        <w:rPr>
          <w:rFonts w:cs="Arial"/>
        </w:rPr>
      </w:pPr>
      <w:r w:rsidRPr="00E62753">
        <w:rPr>
          <w:rFonts w:cs="Arial"/>
          <w:b/>
          <w:bCs/>
          <w:i/>
          <w:iCs/>
        </w:rPr>
        <w:t>General.</w:t>
      </w:r>
      <w:r w:rsidRPr="00E62753">
        <w:rPr>
          <w:rFonts w:cs="Arial"/>
        </w:rPr>
        <w:t xml:space="preserve"> The term </w:t>
      </w:r>
      <w:r w:rsidRPr="00E62753">
        <w:rPr>
          <w:rFonts w:cs="Arial"/>
          <w:i/>
          <w:iCs/>
        </w:rPr>
        <w:t xml:space="preserve">developmental disability </w:t>
      </w:r>
      <w:r w:rsidRPr="00E62753">
        <w:rPr>
          <w:rFonts w:cs="Arial"/>
        </w:rPr>
        <w:t>means a severe, chronic disability of an individual that:</w:t>
      </w:r>
    </w:p>
    <w:p w14:paraId="42C9DCF4" w14:textId="77777777" w:rsidR="005064F1" w:rsidRPr="00E62753" w:rsidRDefault="005064F1" w:rsidP="00CB52D8">
      <w:pPr>
        <w:pStyle w:val="ListParagraph"/>
        <w:numPr>
          <w:ilvl w:val="1"/>
          <w:numId w:val="42"/>
        </w:numPr>
        <w:autoSpaceDE w:val="0"/>
        <w:autoSpaceDN w:val="0"/>
        <w:adjustRightInd w:val="0"/>
        <w:ind w:left="2160"/>
        <w:contextualSpacing w:val="0"/>
        <w:rPr>
          <w:rFonts w:cs="Arial"/>
        </w:rPr>
      </w:pPr>
      <w:r w:rsidRPr="00E62753">
        <w:rPr>
          <w:rFonts w:cs="Arial"/>
        </w:rPr>
        <w:t>Is attributable to a mental or physical impairment or combination of mental and physical impairments;</w:t>
      </w:r>
    </w:p>
    <w:p w14:paraId="552E48C4" w14:textId="77777777" w:rsidR="005064F1" w:rsidRPr="00E62753" w:rsidRDefault="005064F1" w:rsidP="00CB52D8">
      <w:pPr>
        <w:pStyle w:val="ListParagraph"/>
        <w:numPr>
          <w:ilvl w:val="1"/>
          <w:numId w:val="42"/>
        </w:numPr>
        <w:autoSpaceDE w:val="0"/>
        <w:autoSpaceDN w:val="0"/>
        <w:adjustRightInd w:val="0"/>
        <w:ind w:left="2160"/>
        <w:contextualSpacing w:val="0"/>
        <w:rPr>
          <w:rFonts w:cs="Arial"/>
        </w:rPr>
      </w:pPr>
      <w:r w:rsidRPr="00E62753">
        <w:rPr>
          <w:rFonts w:cs="Arial"/>
        </w:rPr>
        <w:t>Is manifested before the individual attains age 22;</w:t>
      </w:r>
    </w:p>
    <w:p w14:paraId="6BAA7605" w14:textId="77777777" w:rsidR="005064F1" w:rsidRPr="00E62753" w:rsidRDefault="005064F1" w:rsidP="00CB52D8">
      <w:pPr>
        <w:pStyle w:val="ListParagraph"/>
        <w:numPr>
          <w:ilvl w:val="1"/>
          <w:numId w:val="42"/>
        </w:numPr>
        <w:autoSpaceDE w:val="0"/>
        <w:autoSpaceDN w:val="0"/>
        <w:adjustRightInd w:val="0"/>
        <w:ind w:left="2160"/>
        <w:contextualSpacing w:val="0"/>
        <w:rPr>
          <w:rFonts w:cs="Arial"/>
        </w:rPr>
      </w:pPr>
      <w:r w:rsidRPr="00E62753">
        <w:rPr>
          <w:rFonts w:cs="Arial"/>
        </w:rPr>
        <w:t>Is likely to continue indefinitely;</w:t>
      </w:r>
    </w:p>
    <w:p w14:paraId="057E9076" w14:textId="77777777" w:rsidR="005064F1" w:rsidRPr="00E62753" w:rsidRDefault="005064F1" w:rsidP="00CB52D8">
      <w:pPr>
        <w:pStyle w:val="ListParagraph"/>
        <w:numPr>
          <w:ilvl w:val="1"/>
          <w:numId w:val="42"/>
        </w:numPr>
        <w:autoSpaceDE w:val="0"/>
        <w:autoSpaceDN w:val="0"/>
        <w:adjustRightInd w:val="0"/>
        <w:ind w:left="2160"/>
        <w:contextualSpacing w:val="0"/>
        <w:rPr>
          <w:rFonts w:cs="Arial"/>
        </w:rPr>
      </w:pPr>
      <w:r w:rsidRPr="00E62753">
        <w:rPr>
          <w:rFonts w:cs="Arial"/>
        </w:rPr>
        <w:t>Results in substantial functional limitations in 3 or more of the following areas of major life activity:</w:t>
      </w:r>
    </w:p>
    <w:p w14:paraId="6378AF0B" w14:textId="77777777" w:rsidR="005064F1" w:rsidRPr="00E62753" w:rsidRDefault="005064F1" w:rsidP="00CB52D8">
      <w:pPr>
        <w:pStyle w:val="ListParagraph"/>
        <w:numPr>
          <w:ilvl w:val="2"/>
          <w:numId w:val="43"/>
        </w:numPr>
        <w:autoSpaceDE w:val="0"/>
        <w:autoSpaceDN w:val="0"/>
        <w:adjustRightInd w:val="0"/>
        <w:ind w:left="2880"/>
        <w:contextualSpacing w:val="0"/>
        <w:rPr>
          <w:rFonts w:cs="Arial"/>
        </w:rPr>
      </w:pPr>
      <w:r w:rsidRPr="00E62753">
        <w:rPr>
          <w:rFonts w:cs="Arial"/>
        </w:rPr>
        <w:t xml:space="preserve">Self-care, </w:t>
      </w:r>
    </w:p>
    <w:p w14:paraId="27E03155" w14:textId="77777777" w:rsidR="005064F1" w:rsidRPr="00E62753" w:rsidRDefault="005064F1" w:rsidP="00CB52D8">
      <w:pPr>
        <w:pStyle w:val="ListParagraph"/>
        <w:numPr>
          <w:ilvl w:val="2"/>
          <w:numId w:val="43"/>
        </w:numPr>
        <w:autoSpaceDE w:val="0"/>
        <w:autoSpaceDN w:val="0"/>
        <w:adjustRightInd w:val="0"/>
        <w:ind w:left="2880"/>
        <w:contextualSpacing w:val="0"/>
        <w:rPr>
          <w:rFonts w:cs="Arial"/>
        </w:rPr>
      </w:pPr>
      <w:r w:rsidRPr="00E62753">
        <w:rPr>
          <w:rFonts w:cs="Arial"/>
        </w:rPr>
        <w:t>Receptive and expressive language,</w:t>
      </w:r>
    </w:p>
    <w:p w14:paraId="5ED158C7" w14:textId="77777777" w:rsidR="005064F1" w:rsidRPr="00E62753" w:rsidRDefault="005064F1" w:rsidP="00CB52D8">
      <w:pPr>
        <w:pStyle w:val="ListParagraph"/>
        <w:numPr>
          <w:ilvl w:val="2"/>
          <w:numId w:val="43"/>
        </w:numPr>
        <w:autoSpaceDE w:val="0"/>
        <w:autoSpaceDN w:val="0"/>
        <w:adjustRightInd w:val="0"/>
        <w:ind w:left="2880"/>
        <w:contextualSpacing w:val="0"/>
        <w:rPr>
          <w:rFonts w:cs="Arial"/>
        </w:rPr>
      </w:pPr>
      <w:r w:rsidRPr="00E62753">
        <w:rPr>
          <w:rFonts w:cs="Arial"/>
        </w:rPr>
        <w:t>Learning,</w:t>
      </w:r>
    </w:p>
    <w:p w14:paraId="2047AE66" w14:textId="77777777" w:rsidR="005064F1" w:rsidRPr="00E62753" w:rsidRDefault="005064F1" w:rsidP="00CB52D8">
      <w:pPr>
        <w:pStyle w:val="ListParagraph"/>
        <w:numPr>
          <w:ilvl w:val="2"/>
          <w:numId w:val="43"/>
        </w:numPr>
        <w:autoSpaceDE w:val="0"/>
        <w:autoSpaceDN w:val="0"/>
        <w:adjustRightInd w:val="0"/>
        <w:ind w:left="2880"/>
        <w:contextualSpacing w:val="0"/>
        <w:rPr>
          <w:rFonts w:cs="Arial"/>
        </w:rPr>
      </w:pPr>
      <w:r w:rsidRPr="00E62753">
        <w:rPr>
          <w:rFonts w:cs="Arial"/>
        </w:rPr>
        <w:t xml:space="preserve">Mobility, </w:t>
      </w:r>
    </w:p>
    <w:p w14:paraId="78FA4C4D" w14:textId="77777777" w:rsidR="005064F1" w:rsidRPr="00E62753" w:rsidRDefault="005064F1" w:rsidP="00CB52D8">
      <w:pPr>
        <w:pStyle w:val="ListParagraph"/>
        <w:numPr>
          <w:ilvl w:val="2"/>
          <w:numId w:val="43"/>
        </w:numPr>
        <w:autoSpaceDE w:val="0"/>
        <w:autoSpaceDN w:val="0"/>
        <w:adjustRightInd w:val="0"/>
        <w:ind w:left="2880"/>
        <w:contextualSpacing w:val="0"/>
        <w:rPr>
          <w:rFonts w:cs="Arial"/>
        </w:rPr>
      </w:pPr>
      <w:r w:rsidRPr="00E62753">
        <w:rPr>
          <w:rFonts w:cs="Arial"/>
        </w:rPr>
        <w:t xml:space="preserve">Self-direction, </w:t>
      </w:r>
    </w:p>
    <w:p w14:paraId="354E3097" w14:textId="77777777" w:rsidR="005064F1" w:rsidRPr="00E62753" w:rsidRDefault="005064F1" w:rsidP="00CB52D8">
      <w:pPr>
        <w:pStyle w:val="ListParagraph"/>
        <w:numPr>
          <w:ilvl w:val="2"/>
          <w:numId w:val="43"/>
        </w:numPr>
        <w:autoSpaceDE w:val="0"/>
        <w:autoSpaceDN w:val="0"/>
        <w:adjustRightInd w:val="0"/>
        <w:ind w:left="2880"/>
        <w:contextualSpacing w:val="0"/>
        <w:rPr>
          <w:rFonts w:cs="Arial"/>
        </w:rPr>
      </w:pPr>
      <w:r w:rsidRPr="00E62753">
        <w:rPr>
          <w:rFonts w:cs="Arial"/>
        </w:rPr>
        <w:t xml:space="preserve">Capacity for independent living, </w:t>
      </w:r>
    </w:p>
    <w:p w14:paraId="13AAEC32" w14:textId="77777777" w:rsidR="005064F1" w:rsidRPr="00E62753" w:rsidRDefault="005064F1" w:rsidP="00CB52D8">
      <w:pPr>
        <w:pStyle w:val="ListParagraph"/>
        <w:numPr>
          <w:ilvl w:val="2"/>
          <w:numId w:val="43"/>
        </w:numPr>
        <w:autoSpaceDE w:val="0"/>
        <w:autoSpaceDN w:val="0"/>
        <w:adjustRightInd w:val="0"/>
        <w:ind w:left="2880"/>
        <w:contextualSpacing w:val="0"/>
        <w:rPr>
          <w:rFonts w:cs="Arial"/>
        </w:rPr>
      </w:pPr>
      <w:r w:rsidRPr="00E62753">
        <w:rPr>
          <w:rFonts w:cs="Arial"/>
        </w:rPr>
        <w:t>Economic self-sufficiency; and</w:t>
      </w:r>
    </w:p>
    <w:p w14:paraId="1F33FDC0" w14:textId="77777777" w:rsidR="005064F1" w:rsidRPr="00E62753" w:rsidRDefault="005064F1" w:rsidP="00CB52D8">
      <w:pPr>
        <w:pStyle w:val="ListParagraph"/>
        <w:numPr>
          <w:ilvl w:val="1"/>
          <w:numId w:val="42"/>
        </w:numPr>
        <w:autoSpaceDE w:val="0"/>
        <w:autoSpaceDN w:val="0"/>
        <w:adjustRightInd w:val="0"/>
        <w:ind w:left="2160"/>
        <w:contextualSpacing w:val="0"/>
        <w:rPr>
          <w:rFonts w:cs="Arial"/>
        </w:rPr>
      </w:pPr>
      <w:r w:rsidRPr="00E62753">
        <w:rPr>
          <w:rFonts w:cs="Arial"/>
        </w:rPr>
        <w:t>Reflects the individual’s need for a combination and sequence of special, interdisciplinary, or generic services, individualized supports, or other forms of assistance that are of lifelong or extended duration and are individually planned and coordinated.</w:t>
      </w:r>
    </w:p>
    <w:p w14:paraId="289A8272" w14:textId="77777777" w:rsidR="005064F1" w:rsidRPr="00C65247" w:rsidRDefault="005064F1" w:rsidP="00CB52D8">
      <w:pPr>
        <w:pStyle w:val="ListParagraph"/>
        <w:numPr>
          <w:ilvl w:val="0"/>
          <w:numId w:val="41"/>
        </w:numPr>
        <w:autoSpaceDE w:val="0"/>
        <w:autoSpaceDN w:val="0"/>
        <w:adjustRightInd w:val="0"/>
        <w:ind w:left="1440"/>
        <w:contextualSpacing w:val="0"/>
        <w:rPr>
          <w:rFonts w:cs="Arial"/>
        </w:rPr>
      </w:pPr>
      <w:r w:rsidRPr="00E950B8">
        <w:rPr>
          <w:rFonts w:cs="Arial"/>
          <w:b/>
          <w:bCs/>
          <w:i/>
          <w:iCs/>
        </w:rPr>
        <w:t>Infants and Young Children</w:t>
      </w:r>
      <w:r w:rsidRPr="00C65247">
        <w:rPr>
          <w:rFonts w:cs="Arial"/>
          <w:b/>
          <w:bCs/>
          <w:i/>
          <w:iCs/>
        </w:rPr>
        <w:t>.</w:t>
      </w:r>
      <w:r w:rsidRPr="00C65247">
        <w:rPr>
          <w:rFonts w:cs="Arial"/>
        </w:rPr>
        <w:t xml:space="preserve"> An individual from birth to age 9, inclusive, who has a substantial developmental delay or specific congenital or acquired condition, may be considered to have a developmental disability without meeting three or more of the following criteria if the individual, without services and supports, has a high probability of meeting those criteria later in life: self-care, receptive and expressive language, learning, mobility, self-direction.</w:t>
      </w:r>
    </w:p>
    <w:p w14:paraId="4A8B2522" w14:textId="77777777" w:rsidR="005064F1" w:rsidRPr="00E62753" w:rsidRDefault="005064F1" w:rsidP="00E62753">
      <w:pPr>
        <w:rPr>
          <w:rFonts w:cs="Arial"/>
        </w:rPr>
      </w:pPr>
      <w:r w:rsidRPr="00E62753">
        <w:rPr>
          <w:rFonts w:cs="Arial"/>
        </w:rPr>
        <w:t>This definition is also used for the dependent deduction, when an adult family member (who is not the head, co-head or spouse) is a person with disabilities. People with the acquired immunodeficiency syndrome (AIDS) or any conditions arising from the etiologic agent for AIDS are not excluded from this definition. For purposes of qualifying for low-income housing, this definition does not include a person whose disability is based solely on any drug or alcohol dependence.</w:t>
      </w:r>
    </w:p>
    <w:p w14:paraId="571C5B66" w14:textId="77777777" w:rsidR="005064F1" w:rsidRPr="00E62753" w:rsidRDefault="005064F1" w:rsidP="00C65247">
      <w:pPr>
        <w:pStyle w:val="Heading4"/>
      </w:pPr>
      <w:r w:rsidRPr="00E62753">
        <w:t>Reasonable Accommodation: Definition of a Person with a Disability</w:t>
      </w:r>
    </w:p>
    <w:p w14:paraId="75EB2DEB" w14:textId="77777777" w:rsidR="005064F1" w:rsidRPr="00A7084A" w:rsidRDefault="005064F1" w:rsidP="00E62753">
      <w:pPr>
        <w:rPr>
          <w:rFonts w:cs="Arial"/>
          <w:spacing w:val="-2"/>
        </w:rPr>
      </w:pPr>
      <w:r w:rsidRPr="00A7084A">
        <w:rPr>
          <w:rFonts w:cs="Arial"/>
          <w:spacing w:val="-2"/>
        </w:rPr>
        <w:t xml:space="preserve">The definition of a </w:t>
      </w:r>
      <w:r w:rsidRPr="00A7084A">
        <w:rPr>
          <w:rFonts w:cs="Arial"/>
          <w:i/>
          <w:iCs/>
          <w:spacing w:val="-2"/>
        </w:rPr>
        <w:t>person with a disability</w:t>
      </w:r>
      <w:r w:rsidRPr="00A7084A">
        <w:rPr>
          <w:rFonts w:cs="Arial"/>
          <w:spacing w:val="-2"/>
        </w:rPr>
        <w:t xml:space="preserve"> used to qualify a family for a </w:t>
      </w:r>
      <w:r w:rsidRPr="00A7084A">
        <w:rPr>
          <w:rFonts w:cs="Arial"/>
          <w:b/>
          <w:bCs/>
          <w:spacing w:val="-2"/>
        </w:rPr>
        <w:t>reasonable accommodation</w:t>
      </w:r>
      <w:r w:rsidRPr="00A7084A">
        <w:rPr>
          <w:rFonts w:cs="Arial"/>
          <w:spacing w:val="-2"/>
        </w:rPr>
        <w:t xml:space="preserve"> is as follows:</w:t>
      </w:r>
    </w:p>
    <w:p w14:paraId="5A4D96B7" w14:textId="77777777" w:rsidR="005064F1" w:rsidRPr="00CB30AF" w:rsidRDefault="005064F1" w:rsidP="007F177E">
      <w:pPr>
        <w:pStyle w:val="ListParagraph"/>
        <w:numPr>
          <w:ilvl w:val="0"/>
          <w:numId w:val="210"/>
        </w:numPr>
        <w:contextualSpacing w:val="0"/>
        <w:rPr>
          <w:rFonts w:cs="Arial"/>
        </w:rPr>
      </w:pPr>
      <w:r w:rsidRPr="00CB30AF">
        <w:rPr>
          <w:rFonts w:cs="Arial"/>
        </w:rPr>
        <w:t xml:space="preserve">A </w:t>
      </w:r>
      <w:r w:rsidRPr="00CB30AF">
        <w:rPr>
          <w:rFonts w:cs="Arial"/>
          <w:i/>
          <w:iCs/>
        </w:rPr>
        <w:t>person with a disability</w:t>
      </w:r>
      <w:r w:rsidRPr="00CB30AF">
        <w:rPr>
          <w:rFonts w:cs="Arial"/>
        </w:rPr>
        <w:t>, as defined under federal civil rights laws, is any person who:</w:t>
      </w:r>
    </w:p>
    <w:p w14:paraId="6D9BDE8B" w14:textId="77777777" w:rsidR="005064F1" w:rsidRPr="00E62753" w:rsidRDefault="005064F1" w:rsidP="007F177E">
      <w:pPr>
        <w:pStyle w:val="ListParagraph"/>
        <w:numPr>
          <w:ilvl w:val="1"/>
          <w:numId w:val="211"/>
        </w:numPr>
        <w:contextualSpacing w:val="0"/>
        <w:rPr>
          <w:rFonts w:cs="Arial"/>
        </w:rPr>
      </w:pPr>
      <w:r w:rsidRPr="00E62753">
        <w:rPr>
          <w:rFonts w:cs="Arial"/>
        </w:rPr>
        <w:t>Has a physical or mental impairment that substantially limits one or more of the major life activities of an individual, or</w:t>
      </w:r>
    </w:p>
    <w:p w14:paraId="0FB56233" w14:textId="77777777" w:rsidR="005064F1" w:rsidRPr="00E62753" w:rsidRDefault="005064F1" w:rsidP="007F177E">
      <w:pPr>
        <w:pStyle w:val="ListParagraph"/>
        <w:numPr>
          <w:ilvl w:val="1"/>
          <w:numId w:val="211"/>
        </w:numPr>
        <w:contextualSpacing w:val="0"/>
        <w:rPr>
          <w:rFonts w:cs="Arial"/>
        </w:rPr>
      </w:pPr>
      <w:r w:rsidRPr="00E62753">
        <w:rPr>
          <w:rFonts w:cs="Arial"/>
        </w:rPr>
        <w:t>Has a record of such impairment, or</w:t>
      </w:r>
    </w:p>
    <w:p w14:paraId="3C8500FD" w14:textId="77777777" w:rsidR="005064F1" w:rsidRPr="00E62753" w:rsidRDefault="005064F1" w:rsidP="007F177E">
      <w:pPr>
        <w:pStyle w:val="ListParagraph"/>
        <w:numPr>
          <w:ilvl w:val="1"/>
          <w:numId w:val="211"/>
        </w:numPr>
        <w:contextualSpacing w:val="0"/>
        <w:rPr>
          <w:rFonts w:cs="Arial"/>
        </w:rPr>
      </w:pPr>
      <w:r w:rsidRPr="00E62753">
        <w:rPr>
          <w:rFonts w:cs="Arial"/>
        </w:rPr>
        <w:t>Is regarded as having such impairment.</w:t>
      </w:r>
    </w:p>
    <w:p w14:paraId="5583C82B" w14:textId="77777777" w:rsidR="005064F1" w:rsidRPr="00E62753" w:rsidRDefault="005064F1" w:rsidP="007F177E">
      <w:pPr>
        <w:pStyle w:val="ListParagraph"/>
        <w:numPr>
          <w:ilvl w:val="0"/>
          <w:numId w:val="210"/>
        </w:numPr>
        <w:contextualSpacing w:val="0"/>
        <w:rPr>
          <w:rFonts w:cs="Arial"/>
        </w:rPr>
      </w:pPr>
      <w:r w:rsidRPr="00E62753">
        <w:rPr>
          <w:rFonts w:cs="Arial"/>
        </w:rPr>
        <w:t xml:space="preserve">The phrase </w:t>
      </w:r>
      <w:r w:rsidRPr="00CB30AF">
        <w:rPr>
          <w:rFonts w:cs="Arial"/>
          <w:i/>
          <w:iCs/>
        </w:rPr>
        <w:t>physical or mental impairment</w:t>
      </w:r>
      <w:r w:rsidRPr="00E62753">
        <w:rPr>
          <w:rFonts w:cs="Arial"/>
        </w:rPr>
        <w:t xml:space="preserve"> includes:</w:t>
      </w:r>
    </w:p>
    <w:p w14:paraId="3BA306CB" w14:textId="77777777" w:rsidR="005064F1" w:rsidRPr="00E62753" w:rsidRDefault="005064F1" w:rsidP="007F177E">
      <w:pPr>
        <w:pStyle w:val="ListParagraph"/>
        <w:numPr>
          <w:ilvl w:val="0"/>
          <w:numId w:val="212"/>
        </w:numPr>
        <w:contextualSpacing w:val="0"/>
        <w:rPr>
          <w:rFonts w:cs="Arial"/>
        </w:rPr>
      </w:pPr>
      <w:r w:rsidRPr="00E62753">
        <w:rPr>
          <w:rFonts w:cs="Arial"/>
        </w:rPr>
        <w:t>Any physiological disorder or condition, cosmetic or disfigurement, or anatomical loss affecting one or more of the following body systems: neurological; musculoskeletal; special sense organs; respiratory, including speech organs; cardiovascular; reproductive; digestive; genito-urinary; hemic and lymphatic; skin; and endocrine; or</w:t>
      </w:r>
    </w:p>
    <w:p w14:paraId="7848662B" w14:textId="77777777" w:rsidR="005064F1" w:rsidRPr="00E62753" w:rsidRDefault="005064F1" w:rsidP="007F177E">
      <w:pPr>
        <w:pStyle w:val="ListParagraph"/>
        <w:numPr>
          <w:ilvl w:val="0"/>
          <w:numId w:val="212"/>
        </w:numPr>
        <w:contextualSpacing w:val="0"/>
        <w:rPr>
          <w:rFonts w:cs="Arial"/>
        </w:rPr>
      </w:pPr>
      <w:r w:rsidRPr="00E62753">
        <w:rPr>
          <w:rFonts w:cs="Arial"/>
        </w:rPr>
        <w:t xml:space="preserve">Any mental or psychological disorder, such as mental retardation, organic brain syndrome, emotional or mental illness, and specific learning disabilities. The term </w:t>
      </w:r>
      <w:r w:rsidRPr="00E62753">
        <w:rPr>
          <w:rFonts w:cs="Arial"/>
          <w:i/>
          <w:iCs/>
        </w:rPr>
        <w:t>physical or mental impairment</w:t>
      </w:r>
      <w:r w:rsidRPr="00E62753">
        <w:rPr>
          <w:rFonts w:cs="Arial"/>
        </w:rPr>
        <w:t xml:space="preserve"> includes, but is not limited to: such diseases and conditions as orthopedic, visual, speech and hearing impairments, cerebral palsy, autism, epilepsy, muscular dystrophy, multiple sclerosis, cancer, heart disease, diabetes, Human Immunodeficiency Virus (HIV) infection, mental retardation, emotional illness, drug addiction (other than addiction cause by current, illegal use of a controlled substance) and alcoholism.</w:t>
      </w:r>
    </w:p>
    <w:p w14:paraId="0C848A51" w14:textId="77777777" w:rsidR="005064F1" w:rsidRPr="00E62753" w:rsidRDefault="005064F1" w:rsidP="00CB30AF">
      <w:pPr>
        <w:ind w:left="720"/>
        <w:rPr>
          <w:rFonts w:cs="Arial"/>
        </w:rPr>
      </w:pPr>
      <w:r w:rsidRPr="00E62753">
        <w:rPr>
          <w:rFonts w:cs="Arial"/>
          <w:i/>
          <w:iCs/>
        </w:rPr>
        <w:t>Major life activities</w:t>
      </w:r>
      <w:r w:rsidRPr="00E62753">
        <w:rPr>
          <w:rFonts w:cs="Arial"/>
        </w:rPr>
        <w:t xml:space="preserve"> means functions such as caring for one’s self, performing manual tasks, walking, seeing, hearing, speaking, breathing, learning, and working.</w:t>
      </w:r>
    </w:p>
    <w:p w14:paraId="53BB014B" w14:textId="77777777" w:rsidR="005064F1" w:rsidRPr="00E62753" w:rsidRDefault="005064F1" w:rsidP="00CB30AF">
      <w:pPr>
        <w:ind w:left="720"/>
        <w:rPr>
          <w:rFonts w:cs="Arial"/>
        </w:rPr>
      </w:pPr>
      <w:r w:rsidRPr="00E62753">
        <w:rPr>
          <w:rFonts w:cs="Arial"/>
          <w:i/>
          <w:iCs/>
        </w:rPr>
        <w:t>Has a record of such impairment</w:t>
      </w:r>
      <w:r w:rsidRPr="00E62753">
        <w:rPr>
          <w:rFonts w:cs="Arial"/>
        </w:rPr>
        <w:t xml:space="preserve"> means has a history of, or has been misclassified as having, a mental or physical impairment that substantially limits one or more major live activities.</w:t>
      </w:r>
    </w:p>
    <w:p w14:paraId="482D791B" w14:textId="77777777" w:rsidR="005064F1" w:rsidRPr="00E62753" w:rsidRDefault="005064F1" w:rsidP="00CB30AF">
      <w:pPr>
        <w:ind w:left="720"/>
        <w:rPr>
          <w:rFonts w:cs="Arial"/>
        </w:rPr>
      </w:pPr>
      <w:r w:rsidRPr="00E62753">
        <w:rPr>
          <w:rFonts w:cs="Arial"/>
          <w:i/>
          <w:iCs/>
        </w:rPr>
        <w:t>Is regarded as having an impairment</w:t>
      </w:r>
      <w:r w:rsidRPr="00E62753">
        <w:rPr>
          <w:rFonts w:cs="Arial"/>
        </w:rPr>
        <w:t xml:space="preserve"> means: has a physical or mental impairment that does not substantially limit one or more major life activities but is treated by another person as constituting such a limitation; has a physical or mental impairment that substantially limits one or more major life activities, only as a result of the attitudes of others toward such impairment; or has none of the impairments defined in this section but is treated by another person as having such an impairment.</w:t>
      </w:r>
    </w:p>
    <w:p w14:paraId="138BD901" w14:textId="77777777" w:rsidR="005064F1" w:rsidRPr="00E62753" w:rsidRDefault="005064F1" w:rsidP="00E62753">
      <w:pPr>
        <w:rPr>
          <w:rFonts w:cs="Arial"/>
        </w:rPr>
      </w:pPr>
      <w:r w:rsidRPr="00E62753">
        <w:rPr>
          <w:rFonts w:cs="Arial"/>
        </w:rPr>
        <w:t xml:space="preserve">The definition of a person with disabilities does not include: </w:t>
      </w:r>
    </w:p>
    <w:p w14:paraId="7710A6D2" w14:textId="77777777" w:rsidR="005064F1" w:rsidRPr="00E62753" w:rsidRDefault="005064F1" w:rsidP="00CB52D8">
      <w:pPr>
        <w:pStyle w:val="ListParagraph"/>
        <w:numPr>
          <w:ilvl w:val="0"/>
          <w:numId w:val="21"/>
        </w:numPr>
        <w:contextualSpacing w:val="0"/>
        <w:rPr>
          <w:rFonts w:cs="Arial"/>
        </w:rPr>
      </w:pPr>
      <w:r w:rsidRPr="00E62753">
        <w:rPr>
          <w:rFonts w:cs="Arial"/>
        </w:rPr>
        <w:t xml:space="preserve">Current, illegal use of or addiction to a controlled substance. </w:t>
      </w:r>
    </w:p>
    <w:p w14:paraId="54DCAD9D" w14:textId="77777777" w:rsidR="005064F1" w:rsidRPr="00E62753" w:rsidRDefault="005064F1" w:rsidP="00CB52D8">
      <w:pPr>
        <w:pStyle w:val="ListParagraph"/>
        <w:numPr>
          <w:ilvl w:val="0"/>
          <w:numId w:val="21"/>
        </w:numPr>
        <w:contextualSpacing w:val="0"/>
        <w:rPr>
          <w:rFonts w:cs="Arial"/>
        </w:rPr>
      </w:pPr>
      <w:r w:rsidRPr="00E62753">
        <w:rPr>
          <w:rFonts w:cs="Arial"/>
        </w:rPr>
        <w:t>Individuals who are alcoholics or drug abusers and:</w:t>
      </w:r>
    </w:p>
    <w:p w14:paraId="30FD4C75" w14:textId="77777777" w:rsidR="005064F1" w:rsidRPr="00E62753" w:rsidRDefault="005064F1" w:rsidP="00CB52D8">
      <w:pPr>
        <w:pStyle w:val="ListParagraph"/>
        <w:numPr>
          <w:ilvl w:val="1"/>
          <w:numId w:val="21"/>
        </w:numPr>
        <w:contextualSpacing w:val="0"/>
        <w:rPr>
          <w:rFonts w:cs="Arial"/>
        </w:rPr>
      </w:pPr>
      <w:r w:rsidRPr="00E62753">
        <w:rPr>
          <w:rFonts w:cs="Arial"/>
        </w:rPr>
        <w:t>Whose current use of alcohol or drugs prevents them from participating in the program or activity in question; or</w:t>
      </w:r>
    </w:p>
    <w:p w14:paraId="006AF7FA" w14:textId="77777777" w:rsidR="005064F1" w:rsidRPr="00E62753" w:rsidRDefault="005064F1" w:rsidP="00CB52D8">
      <w:pPr>
        <w:pStyle w:val="ListParagraph"/>
        <w:numPr>
          <w:ilvl w:val="1"/>
          <w:numId w:val="21"/>
        </w:numPr>
        <w:contextualSpacing w:val="0"/>
        <w:rPr>
          <w:rFonts w:cs="Arial"/>
        </w:rPr>
      </w:pPr>
      <w:r w:rsidRPr="00E62753">
        <w:rPr>
          <w:rFonts w:cs="Arial"/>
        </w:rPr>
        <w:t>Whose participation, by reason of such current alcohol or drug abuse, would constitute a direct threat to property or the safety of others.</w:t>
      </w:r>
    </w:p>
    <w:p w14:paraId="22B7F2A3" w14:textId="77777777" w:rsidR="002D577F" w:rsidRDefault="004708AC" w:rsidP="00BB64BD">
      <w:pPr>
        <w:pStyle w:val="Heading2"/>
      </w:pPr>
      <w:bookmarkStart w:id="65" w:name="_Toc173222628"/>
      <w:bookmarkStart w:id="66" w:name="_Toc200375484"/>
      <w:bookmarkStart w:id="67" w:name="_Toc200376894"/>
      <w:r>
        <w:t xml:space="preserve">Improving Access </w:t>
      </w:r>
      <w:r w:rsidR="008408C0">
        <w:t>t</w:t>
      </w:r>
      <w:r>
        <w:t xml:space="preserve">o Services </w:t>
      </w:r>
      <w:r w:rsidR="008408C0">
        <w:t>f</w:t>
      </w:r>
      <w:r>
        <w:t xml:space="preserve">or Persons </w:t>
      </w:r>
      <w:r w:rsidR="008408C0">
        <w:t>w</w:t>
      </w:r>
      <w:r>
        <w:t>ith Limited English Proficiency (L</w:t>
      </w:r>
      <w:r w:rsidR="00FD25E2">
        <w:t>EP</w:t>
      </w:r>
      <w:r>
        <w:t>)</w:t>
      </w:r>
      <w:bookmarkEnd w:id="65"/>
      <w:bookmarkEnd w:id="66"/>
      <w:bookmarkEnd w:id="67"/>
    </w:p>
    <w:p w14:paraId="05E40F44" w14:textId="77777777" w:rsidR="007537D0" w:rsidRDefault="007537D0" w:rsidP="007537D0">
      <w:r>
        <w:t>Language for Limited English Proficiency (LEP)</w:t>
      </w:r>
      <w:r w:rsidR="00E83407">
        <w:t xml:space="preserve"> persons</w:t>
      </w:r>
      <w:r>
        <w:t xml:space="preserve"> can be a barrier to accessing important benefits or services, understanding and exercising important rights, complying with applicable responsibilities, or understanding other information provided by the HCV program. In certain circumstances, failure to ensure that LEP persons can effectively participate in or benefit from federally-assisted programs and activities may violate the prohibition under Title VI against discrimination on the basis of national origin. This part incorporates the Notice of Guidance to Federal Assistance Recipients Regarding Title VI Prohibition Affecting Limited English Proficient Persons, published January 22, 2007 in the Federal Register.</w:t>
      </w:r>
    </w:p>
    <w:p w14:paraId="192A5D97" w14:textId="77777777" w:rsidR="007537D0" w:rsidRDefault="007537D0" w:rsidP="007537D0">
      <w:r>
        <w:t xml:space="preserve">HHA will ensure that affirmative steps are taken to communicate with people who need services or information in a language other than English.  </w:t>
      </w:r>
    </w:p>
    <w:p w14:paraId="09551654" w14:textId="77777777" w:rsidR="007537D0" w:rsidRDefault="007537D0" w:rsidP="007537D0">
      <w:r>
        <w:t xml:space="preserve">LEP is defined as persons who do not speak English as their primary language and who have a limited ability to read, write, speak or understand English. For the purposes of this </w:t>
      </w:r>
      <w:r w:rsidR="009803DD">
        <w:t>ACOP</w:t>
      </w:r>
      <w:r>
        <w:t xml:space="preserve">, LEP persons are </w:t>
      </w:r>
      <w:r w:rsidR="009803DD">
        <w:t>public housing</w:t>
      </w:r>
      <w:r>
        <w:t xml:space="preserve"> applicants and clients, and parents and household members of applicants and clients.</w:t>
      </w:r>
      <w:r w:rsidR="00DC561E">
        <w:t xml:space="preserve"> </w:t>
      </w:r>
      <w:r>
        <w:t>In order to determine the level of access needed by LEP persons, HHA will balance the following four factors:</w:t>
      </w:r>
    </w:p>
    <w:p w14:paraId="204653A5" w14:textId="77777777" w:rsidR="007537D0" w:rsidRPr="00865057" w:rsidRDefault="007537D0" w:rsidP="00CB52D8">
      <w:pPr>
        <w:pStyle w:val="ListParagraph"/>
        <w:numPr>
          <w:ilvl w:val="0"/>
          <w:numId w:val="44"/>
        </w:numPr>
        <w:autoSpaceDE w:val="0"/>
        <w:autoSpaceDN w:val="0"/>
        <w:adjustRightInd w:val="0"/>
        <w:spacing w:after="120"/>
        <w:ind w:left="720"/>
        <w:contextualSpacing w:val="0"/>
        <w:rPr>
          <w:rFonts w:cs="Arial"/>
          <w:szCs w:val="20"/>
        </w:rPr>
      </w:pPr>
      <w:r w:rsidRPr="00865057">
        <w:rPr>
          <w:rFonts w:cs="Arial"/>
          <w:szCs w:val="20"/>
        </w:rPr>
        <w:t xml:space="preserve">The number or proportion of LEP persons eligible to be served or likely to be encountered by the </w:t>
      </w:r>
      <w:r w:rsidR="00014055">
        <w:rPr>
          <w:rFonts w:cs="Arial"/>
          <w:szCs w:val="20"/>
        </w:rPr>
        <w:t>public housing</w:t>
      </w:r>
      <w:r w:rsidRPr="00865057">
        <w:rPr>
          <w:rFonts w:cs="Arial"/>
          <w:szCs w:val="20"/>
        </w:rPr>
        <w:t xml:space="preserve"> program; </w:t>
      </w:r>
    </w:p>
    <w:p w14:paraId="4503A8D6" w14:textId="77777777" w:rsidR="007537D0" w:rsidRPr="00865057" w:rsidRDefault="007537D0" w:rsidP="00CB52D8">
      <w:pPr>
        <w:pStyle w:val="ListParagraph"/>
        <w:numPr>
          <w:ilvl w:val="0"/>
          <w:numId w:val="44"/>
        </w:numPr>
        <w:autoSpaceDE w:val="0"/>
        <w:autoSpaceDN w:val="0"/>
        <w:adjustRightInd w:val="0"/>
        <w:spacing w:after="120"/>
        <w:ind w:left="720"/>
        <w:contextualSpacing w:val="0"/>
        <w:rPr>
          <w:rFonts w:cs="Arial"/>
          <w:szCs w:val="20"/>
        </w:rPr>
      </w:pPr>
      <w:r w:rsidRPr="00865057">
        <w:rPr>
          <w:rFonts w:cs="Arial"/>
          <w:szCs w:val="20"/>
        </w:rPr>
        <w:t>The frequency with which LEP persons come into contact with the program;</w:t>
      </w:r>
    </w:p>
    <w:p w14:paraId="3870EB4D" w14:textId="77777777" w:rsidR="007537D0" w:rsidRPr="00865057" w:rsidRDefault="007537D0" w:rsidP="00CB52D8">
      <w:pPr>
        <w:pStyle w:val="ListParagraph"/>
        <w:numPr>
          <w:ilvl w:val="0"/>
          <w:numId w:val="44"/>
        </w:numPr>
        <w:autoSpaceDE w:val="0"/>
        <w:autoSpaceDN w:val="0"/>
        <w:adjustRightInd w:val="0"/>
        <w:spacing w:after="120"/>
        <w:ind w:left="720"/>
        <w:contextualSpacing w:val="0"/>
        <w:rPr>
          <w:rFonts w:cs="Arial"/>
          <w:szCs w:val="20"/>
        </w:rPr>
      </w:pPr>
      <w:r w:rsidRPr="00865057">
        <w:rPr>
          <w:rFonts w:cs="Arial"/>
          <w:szCs w:val="20"/>
        </w:rPr>
        <w:t>The nature and importance of the program, activity, or service provided by the program to people’s lives; and</w:t>
      </w:r>
    </w:p>
    <w:p w14:paraId="5EFFCB21" w14:textId="77777777" w:rsidR="007537D0" w:rsidRPr="00865057" w:rsidRDefault="007537D0" w:rsidP="00CB52D8">
      <w:pPr>
        <w:pStyle w:val="ListParagraph"/>
        <w:numPr>
          <w:ilvl w:val="0"/>
          <w:numId w:val="44"/>
        </w:numPr>
        <w:autoSpaceDE w:val="0"/>
        <w:autoSpaceDN w:val="0"/>
        <w:adjustRightInd w:val="0"/>
        <w:spacing w:after="120"/>
        <w:ind w:left="720"/>
        <w:contextualSpacing w:val="0"/>
        <w:rPr>
          <w:rFonts w:cs="Arial"/>
          <w:szCs w:val="20"/>
        </w:rPr>
      </w:pPr>
      <w:r w:rsidRPr="00865057">
        <w:rPr>
          <w:rFonts w:cs="Arial"/>
          <w:szCs w:val="20"/>
        </w:rPr>
        <w:t>The resources available to H</w:t>
      </w:r>
      <w:r>
        <w:rPr>
          <w:rFonts w:cs="Arial"/>
          <w:szCs w:val="20"/>
        </w:rPr>
        <w:t>HA</w:t>
      </w:r>
      <w:r w:rsidRPr="00865057">
        <w:rPr>
          <w:rFonts w:cs="Arial"/>
          <w:szCs w:val="20"/>
        </w:rPr>
        <w:t xml:space="preserve"> and costs. </w:t>
      </w:r>
    </w:p>
    <w:p w14:paraId="162088E2" w14:textId="77777777" w:rsidR="007537D0" w:rsidRDefault="007537D0" w:rsidP="007537D0">
      <w:r>
        <w:t xml:space="preserve">Balancing these factors will ensure meaningful access by LEP persons to critical services while not imposing undue burdens on HHA. </w:t>
      </w:r>
    </w:p>
    <w:p w14:paraId="792FFC0C" w14:textId="77777777" w:rsidR="007537D0" w:rsidRDefault="007537D0" w:rsidP="007537D0">
      <w:r w:rsidRPr="007537D0">
        <w:t xml:space="preserve">Further detail is available in </w:t>
      </w:r>
      <w:hyperlink w:anchor="_APPENDIX_B:_LANGUAGE" w:history="1">
        <w:r w:rsidR="00703EB0" w:rsidRPr="00703EB0">
          <w:rPr>
            <w:rStyle w:val="OurLinksChar"/>
          </w:rPr>
          <w:fldChar w:fldCharType="begin"/>
        </w:r>
        <w:r w:rsidR="00703EB0" w:rsidRPr="00703EB0">
          <w:rPr>
            <w:rStyle w:val="OurLinksChar"/>
          </w:rPr>
          <w:instrText xml:space="preserve"> REF _Ref144995132 \h </w:instrText>
        </w:r>
        <w:r w:rsidR="00703EB0">
          <w:rPr>
            <w:rStyle w:val="OurLinksChar"/>
          </w:rPr>
          <w:instrText xml:space="preserve"> \* MERGEFORMAT </w:instrText>
        </w:r>
        <w:r w:rsidR="00703EB0" w:rsidRPr="00703EB0">
          <w:rPr>
            <w:rStyle w:val="OurLinksChar"/>
          </w:rPr>
        </w:r>
        <w:r w:rsidR="00703EB0" w:rsidRPr="00703EB0">
          <w:rPr>
            <w:rStyle w:val="OurLinksChar"/>
          </w:rPr>
          <w:fldChar w:fldCharType="separate"/>
        </w:r>
        <w:r w:rsidR="00703EB0" w:rsidRPr="00703EB0">
          <w:rPr>
            <w:rStyle w:val="OurLinksChar"/>
          </w:rPr>
          <w:t>APPENDIX B: LANGUAGE ASSISTANCE PLAN AND LIMITED ENGLISH PROFICIENCY (LEP) POLICY</w:t>
        </w:r>
        <w:r w:rsidR="00703EB0" w:rsidRPr="00703EB0">
          <w:rPr>
            <w:rStyle w:val="OurLinksChar"/>
          </w:rPr>
          <w:fldChar w:fldCharType="end"/>
        </w:r>
      </w:hyperlink>
      <w:r w:rsidR="00124A8E" w:rsidRPr="00124A8E">
        <w:rPr>
          <w:rStyle w:val="Hyperlink"/>
          <w:b w:val="0"/>
          <w:bCs/>
          <w:color w:val="auto"/>
          <w:u w:val="none"/>
        </w:rPr>
        <w:t>.</w:t>
      </w:r>
    </w:p>
    <w:p w14:paraId="40E5502C" w14:textId="77777777" w:rsidR="0059382C" w:rsidRDefault="004708AC" w:rsidP="00BB64BD">
      <w:pPr>
        <w:pStyle w:val="Heading2"/>
      </w:pPr>
      <w:bookmarkStart w:id="68" w:name="_Toc173222629"/>
      <w:bookmarkStart w:id="69" w:name="_Toc200375485"/>
      <w:bookmarkStart w:id="70" w:name="_Toc200376895"/>
      <w:r>
        <w:t>Violence Against Women Act Protections</w:t>
      </w:r>
      <w:bookmarkEnd w:id="68"/>
      <w:bookmarkEnd w:id="69"/>
      <w:bookmarkEnd w:id="70"/>
    </w:p>
    <w:p w14:paraId="38416C8B" w14:textId="77777777" w:rsidR="005E7ACB" w:rsidRPr="005B53F1" w:rsidRDefault="005E7ACB" w:rsidP="005E7ACB">
      <w:r>
        <w:t xml:space="preserve">The Violence against Women Act (VAWA) provides special protections for victims of domestic violence, dating violence, sexual assault, stalking, </w:t>
      </w:r>
      <w:r w:rsidRPr="005B53F1">
        <w:t>and</w:t>
      </w:r>
      <w:r w:rsidR="0003137D">
        <w:t>/or</w:t>
      </w:r>
      <w:r w:rsidRPr="005B53F1">
        <w:t xml:space="preserve"> human trafficking who are applying for or receiving assistance under the HCV or Public Housing programs. VAWA protections are not limited to women, but cover victims of </w:t>
      </w:r>
      <w:r w:rsidR="0003137D" w:rsidRPr="006279F1">
        <w:rPr>
          <w:rFonts w:cs="Arial"/>
          <w:spacing w:val="-2"/>
        </w:rPr>
        <w:t>domestic violence, dating violence, sexual assault, stalking and/or human trafficking</w:t>
      </w:r>
      <w:r w:rsidR="0003137D" w:rsidRPr="005B53F1">
        <w:t xml:space="preserve"> </w:t>
      </w:r>
      <w:r w:rsidRPr="005B53F1">
        <w:t xml:space="preserve">regardless of sex, gender identity, or sexual orientation. Victims cannot be discriminated against on the basis on any protected characteristic, including race, color, national origin, religion, sex, familial status, disability, or age. </w:t>
      </w:r>
    </w:p>
    <w:p w14:paraId="40EDF20E" w14:textId="77777777" w:rsidR="005E7ACB" w:rsidRDefault="005E7ACB" w:rsidP="005E7ACB">
      <w:r w:rsidRPr="005B53F1">
        <w:t>Note: Although the VAWA 2022 statute does not specifically include human trafficking in the list of victims protected under VAWA, in 2022 HUD began including human trafficking as part of the list of victims protected under VAWA (as seen in Notices PIH 2022-06, PIH 2022-22, and PIH 2022-24). In the absence of a final rule implementing VAWA 2022 and to mirror HUD’s recent usage, this policy includes human trafficking in addition to domestic violence, dating violence, sexual assault, and stalking anywhere such a list appears.</w:t>
      </w:r>
    </w:p>
    <w:p w14:paraId="036BC999" w14:textId="77777777" w:rsidR="0022441F" w:rsidRDefault="005E7ACB" w:rsidP="0022441F">
      <w:r w:rsidRPr="007537D0">
        <w:t xml:space="preserve">Further detail is available in </w:t>
      </w:r>
      <w:hyperlink w:anchor="_APPENDIX_C:_VIOLENCE" w:history="1">
        <w:r w:rsidR="00703EB0" w:rsidRPr="00703EB0">
          <w:rPr>
            <w:rStyle w:val="OurLinksChar"/>
          </w:rPr>
          <w:fldChar w:fldCharType="begin"/>
        </w:r>
        <w:r w:rsidR="00703EB0" w:rsidRPr="00703EB0">
          <w:rPr>
            <w:rStyle w:val="OurLinksChar"/>
          </w:rPr>
          <w:instrText xml:space="preserve"> REF _Ref144995152 \h </w:instrText>
        </w:r>
        <w:r w:rsidR="00703EB0">
          <w:rPr>
            <w:rStyle w:val="OurLinksChar"/>
          </w:rPr>
          <w:instrText xml:space="preserve"> \* MERGEFORMAT </w:instrText>
        </w:r>
        <w:r w:rsidR="00703EB0" w:rsidRPr="00703EB0">
          <w:rPr>
            <w:rStyle w:val="OurLinksChar"/>
          </w:rPr>
        </w:r>
        <w:r w:rsidR="00703EB0" w:rsidRPr="00703EB0">
          <w:rPr>
            <w:rStyle w:val="OurLinksChar"/>
          </w:rPr>
          <w:fldChar w:fldCharType="separate"/>
        </w:r>
        <w:r w:rsidR="00703EB0" w:rsidRPr="00703EB0">
          <w:rPr>
            <w:rStyle w:val="OurLinksChar"/>
          </w:rPr>
          <w:t>APPENDIX C: VIOLENCE AGAINST WOMEN ACT (VAWA) POLICY</w:t>
        </w:r>
        <w:r w:rsidR="00703EB0" w:rsidRPr="00703EB0">
          <w:rPr>
            <w:rStyle w:val="OurLinksChar"/>
          </w:rPr>
          <w:fldChar w:fldCharType="end"/>
        </w:r>
      </w:hyperlink>
      <w:r>
        <w:t>.</w:t>
      </w:r>
      <w:r w:rsidR="0022441F">
        <w:t xml:space="preserve"> </w:t>
      </w:r>
      <w:r w:rsidR="00B57EC7">
        <w:t xml:space="preserve"> </w:t>
      </w:r>
    </w:p>
    <w:p w14:paraId="5921A322" w14:textId="77777777" w:rsidR="00A95B1E" w:rsidRDefault="00A1758B" w:rsidP="00A1758B">
      <w:pPr>
        <w:sectPr w:rsidR="00A95B1E" w:rsidSect="00EE2233">
          <w:footerReference w:type="default" r:id="rId13"/>
          <w:pgSz w:w="12240" w:h="15840"/>
          <w:pgMar w:top="1440" w:right="1440" w:bottom="1440" w:left="1440" w:header="720" w:footer="720" w:gutter="0"/>
          <w:cols w:space="720"/>
          <w:docGrid w:linePitch="360"/>
        </w:sectPr>
      </w:pPr>
      <w:r>
        <w:br w:type="page"/>
      </w:r>
      <w:bookmarkStart w:id="71" w:name="_EXHIBIT_2-1:_DEFINITION"/>
      <w:bookmarkEnd w:id="71"/>
    </w:p>
    <w:p w14:paraId="7A7C4429" w14:textId="77777777" w:rsidR="00271490" w:rsidRPr="005315DA" w:rsidRDefault="00271490" w:rsidP="00271490">
      <w:pPr>
        <w:pStyle w:val="Heading1"/>
        <w:ind w:left="0" w:firstLine="0"/>
      </w:pPr>
      <w:bookmarkStart w:id="72" w:name="_Toc173222630"/>
      <w:bookmarkStart w:id="73" w:name="_Toc200375486"/>
      <w:bookmarkStart w:id="74" w:name="_Toc200376896"/>
      <w:r w:rsidRPr="005315DA">
        <w:t>APPLICATIONS, WAITING LIST AND TENANT SELECTION</w:t>
      </w:r>
      <w:bookmarkEnd w:id="72"/>
      <w:bookmarkEnd w:id="73"/>
      <w:bookmarkEnd w:id="74"/>
    </w:p>
    <w:p w14:paraId="0C4FDFEB" w14:textId="77777777" w:rsidR="00271490" w:rsidRDefault="004708AC" w:rsidP="00BB64BD">
      <w:pPr>
        <w:pStyle w:val="Heading2"/>
      </w:pPr>
      <w:bookmarkStart w:id="75" w:name="_Toc173222631"/>
      <w:bookmarkStart w:id="76" w:name="_Toc200375487"/>
      <w:bookmarkStart w:id="77" w:name="_Toc200376897"/>
      <w:r>
        <w:t>Overview</w:t>
      </w:r>
      <w:bookmarkEnd w:id="75"/>
      <w:bookmarkEnd w:id="76"/>
      <w:bookmarkEnd w:id="77"/>
    </w:p>
    <w:p w14:paraId="6F4DFA22" w14:textId="77777777" w:rsidR="00936EB3" w:rsidRPr="007140FE" w:rsidRDefault="00936EB3" w:rsidP="007140FE">
      <w:r w:rsidRPr="007140FE">
        <w:t xml:space="preserve">When a family wishes to reside in public housing, the family must submit an application that provides HHA with the information needed to determine the family’s eligibility. When public housing assistance becomes available, HHA will select families from the waiting list in accordance with HUD requirements and HHA policies as stated in the ACOP and approved annual plans. </w:t>
      </w:r>
    </w:p>
    <w:p w14:paraId="1D81DA4C" w14:textId="77777777" w:rsidR="00936EB3" w:rsidRPr="007140FE" w:rsidRDefault="00936EB3" w:rsidP="007140FE">
      <w:r w:rsidRPr="007140FE">
        <w:t xml:space="preserve">HUD regulations require that all families have an equal opportunity to apply for and receive housing assistance, and that </w:t>
      </w:r>
      <w:r w:rsidR="00F672D7" w:rsidRPr="007140FE">
        <w:t>H</w:t>
      </w:r>
      <w:r w:rsidRPr="007140FE">
        <w:t xml:space="preserve">HA affirmatively further fair housing goals in the administration of the program. Adherence to the selection policies described in this chapter ensures that </w:t>
      </w:r>
      <w:r w:rsidR="00F672D7" w:rsidRPr="007140FE">
        <w:t>H</w:t>
      </w:r>
      <w:r w:rsidRPr="007140FE">
        <w:t>HA will be in compliance with all relevant fair housing requirements.</w:t>
      </w:r>
    </w:p>
    <w:p w14:paraId="19A05779" w14:textId="77777777" w:rsidR="00936EB3" w:rsidRPr="007140FE" w:rsidRDefault="00936EB3" w:rsidP="007140FE">
      <w:r w:rsidRPr="007140FE">
        <w:t xml:space="preserve">This chapter describes HUD and </w:t>
      </w:r>
      <w:r w:rsidR="00F672D7" w:rsidRPr="007140FE">
        <w:t>H</w:t>
      </w:r>
      <w:r w:rsidRPr="007140FE">
        <w:t xml:space="preserve">HA policies for taking applications, managing the waiting list and selecting families from the waiting list. </w:t>
      </w:r>
    </w:p>
    <w:p w14:paraId="374889D6" w14:textId="77777777" w:rsidR="00EB1EE1" w:rsidRPr="00805B38" w:rsidRDefault="00805B38" w:rsidP="00BB64BD">
      <w:pPr>
        <w:pStyle w:val="Heading2"/>
      </w:pPr>
      <w:bookmarkStart w:id="78" w:name="_Toc173222632"/>
      <w:bookmarkStart w:id="79" w:name="_Toc200375488"/>
      <w:bookmarkStart w:id="80" w:name="_Toc200376898"/>
      <w:r w:rsidRPr="00805B38">
        <w:t>Applying for Assistance</w:t>
      </w:r>
      <w:bookmarkEnd w:id="78"/>
      <w:bookmarkEnd w:id="79"/>
      <w:bookmarkEnd w:id="80"/>
    </w:p>
    <w:p w14:paraId="74DC9827" w14:textId="77777777" w:rsidR="007960D1" w:rsidRPr="007960D1" w:rsidRDefault="009D7F57" w:rsidP="007960D1">
      <w:bookmarkStart w:id="81" w:name="_Hlk100815356"/>
      <w:r>
        <w:t>When the waiting list is open, f</w:t>
      </w:r>
      <w:r w:rsidRPr="00271490">
        <w:t xml:space="preserve">amilies may submit applications using </w:t>
      </w:r>
      <w:r>
        <w:t>H</w:t>
      </w:r>
      <w:r w:rsidRPr="00271490">
        <w:t xml:space="preserve">HA’s online portal. </w:t>
      </w:r>
      <w:r w:rsidR="001A1B24">
        <w:t xml:space="preserve">HHA may also provide paper applications upon request to accommodate households who may need additional assistance navigating the application process. </w:t>
      </w:r>
      <w:r w:rsidR="007960D1" w:rsidRPr="007960D1">
        <w:t xml:space="preserve">Only one application will be accepted for each </w:t>
      </w:r>
      <w:r w:rsidR="008141AC">
        <w:t>h</w:t>
      </w:r>
      <w:r w:rsidR="007960D1" w:rsidRPr="007960D1">
        <w:t xml:space="preserve">ead of </w:t>
      </w:r>
      <w:r w:rsidR="008141AC">
        <w:t>h</w:t>
      </w:r>
      <w:r w:rsidR="007960D1" w:rsidRPr="007960D1">
        <w:t xml:space="preserve">ousehold. </w:t>
      </w:r>
    </w:p>
    <w:p w14:paraId="4DC5FFF6" w14:textId="77777777" w:rsidR="007960D1" w:rsidRDefault="00A408A8" w:rsidP="007960D1">
      <w:r>
        <w:t>Completed a</w:t>
      </w:r>
      <w:r w:rsidR="00D20E3A">
        <w:t>pplications must be c</w:t>
      </w:r>
      <w:r w:rsidR="007960D1" w:rsidRPr="007960D1">
        <w:t xml:space="preserve">ompleted as instructed in the </w:t>
      </w:r>
      <w:r>
        <w:t>waiting list opening</w:t>
      </w:r>
      <w:r w:rsidR="007960D1" w:rsidRPr="007960D1">
        <w:t xml:space="preserve"> announcement and/or the instructions provided with the application. Applications must be complete in order to be accepted by </w:t>
      </w:r>
      <w:r w:rsidR="00D20E3A">
        <w:t>H</w:t>
      </w:r>
      <w:r w:rsidR="007960D1" w:rsidRPr="007960D1">
        <w:t xml:space="preserve">HA for processing. If an application is incomplete, where contact information is provided, </w:t>
      </w:r>
      <w:r w:rsidR="008D65FD">
        <w:t>H</w:t>
      </w:r>
      <w:r w:rsidR="007960D1" w:rsidRPr="007960D1">
        <w:t>HA will notify the family of the additional information required in order to be accepted for processing. The application will not be assigned a date and time of receipt until it is returned complete.</w:t>
      </w:r>
    </w:p>
    <w:p w14:paraId="3FF95A82" w14:textId="77777777" w:rsidR="00E14B5E" w:rsidRPr="00271490" w:rsidRDefault="00E14B5E" w:rsidP="00E14B5E">
      <w:r>
        <w:t xml:space="preserve">At the time of application, </w:t>
      </w:r>
      <w:r w:rsidRPr="00F231CE">
        <w:t xml:space="preserve">HHA will require families to complete a </w:t>
      </w:r>
      <w:r>
        <w:t>p</w:t>
      </w:r>
      <w:r w:rsidRPr="00F231CE">
        <w:t>re-application</w:t>
      </w:r>
      <w:r>
        <w:t>, which will contain the information that is needed</w:t>
      </w:r>
      <w:r w:rsidRPr="00F231CE">
        <w:t xml:space="preserve"> to make an initial assessment of the family’s eligibility</w:t>
      </w:r>
      <w:r>
        <w:t xml:space="preserve"> </w:t>
      </w:r>
      <w:r w:rsidRPr="00F231CE">
        <w:t>and to determine the family’s placement on the waiting list. Once the family is selected from the waiting list, the family will be required to</w:t>
      </w:r>
      <w:r w:rsidR="00F87C75">
        <w:t xml:space="preserve"> complete a full application and</w:t>
      </w:r>
      <w:r w:rsidRPr="00F231CE">
        <w:t xml:space="preserve"> provide all the additional information necessary to establish family eligibility and level of assistance.</w:t>
      </w:r>
    </w:p>
    <w:p w14:paraId="5C11F468" w14:textId="77777777" w:rsidR="00805B38" w:rsidRPr="00F47890" w:rsidRDefault="006C313B" w:rsidP="00677451">
      <w:pPr>
        <w:pStyle w:val="Heading3"/>
      </w:pPr>
      <w:bookmarkStart w:id="82" w:name="_Toc200375489"/>
      <w:bookmarkEnd w:id="81"/>
      <w:r w:rsidRPr="00F47890">
        <w:t>Accessibility of the Application Process</w:t>
      </w:r>
      <w:bookmarkEnd w:id="82"/>
    </w:p>
    <w:p w14:paraId="37DA290D" w14:textId="77777777" w:rsidR="006C313B" w:rsidRDefault="00F47890" w:rsidP="00F47890">
      <w:r>
        <w:t>H</w:t>
      </w:r>
      <w:r w:rsidRPr="00F47890">
        <w:t xml:space="preserve">HA will take steps to ensure that the application process is accessible to those people who might have difficulty complying with the standard </w:t>
      </w:r>
      <w:r>
        <w:t>H</w:t>
      </w:r>
      <w:r w:rsidRPr="00F47890">
        <w:t xml:space="preserve">HA application process. This </w:t>
      </w:r>
      <w:r w:rsidR="00D32E20">
        <w:t>may</w:t>
      </w:r>
      <w:r w:rsidRPr="00F47890">
        <w:t xml:space="preserve"> include people with disabilities, certain elderly individuals, as well as persons with </w:t>
      </w:r>
      <w:r w:rsidR="00AD0FAA">
        <w:t>L</w:t>
      </w:r>
      <w:r w:rsidRPr="00F47890">
        <w:t xml:space="preserve">imited English </w:t>
      </w:r>
      <w:r w:rsidR="00AD0FAA">
        <w:t>P</w:t>
      </w:r>
      <w:r w:rsidRPr="00F47890">
        <w:t xml:space="preserve">roficiency (LEP). </w:t>
      </w:r>
      <w:r w:rsidR="00850C8F">
        <w:t>H</w:t>
      </w:r>
      <w:r w:rsidRPr="00F47890">
        <w:t xml:space="preserve">HA will make reasonable accommodations to meet the needs of individuals with disabilities. </w:t>
      </w:r>
      <w:r w:rsidR="00F47C15">
        <w:t xml:space="preserve">Please see </w:t>
      </w:r>
      <w:hyperlink w:anchor="_APPENDIX_A:_REASONABLE" w:history="1">
        <w:r w:rsidR="00F47C15" w:rsidRPr="00F47C15">
          <w:rPr>
            <w:rStyle w:val="OurLinksChar"/>
          </w:rPr>
          <w:fldChar w:fldCharType="begin"/>
        </w:r>
        <w:r w:rsidR="00F47C15" w:rsidRPr="00F47C15">
          <w:rPr>
            <w:rStyle w:val="OurLinksChar"/>
          </w:rPr>
          <w:instrText xml:space="preserve"> REF _Ref145412187 \h </w:instrText>
        </w:r>
        <w:r w:rsidR="00F47C15">
          <w:rPr>
            <w:rStyle w:val="OurLinksChar"/>
          </w:rPr>
          <w:instrText xml:space="preserve"> \* MERGEFORMAT </w:instrText>
        </w:r>
        <w:r w:rsidR="00F47C15" w:rsidRPr="00F47C15">
          <w:rPr>
            <w:rStyle w:val="OurLinksChar"/>
          </w:rPr>
        </w:r>
        <w:r w:rsidR="00F47C15" w:rsidRPr="00F47C15">
          <w:rPr>
            <w:rStyle w:val="OurLinksChar"/>
          </w:rPr>
          <w:fldChar w:fldCharType="separate"/>
        </w:r>
        <w:r w:rsidR="00F47C15" w:rsidRPr="00F47C15">
          <w:rPr>
            <w:rStyle w:val="OurLinksChar"/>
          </w:rPr>
          <w:t>APPENDIX A: REASONABLE ACCOMMODATION POLICY AND PROCEDURES</w:t>
        </w:r>
        <w:r w:rsidR="00F47C15" w:rsidRPr="00F47C15">
          <w:rPr>
            <w:rStyle w:val="OurLinksChar"/>
          </w:rPr>
          <w:fldChar w:fldCharType="end"/>
        </w:r>
      </w:hyperlink>
      <w:r w:rsidR="00F47C15">
        <w:t xml:space="preserve"> and </w:t>
      </w:r>
      <w:hyperlink w:anchor="_APPENDIX_B:_LANGUAGE" w:history="1">
        <w:r w:rsidR="00F47C15" w:rsidRPr="00F47C15">
          <w:rPr>
            <w:rStyle w:val="OurLinksChar"/>
          </w:rPr>
          <w:fldChar w:fldCharType="begin"/>
        </w:r>
        <w:r w:rsidR="00F47C15" w:rsidRPr="00F47C15">
          <w:rPr>
            <w:rStyle w:val="OurLinksChar"/>
          </w:rPr>
          <w:instrText xml:space="preserve"> REF _Ref145412194 \h </w:instrText>
        </w:r>
        <w:r w:rsidR="00F47C15">
          <w:rPr>
            <w:rStyle w:val="OurLinksChar"/>
          </w:rPr>
          <w:instrText xml:space="preserve"> \* MERGEFORMAT </w:instrText>
        </w:r>
        <w:r w:rsidR="00F47C15" w:rsidRPr="00F47C15">
          <w:rPr>
            <w:rStyle w:val="OurLinksChar"/>
          </w:rPr>
        </w:r>
        <w:r w:rsidR="00F47C15" w:rsidRPr="00F47C15">
          <w:rPr>
            <w:rStyle w:val="OurLinksChar"/>
          </w:rPr>
          <w:fldChar w:fldCharType="separate"/>
        </w:r>
        <w:r w:rsidR="00F47C15" w:rsidRPr="00F47C15">
          <w:rPr>
            <w:rStyle w:val="OurLinksChar"/>
          </w:rPr>
          <w:t>APPENDIX B: LANGUAGE ASSISTANCE PLAN AND LIMITED ENGLISH PROFICIENCY (LEP) POLICY</w:t>
        </w:r>
        <w:r w:rsidR="00F47C15" w:rsidRPr="00F47C15">
          <w:rPr>
            <w:rStyle w:val="OurLinksChar"/>
          </w:rPr>
          <w:fldChar w:fldCharType="end"/>
        </w:r>
      </w:hyperlink>
      <w:r w:rsidR="00F47C15">
        <w:t xml:space="preserve"> for more information on these policies.</w:t>
      </w:r>
    </w:p>
    <w:p w14:paraId="4765A772" w14:textId="77777777" w:rsidR="00397D83" w:rsidRDefault="00397D83" w:rsidP="00BB64BD">
      <w:pPr>
        <w:pStyle w:val="Heading2"/>
      </w:pPr>
      <w:bookmarkStart w:id="83" w:name="_Toc173222633"/>
      <w:bookmarkStart w:id="84" w:name="_Toc200375490"/>
      <w:bookmarkStart w:id="85" w:name="_Toc200376899"/>
      <w:r>
        <w:t>Placement on the Waiting List</w:t>
      </w:r>
      <w:bookmarkEnd w:id="83"/>
      <w:bookmarkEnd w:id="84"/>
      <w:bookmarkEnd w:id="85"/>
    </w:p>
    <w:p w14:paraId="21D5A472" w14:textId="77777777" w:rsidR="00397D83" w:rsidRPr="00397D83" w:rsidRDefault="00397D83" w:rsidP="00397D83">
      <w:r w:rsidRPr="00397D83">
        <w:t xml:space="preserve">No applicant has a right or entitlement to be listed on the waiting list, or to any particular position on the waiting list. </w:t>
      </w:r>
    </w:p>
    <w:p w14:paraId="1C126FB3" w14:textId="77777777" w:rsidR="00397D83" w:rsidRPr="00397D83" w:rsidRDefault="00397D83" w:rsidP="00397D83">
      <w:r w:rsidRPr="00397D83">
        <w:t>When the waiting list is continuously open, applicants will be placed on the waiting list according to the claimed preference</w:t>
      </w:r>
      <w:r w:rsidR="008149FF">
        <w:t>(s)</w:t>
      </w:r>
      <w:r w:rsidRPr="00397D83">
        <w:t xml:space="preserve"> and date and time their completed application is received by </w:t>
      </w:r>
      <w:r w:rsidR="00943F70">
        <w:t>H</w:t>
      </w:r>
      <w:r w:rsidRPr="00397D83">
        <w:t xml:space="preserve">HA. When the waiting list is open for a finite period of time, </w:t>
      </w:r>
      <w:r w:rsidR="00120D87">
        <w:t>H</w:t>
      </w:r>
      <w:r w:rsidRPr="00397D83">
        <w:t xml:space="preserve">HA will notify applicants of the method for submitting applications and ordering applications on the waiting list. </w:t>
      </w:r>
    </w:p>
    <w:p w14:paraId="0A53E80B" w14:textId="77777777" w:rsidR="00397D83" w:rsidRPr="00397D83" w:rsidRDefault="00397D83" w:rsidP="00397D83">
      <w:r w:rsidRPr="00397D83">
        <w:t>Placement on the waiting list does not indicate that the family is, in fact, eligible for assistance. A final determination of eligibility will be made when the family is selected from the waiting list</w:t>
      </w:r>
      <w:r w:rsidR="00F47C15">
        <w:t xml:space="preserve"> in accordance with the requirements in the </w:t>
      </w:r>
      <w:r w:rsidR="00F47C15" w:rsidRPr="00F47C15">
        <w:rPr>
          <w:rStyle w:val="OurLinksChar"/>
        </w:rPr>
        <w:fldChar w:fldCharType="begin"/>
      </w:r>
      <w:r w:rsidR="00F47C15" w:rsidRPr="00F47C15">
        <w:rPr>
          <w:rStyle w:val="OurLinksChar"/>
        </w:rPr>
        <w:instrText xml:space="preserve"> REF _Ref145412251 \h </w:instrText>
      </w:r>
      <w:r w:rsidR="00F47C15">
        <w:rPr>
          <w:rStyle w:val="OurLinksChar"/>
        </w:rPr>
        <w:instrText xml:space="preserve"> \* MERGEFORMAT </w:instrText>
      </w:r>
      <w:r w:rsidR="00F47C15" w:rsidRPr="00F47C15">
        <w:rPr>
          <w:rStyle w:val="OurLinksChar"/>
        </w:rPr>
      </w:r>
      <w:r w:rsidR="00F47C15" w:rsidRPr="00F47C15">
        <w:rPr>
          <w:rStyle w:val="OurLinksChar"/>
        </w:rPr>
        <w:fldChar w:fldCharType="separate"/>
      </w:r>
      <w:r w:rsidR="00F47C15" w:rsidRPr="00F47C15">
        <w:rPr>
          <w:rStyle w:val="OurLinksChar"/>
        </w:rPr>
        <w:t>ELIGIBILITY</w:t>
      </w:r>
      <w:r w:rsidR="00F47C15" w:rsidRPr="00F47C15">
        <w:rPr>
          <w:rStyle w:val="OurLinksChar"/>
        </w:rPr>
        <w:fldChar w:fldCharType="end"/>
      </w:r>
      <w:r w:rsidR="00F47C15">
        <w:t xml:space="preserve"> chapter of this ACOP</w:t>
      </w:r>
      <w:r w:rsidRPr="00397D83">
        <w:t xml:space="preserve">. Applicants will be placed on the waiting list according to any preference(s) for which they qualify, </w:t>
      </w:r>
      <w:r w:rsidR="00D75A04">
        <w:t xml:space="preserve">bedroom size, and </w:t>
      </w:r>
      <w:r w:rsidRPr="00397D83">
        <w:t xml:space="preserve">the date and time their complete application is received by </w:t>
      </w:r>
      <w:r w:rsidR="00120D87">
        <w:t>H</w:t>
      </w:r>
      <w:r w:rsidRPr="00397D83">
        <w:t>HA.</w:t>
      </w:r>
    </w:p>
    <w:p w14:paraId="4FF9A272" w14:textId="77777777" w:rsidR="00397D83" w:rsidRPr="007823F9" w:rsidRDefault="00120D87" w:rsidP="00397D83">
      <w:r>
        <w:t>H</w:t>
      </w:r>
      <w:r w:rsidR="00397D83">
        <w:t xml:space="preserve">HA will assign families on the waiting list according to the bedroom size for which a family qualifies as established in </w:t>
      </w:r>
      <w:r>
        <w:t>H</w:t>
      </w:r>
      <w:r w:rsidR="00397D83">
        <w:t>HA’s occupancy standards. Families</w:t>
      </w:r>
      <w:r w:rsidR="00397D83" w:rsidRPr="009B61D4">
        <w:t xml:space="preserve"> may request to be placed on </w:t>
      </w:r>
      <w:r w:rsidR="00397D83">
        <w:t>the</w:t>
      </w:r>
      <w:r w:rsidR="00397D83" w:rsidRPr="009B61D4">
        <w:t xml:space="preserve"> waiting list for a unit size smaller than designa</w:t>
      </w:r>
      <w:r w:rsidR="00397D83">
        <w:t>ted by the occupancy guidelines</w:t>
      </w:r>
      <w:r w:rsidR="00397D83" w:rsidRPr="009B61D4">
        <w:t xml:space="preserve"> (as long as </w:t>
      </w:r>
      <w:r w:rsidR="00397D83">
        <w:t>the</w:t>
      </w:r>
      <w:r w:rsidR="00397D83" w:rsidRPr="009B61D4">
        <w:t xml:space="preserve"> unit is not overcrowded according to</w:t>
      </w:r>
      <w:r w:rsidR="00397D83">
        <w:t xml:space="preserve"> </w:t>
      </w:r>
      <w:r w:rsidR="00756B7A">
        <w:t>H</w:t>
      </w:r>
      <w:r w:rsidR="00397D83">
        <w:t xml:space="preserve">HA’s standards and </w:t>
      </w:r>
      <w:r w:rsidR="00397D83" w:rsidRPr="009B61D4">
        <w:t xml:space="preserve">local code). </w:t>
      </w:r>
      <w:r w:rsidR="00397D83">
        <w:t>However, in these cases, the</w:t>
      </w:r>
      <w:r w:rsidR="00397D83" w:rsidRPr="009B61D4">
        <w:t xml:space="preserve"> family must agree</w:t>
      </w:r>
      <w:r w:rsidR="00397D83">
        <w:t xml:space="preserve"> not to request a transfer for two years after admission, unless they have a change in family size or composition.</w:t>
      </w:r>
    </w:p>
    <w:p w14:paraId="36D9CEF3" w14:textId="77777777" w:rsidR="002640AD" w:rsidRPr="000E72D2" w:rsidRDefault="004B33BB" w:rsidP="000E72D2">
      <w:r w:rsidRPr="000E72D2">
        <w:t>HHA and or its designated representative will administer waiting lists as required by HUD’s regulations and HHA procedures. HHA may</w:t>
      </w:r>
      <w:r w:rsidR="002640AD" w:rsidRPr="000E72D2">
        <w:t>:</w:t>
      </w:r>
    </w:p>
    <w:p w14:paraId="5CE50A74" w14:textId="77777777" w:rsidR="002640AD" w:rsidRPr="000E72D2" w:rsidRDefault="002640AD" w:rsidP="00CB52D8">
      <w:pPr>
        <w:pStyle w:val="ListParagraph"/>
        <w:numPr>
          <w:ilvl w:val="0"/>
          <w:numId w:val="22"/>
        </w:numPr>
        <w:contextualSpacing w:val="0"/>
      </w:pPr>
      <w:r w:rsidRPr="000E72D2">
        <w:t>O</w:t>
      </w:r>
      <w:r w:rsidR="004B33BB" w:rsidRPr="000E72D2">
        <w:t>pen or close waiting lists for specific bedroom sizes and/or types of units based on agency needs</w:t>
      </w:r>
      <w:r w:rsidRPr="000E72D2">
        <w:t>; and</w:t>
      </w:r>
    </w:p>
    <w:p w14:paraId="59CEFD99" w14:textId="77777777" w:rsidR="004B33BB" w:rsidRPr="000E72D2" w:rsidRDefault="002640AD" w:rsidP="00CB52D8">
      <w:pPr>
        <w:pStyle w:val="ListParagraph"/>
        <w:numPr>
          <w:ilvl w:val="0"/>
          <w:numId w:val="22"/>
        </w:numPr>
        <w:contextualSpacing w:val="0"/>
      </w:pPr>
      <w:r w:rsidRPr="000E72D2">
        <w:t>U</w:t>
      </w:r>
      <w:r w:rsidR="004B33BB" w:rsidRPr="000E72D2">
        <w:t>tilize lottery or other methods to when opening a waiting list in accordance with applicable HUD and project-specific funding requirements.</w:t>
      </w:r>
    </w:p>
    <w:p w14:paraId="74E3C147" w14:textId="77777777" w:rsidR="004B33BB" w:rsidRPr="000E72D2" w:rsidRDefault="004B33BB" w:rsidP="000E72D2">
      <w:bookmarkStart w:id="86" w:name="_Hlk138147251"/>
      <w:r w:rsidRPr="000E72D2">
        <w:t>HHA will periodically update each waiting list by contacting all applicants</w:t>
      </w:r>
      <w:r w:rsidR="000E72D2" w:rsidRPr="000E72D2">
        <w:t>.</w:t>
      </w:r>
    </w:p>
    <w:bookmarkEnd w:id="86"/>
    <w:p w14:paraId="607AB3CE" w14:textId="77777777" w:rsidR="004B33BB" w:rsidRPr="000E72D2" w:rsidRDefault="004B33BB" w:rsidP="000E72D2">
      <w:r w:rsidRPr="000E72D2">
        <w:t xml:space="preserve">If an applicant’s preference status changes while on the waiting list, the applicant’s position on the list will be adjusted in accordance with HHA’s </w:t>
      </w:r>
      <w:r w:rsidR="00FB3FB7">
        <w:t>policies and procedures</w:t>
      </w:r>
      <w:r w:rsidRPr="000E72D2">
        <w:t>.</w:t>
      </w:r>
    </w:p>
    <w:p w14:paraId="5E50DF25" w14:textId="77777777" w:rsidR="00397D83" w:rsidRPr="00A453B7" w:rsidRDefault="00C22249" w:rsidP="00BB64BD">
      <w:pPr>
        <w:pStyle w:val="Heading2"/>
      </w:pPr>
      <w:bookmarkStart w:id="87" w:name="_Toc173222634"/>
      <w:bookmarkStart w:id="88" w:name="_Toc200375491"/>
      <w:bookmarkStart w:id="89" w:name="_Toc200376900"/>
      <w:r w:rsidRPr="00A453B7">
        <w:t>Organization of the Waiting List</w:t>
      </w:r>
      <w:bookmarkEnd w:id="87"/>
      <w:bookmarkEnd w:id="88"/>
      <w:bookmarkEnd w:id="89"/>
    </w:p>
    <w:p w14:paraId="5F8D6B33" w14:textId="77777777" w:rsidR="00986448" w:rsidRPr="00C22249" w:rsidRDefault="00986448" w:rsidP="00C22249">
      <w:r w:rsidRPr="00986448">
        <w:t xml:space="preserve">HHA will maintain </w:t>
      </w:r>
      <w:r w:rsidR="007770E5">
        <w:t xml:space="preserve">a </w:t>
      </w:r>
      <w:r w:rsidRPr="00986448">
        <w:t>site-based waiting list</w:t>
      </w:r>
      <w:r w:rsidR="007770E5">
        <w:t xml:space="preserve"> for each HHA public housing</w:t>
      </w:r>
      <w:r w:rsidR="00757DF3">
        <w:t xml:space="preserve"> property</w:t>
      </w:r>
      <w:r w:rsidRPr="00986448">
        <w:t>, with pre-admissions coordinated by HHA, which include</w:t>
      </w:r>
      <w:r>
        <w:t>:</w:t>
      </w:r>
      <w:r w:rsidRPr="00986448">
        <w:t xml:space="preserve"> </w:t>
      </w:r>
    </w:p>
    <w:p w14:paraId="4F567EC9" w14:textId="77777777" w:rsidR="007F191E" w:rsidRDefault="007F191E" w:rsidP="00CB52D8">
      <w:pPr>
        <w:pStyle w:val="ListParagraph"/>
        <w:numPr>
          <w:ilvl w:val="0"/>
          <w:numId w:val="23"/>
        </w:numPr>
        <w:contextualSpacing w:val="0"/>
      </w:pPr>
      <w:r>
        <w:t>Applicant name;</w:t>
      </w:r>
    </w:p>
    <w:p w14:paraId="444AB724" w14:textId="77777777" w:rsidR="00610DE5" w:rsidRDefault="00610DE5" w:rsidP="00CB52D8">
      <w:pPr>
        <w:pStyle w:val="ListParagraph"/>
        <w:numPr>
          <w:ilvl w:val="0"/>
          <w:numId w:val="23"/>
        </w:numPr>
        <w:contextualSpacing w:val="0"/>
      </w:pPr>
      <w:r>
        <w:t>Family size/size of unit needed;</w:t>
      </w:r>
    </w:p>
    <w:p w14:paraId="0160BCEB" w14:textId="77777777" w:rsidR="00610DE5" w:rsidRDefault="00610DE5" w:rsidP="00CB52D8">
      <w:pPr>
        <w:pStyle w:val="ListParagraph"/>
        <w:numPr>
          <w:ilvl w:val="0"/>
          <w:numId w:val="23"/>
        </w:numPr>
        <w:contextualSpacing w:val="0"/>
      </w:pPr>
      <w:r>
        <w:t>Date and time of application;</w:t>
      </w:r>
    </w:p>
    <w:p w14:paraId="773C38DE" w14:textId="77777777" w:rsidR="007968E5" w:rsidRDefault="00A453B7" w:rsidP="00CB52D8">
      <w:pPr>
        <w:pStyle w:val="ListParagraph"/>
        <w:numPr>
          <w:ilvl w:val="0"/>
          <w:numId w:val="23"/>
        </w:numPr>
        <w:contextualSpacing w:val="0"/>
      </w:pPr>
      <w:r>
        <w:t>Qualification for any local preference</w:t>
      </w:r>
      <w:r w:rsidR="007F191E">
        <w:t>;</w:t>
      </w:r>
    </w:p>
    <w:p w14:paraId="5C5E9103" w14:textId="77777777" w:rsidR="007F191E" w:rsidRDefault="007F191E" w:rsidP="00CB52D8">
      <w:pPr>
        <w:pStyle w:val="ListParagraph"/>
        <w:numPr>
          <w:ilvl w:val="0"/>
          <w:numId w:val="23"/>
        </w:numPr>
        <w:contextualSpacing w:val="0"/>
      </w:pPr>
      <w:r>
        <w:t>Racial or ethnic designation of the head of household.</w:t>
      </w:r>
    </w:p>
    <w:p w14:paraId="32EE08EA" w14:textId="77777777" w:rsidR="00180EC8" w:rsidRDefault="00180EC8" w:rsidP="00180EC8">
      <w:r>
        <w:t>This information will allow HHA to iden</w:t>
      </w:r>
      <w:r w:rsidR="009E4369">
        <w:t>tify and select families for assistance in the proper order, according to the admissions policies described in this ACOP.</w:t>
      </w:r>
    </w:p>
    <w:p w14:paraId="70D8D744" w14:textId="77777777" w:rsidR="00A453B7" w:rsidRPr="00A453B7" w:rsidRDefault="00A453B7" w:rsidP="00BB64BD">
      <w:pPr>
        <w:pStyle w:val="Heading2"/>
      </w:pPr>
      <w:bookmarkStart w:id="90" w:name="_Toc173222635"/>
      <w:bookmarkStart w:id="91" w:name="_Toc200375492"/>
      <w:bookmarkStart w:id="92" w:name="_Toc200376901"/>
      <w:r w:rsidRPr="00A453B7">
        <w:t>Opening the Waiting List</w:t>
      </w:r>
      <w:bookmarkEnd w:id="90"/>
      <w:bookmarkEnd w:id="91"/>
      <w:bookmarkEnd w:id="92"/>
    </w:p>
    <w:p w14:paraId="49C738E0" w14:textId="77777777" w:rsidR="00A453B7" w:rsidRPr="00956895" w:rsidRDefault="00A453B7" w:rsidP="00A453B7">
      <w:r>
        <w:t>H</w:t>
      </w:r>
      <w:r w:rsidRPr="00956895">
        <w:t xml:space="preserve">HA will announce the reopening of the waiting list at least </w:t>
      </w:r>
      <w:r w:rsidR="001F6814">
        <w:t>fifteen (</w:t>
      </w:r>
      <w:r w:rsidR="00FA4CB6">
        <w:t>15</w:t>
      </w:r>
      <w:r w:rsidR="001F6814">
        <w:t>)</w:t>
      </w:r>
      <w:r w:rsidR="00FA4CB6">
        <w:t xml:space="preserve"> calendar</w:t>
      </w:r>
      <w:r w:rsidRPr="00956895">
        <w:t xml:space="preserve"> days prior to the date applications will first be accepted. If the list is only being reopened for certain categories of families, this information will be contained in the notice.</w:t>
      </w:r>
    </w:p>
    <w:p w14:paraId="7ADDB5E0" w14:textId="77777777" w:rsidR="00A453B7" w:rsidRPr="00956895" w:rsidRDefault="00A453B7" w:rsidP="00A453B7">
      <w:r>
        <w:t>H</w:t>
      </w:r>
      <w:r w:rsidRPr="00956895">
        <w:t xml:space="preserve">HA will give public notice by publishing the relevant information in newspapers of general circulation, minority media and other suitable media outlets. </w:t>
      </w:r>
      <w:bookmarkStart w:id="93" w:name="_Hlk100816267"/>
      <w:r w:rsidRPr="00956895">
        <w:t>The notice will specify where, when and how applications are to be received.</w:t>
      </w:r>
    </w:p>
    <w:p w14:paraId="26973DAD" w14:textId="77777777" w:rsidR="00C22249" w:rsidRDefault="006C68BB" w:rsidP="00BB64BD">
      <w:pPr>
        <w:pStyle w:val="Heading2"/>
      </w:pPr>
      <w:bookmarkStart w:id="94" w:name="_Toc173222636"/>
      <w:bookmarkStart w:id="95" w:name="_Toc200375493"/>
      <w:bookmarkStart w:id="96" w:name="_Toc200376902"/>
      <w:bookmarkEnd w:id="93"/>
      <w:r>
        <w:t>Closing the Waiting List</w:t>
      </w:r>
      <w:bookmarkEnd w:id="94"/>
      <w:bookmarkEnd w:id="95"/>
      <w:bookmarkEnd w:id="96"/>
    </w:p>
    <w:p w14:paraId="1325CD86" w14:textId="77777777" w:rsidR="00E87DD6" w:rsidRPr="00122C89" w:rsidRDefault="003E2A62" w:rsidP="00E87DD6">
      <w:r w:rsidRPr="00C95500">
        <w:t>HHA will close the waiting list when it is anticipated that there are sufficient waiting list applicants that can be served within a period determined by HHA</w:t>
      </w:r>
      <w:r>
        <w:t xml:space="preserve">. </w:t>
      </w:r>
      <w:r w:rsidR="00E87DD6" w:rsidRPr="00122C89">
        <w:t xml:space="preserve">Where </w:t>
      </w:r>
      <w:r w:rsidR="00701FE6">
        <w:t>H</w:t>
      </w:r>
      <w:r w:rsidR="00E87DD6">
        <w:t>HA</w:t>
      </w:r>
      <w:r w:rsidR="00E87DD6" w:rsidRPr="00122C89">
        <w:t xml:space="preserve"> has particular preferences or funding criteria that require a specific category of family, </w:t>
      </w:r>
      <w:r w:rsidR="00701FE6">
        <w:t>H</w:t>
      </w:r>
      <w:r w:rsidR="00E87DD6" w:rsidRPr="00122C89">
        <w:t xml:space="preserve">HA may continue to accept applications from these applicants while closing the waiting list to others. </w:t>
      </w:r>
    </w:p>
    <w:p w14:paraId="2C4A3F95" w14:textId="77777777" w:rsidR="006C68BB" w:rsidRDefault="006C68BB" w:rsidP="00BB64BD">
      <w:pPr>
        <w:pStyle w:val="Heading2"/>
      </w:pPr>
      <w:bookmarkStart w:id="97" w:name="_Toc173222637"/>
      <w:bookmarkStart w:id="98" w:name="_Toc200375494"/>
      <w:bookmarkStart w:id="99" w:name="_Toc200376903"/>
      <w:r>
        <w:t>Family Outreach</w:t>
      </w:r>
      <w:bookmarkEnd w:id="97"/>
      <w:bookmarkEnd w:id="98"/>
      <w:bookmarkEnd w:id="99"/>
    </w:p>
    <w:p w14:paraId="37760FEB" w14:textId="77777777" w:rsidR="005B4225" w:rsidRPr="005B4225" w:rsidRDefault="005B4225" w:rsidP="005B4225">
      <w:r w:rsidRPr="005B4225">
        <w:t xml:space="preserve">HHA will monitor the characteristics of the population being served and the characteristics of the population as a whole in </w:t>
      </w:r>
      <w:r>
        <w:t>H</w:t>
      </w:r>
      <w:r w:rsidRPr="005B4225">
        <w:t xml:space="preserve">HA’s jurisdiction. Targeted outreach efforts will be undertaken if a comparison suggests that certain populations are being underserved. </w:t>
      </w:r>
      <w:bookmarkStart w:id="100" w:name="_Hlk100816425"/>
      <w:r>
        <w:t>H</w:t>
      </w:r>
      <w:r w:rsidRPr="005B4225">
        <w:t>HA will ensure that outreach activities are affirmatively furthering fair housing and are in compliance with the Fair Housing Act.</w:t>
      </w:r>
    </w:p>
    <w:p w14:paraId="474D8D93" w14:textId="77777777" w:rsidR="006C68BB" w:rsidRDefault="006C68BB" w:rsidP="00BB64BD">
      <w:pPr>
        <w:pStyle w:val="Heading2"/>
      </w:pPr>
      <w:bookmarkStart w:id="101" w:name="_Toc173222638"/>
      <w:bookmarkStart w:id="102" w:name="_Toc200375495"/>
      <w:bookmarkStart w:id="103" w:name="_Toc200376904"/>
      <w:bookmarkEnd w:id="100"/>
      <w:r>
        <w:t>Reporting Changes in Family Circumstances</w:t>
      </w:r>
      <w:bookmarkEnd w:id="101"/>
      <w:bookmarkEnd w:id="102"/>
      <w:bookmarkEnd w:id="103"/>
    </w:p>
    <w:p w14:paraId="053D2D21" w14:textId="77777777" w:rsidR="008702EE" w:rsidRPr="008702EE" w:rsidRDefault="008702EE" w:rsidP="008702EE">
      <w:r w:rsidRPr="007F191E">
        <w:t xml:space="preserve">While the family is on a waiting list, the family must update its application </w:t>
      </w:r>
      <w:r w:rsidR="004E2EA6" w:rsidRPr="007F191E">
        <w:t xml:space="preserve">online or </w:t>
      </w:r>
      <w:r w:rsidR="00A41830" w:rsidRPr="007F191E">
        <w:t>in writing</w:t>
      </w:r>
      <w:r w:rsidRPr="007F191E">
        <w:t xml:space="preserve">. </w:t>
      </w:r>
      <w:r w:rsidR="00EE53E6" w:rsidRPr="007F191E">
        <w:rPr>
          <w:bCs/>
        </w:rPr>
        <w:t xml:space="preserve">To update the application through HHA, a written request for update must be submitted by the family to HHA. </w:t>
      </w:r>
      <w:r w:rsidRPr="007F191E">
        <w:t xml:space="preserve">Families are required to update their application to reflect changes in family composition, </w:t>
      </w:r>
      <w:r w:rsidR="004E3207" w:rsidRPr="007F191E">
        <w:t>preference status</w:t>
      </w:r>
      <w:r w:rsidR="00564772" w:rsidRPr="007F191E">
        <w:t>,</w:t>
      </w:r>
      <w:r w:rsidR="004E3207" w:rsidRPr="007F191E">
        <w:t xml:space="preserve"> </w:t>
      </w:r>
      <w:r w:rsidRPr="007F191E">
        <w:t>and</w:t>
      </w:r>
      <w:r w:rsidRPr="008702EE">
        <w:t>/or contact information, including mailing address, phone number</w:t>
      </w:r>
      <w:r w:rsidR="00564772">
        <w:t>, and email address</w:t>
      </w:r>
      <w:r w:rsidRPr="008702EE">
        <w:t xml:space="preserve">. Failure to report these changes may affect a family’s placement on the waiting list(s) and could result in removal of the family’s name from the waiting list. </w:t>
      </w:r>
      <w:r w:rsidR="00CA7504" w:rsidRPr="00271490">
        <w:rPr>
          <w:bCs/>
        </w:rPr>
        <w:t>Changes will not be accepted verbally or over the phone.</w:t>
      </w:r>
    </w:p>
    <w:p w14:paraId="16F8ED9C" w14:textId="77777777" w:rsidR="004C7F9C" w:rsidRDefault="004C7F9C" w:rsidP="00677451">
      <w:pPr>
        <w:pStyle w:val="Heading3"/>
      </w:pPr>
      <w:bookmarkStart w:id="104" w:name="_Toc200375496"/>
      <w:r>
        <w:t>Family Break-Up or Split Households While on the Waiting List</w:t>
      </w:r>
      <w:bookmarkEnd w:id="104"/>
    </w:p>
    <w:p w14:paraId="66C02A00" w14:textId="77777777" w:rsidR="00F919D3" w:rsidRPr="00F919D3" w:rsidRDefault="00F919D3" w:rsidP="00F919D3">
      <w:r w:rsidRPr="00F919D3">
        <w:t>When a family on the waiting list breaks up into two otherwise eligible families, only one of the new families may retain the original application date. Other former family members may submit a new application with a new application date, if the waiting list is open.</w:t>
      </w:r>
    </w:p>
    <w:p w14:paraId="751821E8" w14:textId="77777777" w:rsidR="00F919D3" w:rsidRPr="00F919D3" w:rsidRDefault="00F919D3" w:rsidP="00F919D3">
      <w:r w:rsidRPr="00F919D3">
        <w:t xml:space="preserve">In the absence of a judicial decision, or an agreement among the original family members, </w:t>
      </w:r>
      <w:r>
        <w:t>H</w:t>
      </w:r>
      <w:r w:rsidRPr="00F919D3">
        <w:t xml:space="preserve">HA has the discretion to determine which members of the family will retain the original application date.  </w:t>
      </w:r>
    </w:p>
    <w:p w14:paraId="39D9AE4D" w14:textId="77777777" w:rsidR="00F919D3" w:rsidRPr="00F919D3" w:rsidRDefault="00F919D3" w:rsidP="00F919D3">
      <w:r w:rsidRPr="00F919D3">
        <w:t xml:space="preserve">In making its determination, </w:t>
      </w:r>
      <w:r>
        <w:t>H</w:t>
      </w:r>
      <w:r w:rsidRPr="00F919D3">
        <w:t xml:space="preserve">HA will take into consideration the following factors: </w:t>
      </w:r>
    </w:p>
    <w:p w14:paraId="6F00A4E6" w14:textId="77777777" w:rsidR="00F919D3" w:rsidRPr="00F919D3" w:rsidRDefault="00F919D3" w:rsidP="007F177E">
      <w:pPr>
        <w:pStyle w:val="ListParagraph"/>
        <w:numPr>
          <w:ilvl w:val="0"/>
          <w:numId w:val="178"/>
        </w:numPr>
        <w:contextualSpacing w:val="0"/>
      </w:pPr>
      <w:r w:rsidRPr="00F919D3">
        <w:t xml:space="preserve">The interest of any minor children, including custody arrangements;  </w:t>
      </w:r>
    </w:p>
    <w:p w14:paraId="06C2FF19" w14:textId="77777777" w:rsidR="00F919D3" w:rsidRPr="00F919D3" w:rsidRDefault="00F919D3" w:rsidP="007F177E">
      <w:pPr>
        <w:pStyle w:val="ListParagraph"/>
        <w:numPr>
          <w:ilvl w:val="0"/>
          <w:numId w:val="178"/>
        </w:numPr>
        <w:contextualSpacing w:val="0"/>
      </w:pPr>
      <w:r w:rsidRPr="00F919D3">
        <w:t xml:space="preserve">The interest of any ill, elderly, or disabled family members; </w:t>
      </w:r>
    </w:p>
    <w:p w14:paraId="01C11929" w14:textId="77777777" w:rsidR="00F919D3" w:rsidRPr="00F919D3" w:rsidRDefault="00F919D3" w:rsidP="007F177E">
      <w:pPr>
        <w:pStyle w:val="ListParagraph"/>
        <w:numPr>
          <w:ilvl w:val="0"/>
          <w:numId w:val="178"/>
        </w:numPr>
        <w:contextualSpacing w:val="0"/>
      </w:pPr>
      <w:r w:rsidRPr="00F919D3">
        <w:t xml:space="preserve">The interest of any family member who is the victim of </w:t>
      </w:r>
      <w:r w:rsidR="00891743" w:rsidRPr="006279F1">
        <w:rPr>
          <w:rFonts w:cs="Arial"/>
          <w:spacing w:val="-2"/>
        </w:rPr>
        <w:t>domestic violence, dating violence, sexual assault, stalking and/or human trafficking</w:t>
      </w:r>
      <w:r w:rsidR="002329BD">
        <w:t>,</w:t>
      </w:r>
      <w:r w:rsidRPr="00F919D3">
        <w:t xml:space="preserve"> including a family member who was forced to leave an assisted unit as a result of such actual or threatened abuse; </w:t>
      </w:r>
    </w:p>
    <w:p w14:paraId="67EEDA69" w14:textId="77777777" w:rsidR="00F919D3" w:rsidRPr="00F919D3" w:rsidRDefault="00F919D3" w:rsidP="007F177E">
      <w:pPr>
        <w:pStyle w:val="ListParagraph"/>
        <w:numPr>
          <w:ilvl w:val="0"/>
          <w:numId w:val="178"/>
        </w:numPr>
        <w:contextualSpacing w:val="0"/>
      </w:pPr>
      <w:r w:rsidRPr="00F919D3">
        <w:t>Any possible risks to family members as a result of criminal activity; and</w:t>
      </w:r>
    </w:p>
    <w:p w14:paraId="513DE7E8" w14:textId="77777777" w:rsidR="00F919D3" w:rsidRPr="00F919D3" w:rsidRDefault="00F919D3" w:rsidP="007F177E">
      <w:pPr>
        <w:pStyle w:val="ListParagraph"/>
        <w:numPr>
          <w:ilvl w:val="0"/>
          <w:numId w:val="178"/>
        </w:numPr>
        <w:contextualSpacing w:val="0"/>
      </w:pPr>
      <w:r w:rsidRPr="00F919D3">
        <w:t>The recommendations of social service professionals.</w:t>
      </w:r>
    </w:p>
    <w:p w14:paraId="4EF68021" w14:textId="77777777" w:rsidR="004C7F9C" w:rsidRDefault="004C7F9C" w:rsidP="00BB64BD">
      <w:pPr>
        <w:pStyle w:val="Heading2"/>
      </w:pPr>
      <w:bookmarkStart w:id="105" w:name="_Toc173222639"/>
      <w:bookmarkStart w:id="106" w:name="_Toc200375497"/>
      <w:bookmarkStart w:id="107" w:name="_Toc200376905"/>
      <w:r>
        <w:t>Updating the Waiting List</w:t>
      </w:r>
      <w:bookmarkEnd w:id="105"/>
      <w:bookmarkEnd w:id="106"/>
      <w:bookmarkEnd w:id="107"/>
    </w:p>
    <w:p w14:paraId="619E4B73" w14:textId="77777777" w:rsidR="0026257F" w:rsidRPr="00D0694F" w:rsidRDefault="0026257F" w:rsidP="0026257F">
      <w:r>
        <w:t xml:space="preserve">In order to maintain a current waiting list, </w:t>
      </w:r>
      <w:r w:rsidR="002329BD">
        <w:t>H</w:t>
      </w:r>
      <w:r>
        <w:t xml:space="preserve">HA may request that applicants provided updated information and/or affirm continued interest. </w:t>
      </w:r>
      <w:r w:rsidR="002329BD">
        <w:t>H</w:t>
      </w:r>
      <w:r w:rsidRPr="00D0694F">
        <w:t xml:space="preserve">HA will review the waiting list(s) on a regular basis to determine if an update and purge are necessary. If an update is needed, </w:t>
      </w:r>
      <w:r w:rsidR="00EB14B8">
        <w:t>H</w:t>
      </w:r>
      <w:r w:rsidRPr="00D0694F">
        <w:t>HA will notify the families, at the time of the update, of the method and time frames to be used to update the waiting list. The family</w:t>
      </w:r>
      <w:r>
        <w:t>’</w:t>
      </w:r>
      <w:r w:rsidRPr="00D0694F">
        <w:t xml:space="preserve">s response must be submitted in the time frame and format required by </w:t>
      </w:r>
      <w:r w:rsidR="00EB14B8">
        <w:t>H</w:t>
      </w:r>
      <w:r w:rsidRPr="00D0694F">
        <w:t>HA.</w:t>
      </w:r>
    </w:p>
    <w:p w14:paraId="10C17656" w14:textId="77777777" w:rsidR="0026257F" w:rsidRPr="00D0694F" w:rsidRDefault="0026257F" w:rsidP="0026257F">
      <w:r w:rsidRPr="00D0694F">
        <w:t>Eligible applicants who respond timely and completely will be maintained on the waiting list(s). Applicants who do not respond timely and completely to any update request will be withdrawn (or purged) from the waiting list(s) without further notice</w:t>
      </w:r>
      <w:r w:rsidR="00EB14B8">
        <w:t>.</w:t>
      </w:r>
      <w:r w:rsidR="00FD64A9">
        <w:t xml:space="preserve"> This includes applicants who fail to respond to a physical mailing and/or electronic outreach mailing.</w:t>
      </w:r>
    </w:p>
    <w:p w14:paraId="68E588DF" w14:textId="77777777" w:rsidR="00CD3304" w:rsidRPr="00734BE3" w:rsidRDefault="00CD3304" w:rsidP="00CB52D8">
      <w:pPr>
        <w:pStyle w:val="ListParagraph"/>
        <w:numPr>
          <w:ilvl w:val="0"/>
          <w:numId w:val="45"/>
        </w:numPr>
        <w:autoSpaceDE w:val="0"/>
        <w:autoSpaceDN w:val="0"/>
        <w:adjustRightInd w:val="0"/>
        <w:spacing w:after="120"/>
        <w:contextualSpacing w:val="0"/>
        <w:rPr>
          <w:rFonts w:cs="Arial"/>
          <w:szCs w:val="20"/>
        </w:rPr>
      </w:pPr>
      <w:r w:rsidRPr="00734BE3">
        <w:rPr>
          <w:rFonts w:cs="Arial"/>
          <w:szCs w:val="20"/>
        </w:rPr>
        <w:t>If a notice is returned by the post office, with no forwarding address</w:t>
      </w:r>
      <w:r>
        <w:rPr>
          <w:rFonts w:cs="Arial"/>
          <w:szCs w:val="20"/>
        </w:rPr>
        <w:t>,</w:t>
      </w:r>
      <w:r w:rsidRPr="00734BE3">
        <w:rPr>
          <w:rFonts w:cs="Arial"/>
          <w:szCs w:val="20"/>
        </w:rPr>
        <w:t xml:space="preserve"> the applicant will be withdrawn from the waiting list without further notice. </w:t>
      </w:r>
    </w:p>
    <w:p w14:paraId="48C0C5BA" w14:textId="77777777" w:rsidR="0026257F" w:rsidRDefault="0026257F" w:rsidP="00CB52D8">
      <w:pPr>
        <w:pStyle w:val="ListParagraph"/>
        <w:numPr>
          <w:ilvl w:val="0"/>
          <w:numId w:val="45"/>
        </w:numPr>
        <w:contextualSpacing w:val="0"/>
      </w:pPr>
      <w:r w:rsidRPr="00CA7504">
        <w:t>If the notice is returned by the post office with a forwarding address, the notice will be re-sent to the address indicated. If the family does not respond within the required time frame, the family will be removed from the waiting list without further notice.</w:t>
      </w:r>
    </w:p>
    <w:p w14:paraId="266E4DEF" w14:textId="77777777" w:rsidR="00DE7CAE" w:rsidRPr="00734BE3" w:rsidRDefault="00DE7CAE" w:rsidP="00CB52D8">
      <w:pPr>
        <w:pStyle w:val="ListParagraph"/>
        <w:numPr>
          <w:ilvl w:val="0"/>
          <w:numId w:val="45"/>
        </w:numPr>
        <w:autoSpaceDE w:val="0"/>
        <w:autoSpaceDN w:val="0"/>
        <w:adjustRightInd w:val="0"/>
        <w:spacing w:after="120"/>
        <w:contextualSpacing w:val="0"/>
        <w:rPr>
          <w:rFonts w:cs="Arial"/>
          <w:szCs w:val="20"/>
        </w:rPr>
      </w:pPr>
      <w:r>
        <w:rPr>
          <w:rFonts w:cs="Arial"/>
          <w:szCs w:val="20"/>
        </w:rPr>
        <w:t>If an electronic correspondence is returned as undeliverable</w:t>
      </w:r>
      <w:r w:rsidR="00947B79">
        <w:rPr>
          <w:rFonts w:cs="Arial"/>
          <w:szCs w:val="20"/>
        </w:rPr>
        <w:t>,</w:t>
      </w:r>
      <w:r>
        <w:rPr>
          <w:rFonts w:cs="Arial"/>
          <w:szCs w:val="20"/>
        </w:rPr>
        <w:t xml:space="preserve"> </w:t>
      </w:r>
      <w:r w:rsidRPr="00734BE3">
        <w:rPr>
          <w:rFonts w:cs="Arial"/>
          <w:szCs w:val="20"/>
        </w:rPr>
        <w:t>the applicant will be withdrawn from the waiting list without further notice</w:t>
      </w:r>
      <w:r>
        <w:rPr>
          <w:rFonts w:cs="Arial"/>
          <w:szCs w:val="20"/>
        </w:rPr>
        <w:t>.</w:t>
      </w:r>
    </w:p>
    <w:p w14:paraId="70B089BC" w14:textId="77777777" w:rsidR="00490C69" w:rsidRPr="00CA7504" w:rsidRDefault="00DE7CAE" w:rsidP="00490C69">
      <w:r>
        <w:t>I</w:t>
      </w:r>
      <w:r w:rsidR="00490C69">
        <w:t>n each of the above circumstances, the applicant will be removed only from the waiting list that is being updated. The applicant may remain on any other HHA HCV or public housing waiting list</w:t>
      </w:r>
      <w:r w:rsidR="00EE59EB">
        <w:t>s they are currently on.</w:t>
      </w:r>
    </w:p>
    <w:p w14:paraId="3FA0EF2D" w14:textId="77777777" w:rsidR="004C7F9C" w:rsidRPr="00756A51" w:rsidRDefault="00912064" w:rsidP="00756A51">
      <w:pPr>
        <w:pStyle w:val="Heading2"/>
      </w:pPr>
      <w:bookmarkStart w:id="108" w:name="_Toc173222640"/>
      <w:bookmarkStart w:id="109" w:name="_Toc200375498"/>
      <w:bookmarkStart w:id="110" w:name="_Toc200376906"/>
      <w:r w:rsidRPr="00756A51">
        <w:t>Withdrawals</w:t>
      </w:r>
      <w:r w:rsidR="004C7F9C" w:rsidRPr="00756A51">
        <w:t xml:space="preserve"> </w:t>
      </w:r>
      <w:r w:rsidR="00697E17" w:rsidRPr="00756A51">
        <w:t xml:space="preserve">and Removals </w:t>
      </w:r>
      <w:r w:rsidR="004C7F9C" w:rsidRPr="00756A51">
        <w:t>from the Waiting List</w:t>
      </w:r>
      <w:bookmarkEnd w:id="108"/>
      <w:bookmarkEnd w:id="109"/>
      <w:bookmarkEnd w:id="110"/>
    </w:p>
    <w:p w14:paraId="1C04712F" w14:textId="77777777" w:rsidR="00AB381D" w:rsidRDefault="00AB381D" w:rsidP="00AB381D">
      <w:pPr>
        <w:pStyle w:val="00Normal"/>
        <w:spacing w:after="160" w:line="259" w:lineRule="auto"/>
        <w:rPr>
          <w:rFonts w:cstheme="minorBidi"/>
          <w:kern w:val="2"/>
          <w:sz w:val="22"/>
          <w:szCs w:val="22"/>
          <w14:ligatures w14:val="standardContextual"/>
        </w:rPr>
      </w:pPr>
      <w:r w:rsidRPr="00AB381D">
        <w:rPr>
          <w:rFonts w:cstheme="minorBidi"/>
          <w:kern w:val="2"/>
          <w:sz w:val="22"/>
          <w:szCs w:val="22"/>
          <w14:ligatures w14:val="standardContextual"/>
        </w:rPr>
        <w:t>An applican</w:t>
      </w:r>
      <w:r>
        <w:rPr>
          <w:rFonts w:cstheme="minorBidi"/>
          <w:kern w:val="2"/>
          <w:sz w:val="22"/>
          <w:szCs w:val="22"/>
          <w14:ligatures w14:val="standardContextual"/>
        </w:rPr>
        <w:t xml:space="preserve">t </w:t>
      </w:r>
      <w:r w:rsidR="00385439">
        <w:rPr>
          <w:rFonts w:cstheme="minorBidi"/>
          <w:kern w:val="2"/>
          <w:sz w:val="22"/>
          <w:szCs w:val="22"/>
          <w14:ligatures w14:val="standardContextual"/>
        </w:rPr>
        <w:t xml:space="preserve">may </w:t>
      </w:r>
      <w:r>
        <w:rPr>
          <w:rFonts w:cstheme="minorBidi"/>
          <w:kern w:val="2"/>
          <w:sz w:val="22"/>
          <w:szCs w:val="22"/>
          <w14:ligatures w14:val="standardContextual"/>
        </w:rPr>
        <w:t xml:space="preserve">be </w:t>
      </w:r>
      <w:r w:rsidR="00385439">
        <w:rPr>
          <w:rFonts w:cstheme="minorBidi"/>
          <w:kern w:val="2"/>
          <w:sz w:val="22"/>
          <w:szCs w:val="22"/>
          <w14:ligatures w14:val="standardContextual"/>
        </w:rPr>
        <w:t xml:space="preserve">withdrawn </w:t>
      </w:r>
      <w:r w:rsidR="00697E17">
        <w:rPr>
          <w:rFonts w:cstheme="minorBidi"/>
          <w:kern w:val="2"/>
          <w:sz w:val="22"/>
          <w:szCs w:val="22"/>
          <w14:ligatures w14:val="standardContextual"/>
        </w:rPr>
        <w:t xml:space="preserve">or removed </w:t>
      </w:r>
      <w:r w:rsidR="00385439">
        <w:rPr>
          <w:rFonts w:cstheme="minorBidi"/>
          <w:kern w:val="2"/>
          <w:sz w:val="22"/>
          <w:szCs w:val="22"/>
          <w14:ligatures w14:val="standardContextual"/>
        </w:rPr>
        <w:t xml:space="preserve">from the waiting due to specific circumstances. </w:t>
      </w:r>
      <w:r w:rsidR="00153B74">
        <w:rPr>
          <w:rFonts w:cstheme="minorBidi"/>
          <w:kern w:val="2"/>
          <w:sz w:val="22"/>
          <w:szCs w:val="22"/>
          <w14:ligatures w14:val="standardContextual"/>
        </w:rPr>
        <w:t xml:space="preserve">This section details the difference between a withdrawal </w:t>
      </w:r>
      <w:r w:rsidR="00697E17">
        <w:rPr>
          <w:rFonts w:cstheme="minorBidi"/>
          <w:kern w:val="2"/>
          <w:sz w:val="22"/>
          <w:szCs w:val="22"/>
          <w14:ligatures w14:val="standardContextual"/>
        </w:rPr>
        <w:t xml:space="preserve">and removal </w:t>
      </w:r>
      <w:r w:rsidR="00153B74">
        <w:rPr>
          <w:rFonts w:cstheme="minorBidi"/>
          <w:kern w:val="2"/>
          <w:sz w:val="22"/>
          <w:szCs w:val="22"/>
          <w14:ligatures w14:val="standardContextual"/>
        </w:rPr>
        <w:t>from the list</w:t>
      </w:r>
      <w:r w:rsidR="00DC76E0">
        <w:rPr>
          <w:rFonts w:cstheme="minorBidi"/>
          <w:kern w:val="2"/>
          <w:sz w:val="22"/>
          <w:szCs w:val="22"/>
          <w14:ligatures w14:val="standardContextual"/>
        </w:rPr>
        <w:t xml:space="preserve"> and the applicable circumstances for each.</w:t>
      </w:r>
    </w:p>
    <w:p w14:paraId="7176D7C3" w14:textId="77777777" w:rsidR="00317E92" w:rsidRDefault="00317E92" w:rsidP="00677451">
      <w:pPr>
        <w:pStyle w:val="Heading3"/>
      </w:pPr>
      <w:bookmarkStart w:id="111" w:name="_Ref156401690"/>
      <w:bookmarkStart w:id="112" w:name="_Toc200375499"/>
      <w:r>
        <w:t>Withdrawal from the Waiting List</w:t>
      </w:r>
      <w:bookmarkEnd w:id="111"/>
      <w:bookmarkEnd w:id="112"/>
    </w:p>
    <w:p w14:paraId="77403CD0" w14:textId="77777777" w:rsidR="00317E92" w:rsidRPr="00A04913" w:rsidRDefault="00317E92" w:rsidP="00317E92">
      <w:r w:rsidRPr="00A04913">
        <w:t xml:space="preserve">HHA will </w:t>
      </w:r>
      <w:r>
        <w:t>withdraw</w:t>
      </w:r>
      <w:r w:rsidRPr="00A04913">
        <w:t xml:space="preserve"> a family from the </w:t>
      </w:r>
      <w:r>
        <w:t xml:space="preserve">public housing </w:t>
      </w:r>
      <w:r w:rsidRPr="00A04913">
        <w:t xml:space="preserve">waiting list under the following circumstances: </w:t>
      </w:r>
    </w:p>
    <w:p w14:paraId="7669E3D5" w14:textId="77777777" w:rsidR="00317E92" w:rsidRDefault="00317E92" w:rsidP="00CB52D8">
      <w:pPr>
        <w:pStyle w:val="ListParagraph"/>
        <w:numPr>
          <w:ilvl w:val="0"/>
          <w:numId w:val="51"/>
        </w:numPr>
        <w:contextualSpacing w:val="0"/>
      </w:pPr>
      <w:r w:rsidRPr="00A04913">
        <w:t xml:space="preserve">The applicant requests removal of their name from the waiting list; </w:t>
      </w:r>
    </w:p>
    <w:p w14:paraId="57564E59" w14:textId="77777777" w:rsidR="00317E92" w:rsidRDefault="00317E92" w:rsidP="00CB52D8">
      <w:pPr>
        <w:pStyle w:val="ListParagraph"/>
        <w:numPr>
          <w:ilvl w:val="0"/>
          <w:numId w:val="51"/>
        </w:numPr>
        <w:contextualSpacing w:val="0"/>
      </w:pPr>
      <w:r w:rsidRPr="00A04913">
        <w:t xml:space="preserve">The applicant fails to respond to a written request to supply information to </w:t>
      </w:r>
      <w:r>
        <w:t>H</w:t>
      </w:r>
      <w:r w:rsidRPr="00A04913">
        <w:t>HA within an applicable time parameter</w:t>
      </w:r>
      <w:r w:rsidR="00941AAA">
        <w:t xml:space="preserve"> prior to </w:t>
      </w:r>
      <w:r w:rsidR="000C2334">
        <w:t>an eligibility determination being made for the family</w:t>
      </w:r>
      <w:r w:rsidRPr="00A04913">
        <w:t xml:space="preserve">; </w:t>
      </w:r>
      <w:r w:rsidR="00645BA3">
        <w:t>or</w:t>
      </w:r>
    </w:p>
    <w:p w14:paraId="2508A2CC" w14:textId="77777777" w:rsidR="00317E92" w:rsidRPr="00A04913" w:rsidRDefault="00317E92" w:rsidP="00CB52D8">
      <w:pPr>
        <w:pStyle w:val="ListParagraph"/>
        <w:numPr>
          <w:ilvl w:val="0"/>
          <w:numId w:val="51"/>
        </w:numPr>
        <w:contextualSpacing w:val="0"/>
      </w:pPr>
      <w:r>
        <w:t>The applicant fails to respond to a scheduled appointment at HHA (HHA may grant a second appointment upon request)</w:t>
      </w:r>
      <w:r w:rsidR="00645BA3">
        <w:t xml:space="preserve"> prior to an eligibility determination being made for the family.</w:t>
      </w:r>
    </w:p>
    <w:p w14:paraId="575A2641" w14:textId="77777777" w:rsidR="00317E92" w:rsidRDefault="00D02255" w:rsidP="00317E92">
      <w:r>
        <w:t>F</w:t>
      </w:r>
      <w:r w:rsidR="00317E92">
        <w:t xml:space="preserve">amilies </w:t>
      </w:r>
      <w:r w:rsidR="000D73A7">
        <w:t>will not be notified of their withdrawal from the public housing waiting list</w:t>
      </w:r>
      <w:r>
        <w:t xml:space="preserve">. In these cases, HHA </w:t>
      </w:r>
      <w:r w:rsidR="008346BA">
        <w:t>is</w:t>
      </w:r>
      <w:r>
        <w:t xml:space="preserve"> unable to make an eligibility determination on behalf of the applicant</w:t>
      </w:r>
      <w:r w:rsidR="00706EB2">
        <w:t xml:space="preserve">. </w:t>
      </w:r>
      <w:r w:rsidR="008B48B8">
        <w:t>A</w:t>
      </w:r>
      <w:r w:rsidR="002A58F6">
        <w:t>pplicants who are withdrawn from the waiting list have no informal hearing rights.</w:t>
      </w:r>
      <w:r w:rsidR="00DB4966">
        <w:t xml:space="preserve"> </w:t>
      </w:r>
      <w:r w:rsidR="001D684F">
        <w:t xml:space="preserve">However, at its sole discretion, HHA may consider mitigating circumstances </w:t>
      </w:r>
      <w:r w:rsidR="00132696">
        <w:t xml:space="preserve">on a case-by-case basis </w:t>
      </w:r>
      <w:r w:rsidR="007D7854">
        <w:t>as to whether a family withdrawn from the waiting list</w:t>
      </w:r>
      <w:r w:rsidR="0030760B">
        <w:t xml:space="preserve"> may</w:t>
      </w:r>
      <w:r w:rsidR="007D7854">
        <w:t xml:space="preserve"> be reinstated</w:t>
      </w:r>
      <w:r w:rsidR="00821C7E">
        <w:t>; HHA’s</w:t>
      </w:r>
      <w:r w:rsidR="00C73255">
        <w:t xml:space="preserve"> decision on this matter is not subject to an informal hearing</w:t>
      </w:r>
      <w:r w:rsidR="007F7DD9">
        <w:t>.</w:t>
      </w:r>
      <w:r w:rsidR="007D7854">
        <w:t xml:space="preserve"> </w:t>
      </w:r>
    </w:p>
    <w:p w14:paraId="387A63A8" w14:textId="77777777" w:rsidR="004B5339" w:rsidRDefault="00912064" w:rsidP="00677451">
      <w:pPr>
        <w:pStyle w:val="Heading3"/>
      </w:pPr>
      <w:bookmarkStart w:id="113" w:name="_Ref163642868"/>
      <w:bookmarkStart w:id="114" w:name="_Toc200375500"/>
      <w:r>
        <w:t>Removal from the Waiting List</w:t>
      </w:r>
      <w:bookmarkEnd w:id="113"/>
      <w:bookmarkEnd w:id="114"/>
    </w:p>
    <w:p w14:paraId="4A4DE7EA" w14:textId="77777777" w:rsidR="002A39C1" w:rsidRPr="00AB381D" w:rsidRDefault="002A39C1" w:rsidP="000B4DE6">
      <w:pPr>
        <w:pStyle w:val="00Normal"/>
        <w:spacing w:after="160" w:line="259" w:lineRule="auto"/>
        <w:jc w:val="both"/>
        <w:rPr>
          <w:rFonts w:cstheme="minorBidi"/>
          <w:kern w:val="2"/>
          <w:sz w:val="22"/>
          <w:szCs w:val="22"/>
          <w14:ligatures w14:val="standardContextual"/>
        </w:rPr>
      </w:pPr>
      <w:r w:rsidRPr="00AB381D">
        <w:rPr>
          <w:rFonts w:cstheme="minorBidi"/>
          <w:kern w:val="2"/>
          <w:sz w:val="22"/>
          <w:szCs w:val="22"/>
          <w14:ligatures w14:val="standardContextual"/>
        </w:rPr>
        <w:t xml:space="preserve">Applicants shall be removed from the waiting list </w:t>
      </w:r>
      <w:r w:rsidR="00DC76E0">
        <w:rPr>
          <w:rFonts w:cstheme="minorBidi"/>
          <w:kern w:val="2"/>
          <w:sz w:val="22"/>
          <w:szCs w:val="22"/>
          <w14:ligatures w14:val="standardContextual"/>
        </w:rPr>
        <w:t>when</w:t>
      </w:r>
      <w:r w:rsidR="00E7124A">
        <w:rPr>
          <w:rFonts w:cstheme="minorBidi"/>
          <w:kern w:val="2"/>
          <w:sz w:val="22"/>
          <w:szCs w:val="22"/>
          <w14:ligatures w14:val="standardContextual"/>
        </w:rPr>
        <w:t xml:space="preserve"> their eligibility for the public housing program has been determined</w:t>
      </w:r>
      <w:r w:rsidR="007743BD">
        <w:rPr>
          <w:rFonts w:cstheme="minorBidi"/>
          <w:kern w:val="2"/>
          <w:sz w:val="22"/>
          <w:szCs w:val="22"/>
          <w14:ligatures w14:val="standardContextual"/>
        </w:rPr>
        <w:t xml:space="preserve"> as described in the chapter </w:t>
      </w:r>
      <w:r w:rsidR="007743BD" w:rsidRPr="000B4DE6">
        <w:rPr>
          <w:rFonts w:cstheme="minorBidi"/>
          <w:kern w:val="2"/>
          <w:sz w:val="22"/>
          <w:szCs w:val="22"/>
          <w14:ligatures w14:val="standardContextual"/>
        </w:rPr>
        <w:t xml:space="preserve">on </w:t>
      </w:r>
      <w:r w:rsidR="00F4424D" w:rsidRPr="00F4424D">
        <w:rPr>
          <w:rFonts w:cstheme="minorBidi"/>
          <w:b/>
          <w:bCs/>
          <w:color w:val="0070C0"/>
          <w:kern w:val="2"/>
          <w:sz w:val="22"/>
          <w:szCs w:val="22"/>
          <w14:ligatures w14:val="standardContextual"/>
        </w:rPr>
        <w:fldChar w:fldCharType="begin"/>
      </w:r>
      <w:r w:rsidR="00F4424D" w:rsidRPr="00F4424D">
        <w:rPr>
          <w:rFonts w:cstheme="minorBidi"/>
          <w:b/>
          <w:bCs/>
          <w:color w:val="0070C0"/>
          <w:kern w:val="2"/>
          <w:sz w:val="22"/>
          <w:szCs w:val="22"/>
          <w14:ligatures w14:val="standardContextual"/>
        </w:rPr>
        <w:instrText xml:space="preserve"> REF _Ref145412251 \h  \* MERGEFORMAT </w:instrText>
      </w:r>
      <w:r w:rsidR="00F4424D" w:rsidRPr="00F4424D">
        <w:rPr>
          <w:rFonts w:cstheme="minorBidi"/>
          <w:b/>
          <w:bCs/>
          <w:color w:val="0070C0"/>
          <w:kern w:val="2"/>
          <w:sz w:val="22"/>
          <w:szCs w:val="22"/>
          <w14:ligatures w14:val="standardContextual"/>
        </w:rPr>
      </w:r>
      <w:r w:rsidR="00F4424D" w:rsidRPr="00F4424D">
        <w:rPr>
          <w:rFonts w:cstheme="minorBidi"/>
          <w:b/>
          <w:bCs/>
          <w:color w:val="0070C0"/>
          <w:kern w:val="2"/>
          <w:sz w:val="22"/>
          <w:szCs w:val="22"/>
          <w14:ligatures w14:val="standardContextual"/>
        </w:rPr>
        <w:fldChar w:fldCharType="separate"/>
      </w:r>
      <w:r w:rsidR="00F4424D" w:rsidRPr="00F4424D">
        <w:rPr>
          <w:b/>
          <w:bCs/>
          <w:color w:val="0070C0"/>
          <w:sz w:val="22"/>
          <w:szCs w:val="22"/>
        </w:rPr>
        <w:t>ELIGIBILITY</w:t>
      </w:r>
      <w:r w:rsidR="00F4424D" w:rsidRPr="00F4424D">
        <w:rPr>
          <w:rFonts w:cstheme="minorBidi"/>
          <w:b/>
          <w:bCs/>
          <w:color w:val="0070C0"/>
          <w:kern w:val="2"/>
          <w:sz w:val="22"/>
          <w:szCs w:val="22"/>
          <w14:ligatures w14:val="standardContextual"/>
        </w:rPr>
        <w:fldChar w:fldCharType="end"/>
      </w:r>
      <w:r w:rsidR="00E7124A" w:rsidRPr="000B4DE6">
        <w:rPr>
          <w:rFonts w:cstheme="minorBidi"/>
          <w:kern w:val="2"/>
          <w:sz w:val="22"/>
          <w:szCs w:val="22"/>
          <w14:ligatures w14:val="standardContextual"/>
        </w:rPr>
        <w:t>. This</w:t>
      </w:r>
      <w:r w:rsidR="00E7124A">
        <w:rPr>
          <w:rFonts w:cstheme="minorBidi"/>
          <w:kern w:val="2"/>
          <w:sz w:val="22"/>
          <w:szCs w:val="22"/>
          <w14:ligatures w14:val="standardContextual"/>
        </w:rPr>
        <w:t xml:space="preserve"> may include</w:t>
      </w:r>
      <w:r w:rsidR="00C11590">
        <w:rPr>
          <w:rFonts w:cstheme="minorBidi"/>
          <w:kern w:val="2"/>
          <w:sz w:val="22"/>
          <w:szCs w:val="22"/>
          <w14:ligatures w14:val="standardContextual"/>
        </w:rPr>
        <w:t xml:space="preserve"> any one of the following:</w:t>
      </w:r>
    </w:p>
    <w:p w14:paraId="29C6EB94" w14:textId="77777777" w:rsidR="00307108" w:rsidRDefault="00C11590" w:rsidP="007F177E">
      <w:pPr>
        <w:pStyle w:val="ListParagraph"/>
        <w:widowControl w:val="0"/>
        <w:numPr>
          <w:ilvl w:val="0"/>
          <w:numId w:val="179"/>
        </w:numPr>
        <w:tabs>
          <w:tab w:val="left" w:pos="1241"/>
        </w:tabs>
        <w:autoSpaceDE w:val="0"/>
        <w:autoSpaceDN w:val="0"/>
        <w:contextualSpacing w:val="0"/>
      </w:pPr>
      <w:r>
        <w:t>The family has</w:t>
      </w:r>
      <w:r w:rsidR="002A39C1" w:rsidRPr="004B5339">
        <w:t xml:space="preserve"> been </w:t>
      </w:r>
      <w:r w:rsidR="00374D5C">
        <w:t>admitted to the public housing program</w:t>
      </w:r>
      <w:r w:rsidR="00D81FE5">
        <w:t xml:space="preserve"> and</w:t>
      </w:r>
      <w:r w:rsidR="00307108">
        <w:t>:</w:t>
      </w:r>
    </w:p>
    <w:p w14:paraId="4F485200" w14:textId="77777777" w:rsidR="00307108" w:rsidRDefault="00307108" w:rsidP="007F177E">
      <w:pPr>
        <w:pStyle w:val="ListParagraph"/>
        <w:widowControl w:val="0"/>
        <w:numPr>
          <w:ilvl w:val="1"/>
          <w:numId w:val="179"/>
        </w:numPr>
        <w:tabs>
          <w:tab w:val="left" w:pos="1241"/>
        </w:tabs>
        <w:autoSpaceDE w:val="0"/>
        <w:autoSpaceDN w:val="0"/>
        <w:contextualSpacing w:val="0"/>
      </w:pPr>
      <w:r>
        <w:t>I</w:t>
      </w:r>
      <w:r w:rsidR="00D81FE5">
        <w:t>s housed</w:t>
      </w:r>
      <w:r w:rsidR="002533F0">
        <w:t xml:space="preserve"> in the public housing program</w:t>
      </w:r>
      <w:r w:rsidR="002747E9">
        <w:t>,</w:t>
      </w:r>
    </w:p>
    <w:p w14:paraId="247E9D8C" w14:textId="77777777" w:rsidR="00307108" w:rsidRDefault="00307108" w:rsidP="007F177E">
      <w:pPr>
        <w:pStyle w:val="ListParagraph"/>
        <w:widowControl w:val="0"/>
        <w:numPr>
          <w:ilvl w:val="1"/>
          <w:numId w:val="179"/>
        </w:numPr>
        <w:tabs>
          <w:tab w:val="left" w:pos="1241"/>
        </w:tabs>
        <w:autoSpaceDE w:val="0"/>
        <w:autoSpaceDN w:val="0"/>
        <w:contextualSpacing w:val="0"/>
      </w:pPr>
      <w:r>
        <w:t>Fails to respond to a scheduled appointment</w:t>
      </w:r>
      <w:r w:rsidR="00F21CF6">
        <w:t xml:space="preserve"> (HHA may grant a second appointment upon request)</w:t>
      </w:r>
      <w:r w:rsidR="000C5CCE">
        <w:t xml:space="preserve"> after eligibility has been determined</w:t>
      </w:r>
      <w:r w:rsidR="002747E9">
        <w:t>,</w:t>
      </w:r>
      <w:r>
        <w:t xml:space="preserve"> or</w:t>
      </w:r>
    </w:p>
    <w:p w14:paraId="286ECBA4" w14:textId="77777777" w:rsidR="002A39C1" w:rsidRPr="004B5339" w:rsidRDefault="00307108" w:rsidP="007F177E">
      <w:pPr>
        <w:pStyle w:val="ListParagraph"/>
        <w:widowControl w:val="0"/>
        <w:numPr>
          <w:ilvl w:val="1"/>
          <w:numId w:val="179"/>
        </w:numPr>
        <w:tabs>
          <w:tab w:val="left" w:pos="1241"/>
        </w:tabs>
        <w:autoSpaceDE w:val="0"/>
        <w:autoSpaceDN w:val="0"/>
        <w:contextualSpacing w:val="0"/>
      </w:pPr>
      <w:r>
        <w:t>F</w:t>
      </w:r>
      <w:r w:rsidR="00D81FE5">
        <w:t>ails to lease up</w:t>
      </w:r>
      <w:r w:rsidR="00F21CF6">
        <w:t xml:space="preserve"> after accepting a unit</w:t>
      </w:r>
      <w:r w:rsidR="00D81FE5">
        <w:t>; or</w:t>
      </w:r>
    </w:p>
    <w:p w14:paraId="3D872CDE" w14:textId="77777777" w:rsidR="00D81FE5" w:rsidRPr="004B5339" w:rsidRDefault="002A39C1" w:rsidP="007F177E">
      <w:pPr>
        <w:pStyle w:val="ListParagraph"/>
        <w:widowControl w:val="0"/>
        <w:numPr>
          <w:ilvl w:val="0"/>
          <w:numId w:val="179"/>
        </w:numPr>
        <w:tabs>
          <w:tab w:val="left" w:pos="1240"/>
          <w:tab w:val="left" w:pos="1241"/>
        </w:tabs>
        <w:autoSpaceDE w:val="0"/>
        <w:autoSpaceDN w:val="0"/>
        <w:contextualSpacing w:val="0"/>
      </w:pPr>
      <w:r w:rsidRPr="004B5339">
        <w:t>The</w:t>
      </w:r>
      <w:r w:rsidR="00C11590">
        <w:t xml:space="preserve"> family has </w:t>
      </w:r>
      <w:r w:rsidR="009032D8">
        <w:t>been denied admission to the program</w:t>
      </w:r>
      <w:r w:rsidR="00D81FE5">
        <w:t>.</w:t>
      </w:r>
    </w:p>
    <w:p w14:paraId="05D115C5" w14:textId="77777777" w:rsidR="005422CD" w:rsidRDefault="005422CD" w:rsidP="005422CD">
      <w:r w:rsidRPr="00A04913">
        <w:t xml:space="preserve">If a family is removed from the waiting list because </w:t>
      </w:r>
      <w:r>
        <w:t>H</w:t>
      </w:r>
      <w:r w:rsidRPr="00A04913">
        <w:t>HA has determined the family is not eligible for assistance</w:t>
      </w:r>
      <w:r w:rsidR="005256A5">
        <w:t>,</w:t>
      </w:r>
      <w:r>
        <w:t xml:space="preserve"> did not respond to a scheduled appointment</w:t>
      </w:r>
      <w:r w:rsidR="00D43A59">
        <w:t xml:space="preserve"> after eligibility was determined</w:t>
      </w:r>
      <w:r w:rsidRPr="00A04913">
        <w:t>,</w:t>
      </w:r>
      <w:r w:rsidR="005256A5">
        <w:t xml:space="preserve"> or failed to lease up</w:t>
      </w:r>
      <w:r w:rsidR="00AF2F55">
        <w:t xml:space="preserve"> after </w:t>
      </w:r>
      <w:r w:rsidR="00962817">
        <w:t>being offered a unit</w:t>
      </w:r>
      <w:r w:rsidR="005256A5">
        <w:t>,</w:t>
      </w:r>
      <w:r w:rsidRPr="00A04913">
        <w:t xml:space="preserve"> a notice will be sent to the family’s address of record as well as to any alternate address provided on the initial application. The notice will state the reasons the family was removed from the waiting list and will inform the family how to request an informal review regarding </w:t>
      </w:r>
      <w:r>
        <w:t>H</w:t>
      </w:r>
      <w:r w:rsidRPr="00A04913">
        <w:t xml:space="preserve">HA’s decision. See </w:t>
      </w:r>
      <w:r>
        <w:t>H</w:t>
      </w:r>
      <w:r w:rsidRPr="00A04913">
        <w:t xml:space="preserve">HA policies on </w:t>
      </w:r>
      <w:r w:rsidR="00845961" w:rsidRPr="00845961">
        <w:rPr>
          <w:b/>
          <w:bCs/>
          <w:color w:val="0070C0"/>
        </w:rPr>
        <w:fldChar w:fldCharType="begin"/>
      </w:r>
      <w:r w:rsidR="00845961" w:rsidRPr="00845961">
        <w:rPr>
          <w:b/>
          <w:bCs/>
          <w:color w:val="0070C0"/>
        </w:rPr>
        <w:instrText xml:space="preserve"> REF _Ref488211622 \h </w:instrText>
      </w:r>
      <w:r w:rsidR="00845961">
        <w:rPr>
          <w:b/>
          <w:bCs/>
          <w:color w:val="0070C0"/>
        </w:rPr>
        <w:instrText xml:space="preserve"> \* MERGEFORMAT </w:instrText>
      </w:r>
      <w:r w:rsidR="00845961" w:rsidRPr="00845961">
        <w:rPr>
          <w:b/>
          <w:bCs/>
          <w:color w:val="0070C0"/>
        </w:rPr>
      </w:r>
      <w:r w:rsidR="00845961" w:rsidRPr="00845961">
        <w:rPr>
          <w:b/>
          <w:bCs/>
          <w:color w:val="0070C0"/>
        </w:rPr>
        <w:fldChar w:fldCharType="separate"/>
      </w:r>
      <w:r w:rsidR="00845961" w:rsidRPr="00845961">
        <w:rPr>
          <w:b/>
          <w:bCs/>
          <w:color w:val="0070C0"/>
        </w:rPr>
        <w:t>Informal Hearings for Applicants</w:t>
      </w:r>
      <w:r w:rsidR="00845961" w:rsidRPr="00845961">
        <w:rPr>
          <w:b/>
          <w:bCs/>
          <w:color w:val="0070C0"/>
        </w:rPr>
        <w:fldChar w:fldCharType="end"/>
      </w:r>
      <w:r w:rsidR="00845961">
        <w:t xml:space="preserve"> </w:t>
      </w:r>
      <w:r w:rsidRPr="00A04913">
        <w:t>for applicants who are removed from the waiting list.</w:t>
      </w:r>
    </w:p>
    <w:p w14:paraId="413CE73B" w14:textId="77777777" w:rsidR="000D73A7" w:rsidRPr="00A04913" w:rsidRDefault="000D73A7" w:rsidP="000D73A7">
      <w:r>
        <w:t>H</w:t>
      </w:r>
      <w:r w:rsidRPr="00A04913">
        <w:t xml:space="preserve">HA will not </w:t>
      </w:r>
      <w:r>
        <w:t>withdraw</w:t>
      </w:r>
      <w:r w:rsidR="00AF2F55">
        <w:t xml:space="preserve"> or remove</w:t>
      </w:r>
      <w:r w:rsidRPr="00A04913">
        <w:t xml:space="preserve"> an applicant from any other</w:t>
      </w:r>
      <w:r>
        <w:t xml:space="preserve"> HHA non-public housing</w:t>
      </w:r>
      <w:r w:rsidRPr="00A04913">
        <w:t xml:space="preserve"> </w:t>
      </w:r>
      <w:r>
        <w:t>w</w:t>
      </w:r>
      <w:r w:rsidRPr="00A04913">
        <w:t>aiting lists when housed under the public housing program</w:t>
      </w:r>
      <w:r>
        <w:t>.</w:t>
      </w:r>
    </w:p>
    <w:p w14:paraId="587F92E8" w14:textId="77777777" w:rsidR="004C7F9C" w:rsidRPr="00756A51" w:rsidRDefault="004C7F9C" w:rsidP="00756A51">
      <w:pPr>
        <w:pStyle w:val="Heading2"/>
      </w:pPr>
      <w:bookmarkStart w:id="115" w:name="_Toc173222641"/>
      <w:bookmarkStart w:id="116" w:name="_Toc200375501"/>
      <w:bookmarkStart w:id="117" w:name="_Toc200376907"/>
      <w:r w:rsidRPr="00756A51">
        <w:t>Income Targeting</w:t>
      </w:r>
      <w:bookmarkEnd w:id="115"/>
      <w:bookmarkEnd w:id="116"/>
      <w:bookmarkEnd w:id="117"/>
    </w:p>
    <w:p w14:paraId="3133AB45" w14:textId="77777777" w:rsidR="009E701D" w:rsidRPr="009E701D" w:rsidRDefault="009E701D" w:rsidP="009E701D">
      <w:r>
        <w:t>H</w:t>
      </w:r>
      <w:r w:rsidRPr="009E701D">
        <w:t xml:space="preserve">HA will ensure that extremely low-income (ELI) families make up at least 40 percent of the families admitted to the public housing program during </w:t>
      </w:r>
      <w:r w:rsidR="00202E26">
        <w:t>H</w:t>
      </w:r>
      <w:r w:rsidRPr="009E701D">
        <w:t>HA’s fiscal year. ELI families are those with annual incomes at or below the federal poverty level or 30 percent of the area median income, whichever number is higher.</w:t>
      </w:r>
    </w:p>
    <w:p w14:paraId="263E3981" w14:textId="77777777" w:rsidR="009E701D" w:rsidRPr="0066443C" w:rsidRDefault="009E701D" w:rsidP="009E701D">
      <w:pPr>
        <w:rPr>
          <w:rFonts w:cs="Arial"/>
          <w:szCs w:val="20"/>
        </w:rPr>
      </w:pPr>
      <w:r>
        <w:t>H</w:t>
      </w:r>
      <w:r w:rsidRPr="009E701D">
        <w:t>HA will monitor progress in meeting the income targeting requirements throughout the fiscal year. Extremely low-income families will be selected ahead of other eligible families on an as-</w:t>
      </w:r>
      <w:r w:rsidRPr="00122C89">
        <w:rPr>
          <w:rFonts w:cs="Arial"/>
          <w:szCs w:val="20"/>
        </w:rPr>
        <w:t>needed basis to ensure the income targeting requirement is met.</w:t>
      </w:r>
    </w:p>
    <w:p w14:paraId="3C30CF9F" w14:textId="77777777" w:rsidR="004C7F9C" w:rsidRDefault="004C7F9C" w:rsidP="00BB64BD">
      <w:pPr>
        <w:pStyle w:val="Heading2"/>
      </w:pPr>
      <w:bookmarkStart w:id="118" w:name="_Ref160548555"/>
      <w:bookmarkStart w:id="119" w:name="_Toc173222642"/>
      <w:bookmarkStart w:id="120" w:name="_Toc200375502"/>
      <w:bookmarkStart w:id="121" w:name="_Toc200376908"/>
      <w:r>
        <w:t>Deconcentration of Poverty</w:t>
      </w:r>
      <w:r w:rsidR="00943977">
        <w:t xml:space="preserve"> and Income Mixing</w:t>
      </w:r>
      <w:bookmarkEnd w:id="118"/>
      <w:bookmarkEnd w:id="119"/>
      <w:bookmarkEnd w:id="120"/>
      <w:bookmarkEnd w:id="121"/>
    </w:p>
    <w:p w14:paraId="3799E4B9" w14:textId="77777777" w:rsidR="005F503A" w:rsidRPr="005F503A" w:rsidRDefault="005F503A" w:rsidP="005F503A">
      <w:r w:rsidRPr="005F503A">
        <w:t>If at any time, one of HHA’s properties has an average tenant income greater than 15 percent higher than the Authority-wide average income, extremely low and very low-income applicants will be targeted for admission until it is within 15 percent of the Authority-wide average income. This requirement neither requires nor permits the transfer of families to achieve deconcentration goals.</w:t>
      </w:r>
    </w:p>
    <w:p w14:paraId="25E85E82" w14:textId="77777777" w:rsidR="00202E26" w:rsidRDefault="00202E26" w:rsidP="00202E26">
      <w:r w:rsidRPr="00C313BC">
        <w:t xml:space="preserve">Developments subject to </w:t>
      </w:r>
      <w:r>
        <w:t xml:space="preserve">the </w:t>
      </w:r>
      <w:r w:rsidRPr="00C313BC">
        <w:t xml:space="preserve">deconcentration requirement are referred to as </w:t>
      </w:r>
      <w:r w:rsidRPr="00202E26">
        <w:rPr>
          <w:i/>
          <w:iCs/>
        </w:rPr>
        <w:t>covered developments</w:t>
      </w:r>
      <w:r w:rsidRPr="00C313BC">
        <w:t xml:space="preserve"> and include general occupancy (family) public housing developments. </w:t>
      </w:r>
    </w:p>
    <w:p w14:paraId="5E7E57C6" w14:textId="77777777" w:rsidR="00202E26" w:rsidRPr="006B56F5" w:rsidRDefault="00202E26" w:rsidP="00202E26">
      <w:r w:rsidRPr="006B56F5">
        <w:t xml:space="preserve">To implement </w:t>
      </w:r>
      <w:r>
        <w:t>the</w:t>
      </w:r>
      <w:r w:rsidRPr="006B56F5">
        <w:t xml:space="preserve"> statutory requirement to deconcentrate poverty and provide for income mixing in covered developments,</w:t>
      </w:r>
      <w:r>
        <w:t xml:space="preserve"> HHA will complete the following:</w:t>
      </w:r>
    </w:p>
    <w:p w14:paraId="2FFA29C3" w14:textId="77777777" w:rsidR="00202E26" w:rsidRDefault="00202E26" w:rsidP="007F177E">
      <w:pPr>
        <w:pStyle w:val="ListParagraph"/>
        <w:numPr>
          <w:ilvl w:val="0"/>
          <w:numId w:val="213"/>
        </w:numPr>
        <w:contextualSpacing w:val="0"/>
      </w:pPr>
      <w:r>
        <w:t>Determine the average income of all families in all covered developments, without adjusting for unit size, on an annual basis;</w:t>
      </w:r>
    </w:p>
    <w:p w14:paraId="2B20E7B9" w14:textId="77777777" w:rsidR="00AB789E" w:rsidRDefault="00202E26" w:rsidP="007F177E">
      <w:pPr>
        <w:pStyle w:val="ListParagraph"/>
        <w:numPr>
          <w:ilvl w:val="0"/>
          <w:numId w:val="213"/>
        </w:numPr>
        <w:contextualSpacing w:val="0"/>
      </w:pPr>
      <w:r>
        <w:t>D</w:t>
      </w:r>
      <w:r w:rsidRPr="006B56F5">
        <w:t>etermine whe</w:t>
      </w:r>
      <w:r>
        <w:t>the</w:t>
      </w:r>
      <w:r w:rsidRPr="006B56F5">
        <w:t>r each of its covered developments falls above, within</w:t>
      </w:r>
      <w:r>
        <w:t>,</w:t>
      </w:r>
      <w:r w:rsidRPr="006B56F5">
        <w:t xml:space="preserve"> or below </w:t>
      </w:r>
      <w:r>
        <w:t>the</w:t>
      </w:r>
      <w:r w:rsidRPr="006B56F5">
        <w:t xml:space="preserve"> </w:t>
      </w:r>
      <w:r>
        <w:t>e</w:t>
      </w:r>
      <w:r w:rsidRPr="006B56F5">
        <w:t xml:space="preserve">stablished </w:t>
      </w:r>
      <w:r>
        <w:t>i</w:t>
      </w:r>
      <w:r w:rsidRPr="006B56F5">
        <w:t xml:space="preserve">ncome </w:t>
      </w:r>
      <w:r>
        <w:t>r</w:t>
      </w:r>
      <w:r w:rsidRPr="006B56F5">
        <w:t>ange</w:t>
      </w:r>
      <w:r>
        <w:t xml:space="preserve"> (EIR), which is</w:t>
      </w:r>
      <w:r w:rsidRPr="006B56F5">
        <w:t xml:space="preserve"> from 85 to 115</w:t>
      </w:r>
      <w:r>
        <w:t xml:space="preserve"> percent</w:t>
      </w:r>
      <w:r w:rsidRPr="006B56F5">
        <w:t xml:space="preserve"> of </w:t>
      </w:r>
      <w:r>
        <w:t>the</w:t>
      </w:r>
      <w:r w:rsidRPr="006B56F5">
        <w:t xml:space="preserve"> average family income</w:t>
      </w:r>
      <w:r w:rsidR="00AB789E">
        <w:t>;</w:t>
      </w:r>
      <w:r>
        <w:t xml:space="preserve"> </w:t>
      </w:r>
    </w:p>
    <w:p w14:paraId="28665B6E" w14:textId="77777777" w:rsidR="00202E26" w:rsidRDefault="00AB789E" w:rsidP="007F177E">
      <w:pPr>
        <w:pStyle w:val="ListParagraph"/>
        <w:numPr>
          <w:ilvl w:val="1"/>
          <w:numId w:val="214"/>
        </w:numPr>
        <w:contextualSpacing w:val="0"/>
      </w:pPr>
      <w:r>
        <w:t>T</w:t>
      </w:r>
      <w:r w:rsidR="00202E26">
        <w:t>he</w:t>
      </w:r>
      <w:r w:rsidR="00202E26" w:rsidRPr="006B56F5">
        <w:t xml:space="preserve"> upper limit </w:t>
      </w:r>
      <w:r w:rsidR="00202E26">
        <w:t>must</w:t>
      </w:r>
      <w:r w:rsidR="00202E26" w:rsidRPr="006B56F5">
        <w:t xml:space="preserve"> never be less than </w:t>
      </w:r>
      <w:r w:rsidR="00202E26">
        <w:t>the</w:t>
      </w:r>
      <w:r w:rsidR="00202E26" w:rsidRPr="006B56F5">
        <w:t xml:space="preserve"> income at which a family would be defined as an extremely low</w:t>
      </w:r>
      <w:r w:rsidR="00202E26">
        <w:t>-</w:t>
      </w:r>
      <w:r w:rsidR="00202E26" w:rsidRPr="006B56F5">
        <w:t>income family</w:t>
      </w:r>
      <w:r w:rsidR="00202E26">
        <w:t xml:space="preserve"> (federal poverty level or 30 percent of median income, whichever number is higher)</w:t>
      </w:r>
      <w:r>
        <w:t>;</w:t>
      </w:r>
    </w:p>
    <w:p w14:paraId="79CE5FC7" w14:textId="77777777" w:rsidR="00202E26" w:rsidRDefault="00202E26" w:rsidP="007F177E">
      <w:pPr>
        <w:pStyle w:val="ListParagraph"/>
        <w:numPr>
          <w:ilvl w:val="0"/>
          <w:numId w:val="213"/>
        </w:numPr>
        <w:contextualSpacing w:val="0"/>
      </w:pPr>
      <w:r>
        <w:t>Where a covered development has an average income outside of the EIR</w:t>
      </w:r>
      <w:r w:rsidR="00AB789E">
        <w:t xml:space="preserve">, </w:t>
      </w:r>
      <w:r w:rsidRPr="00AF0425">
        <w:t>determine whe</w:t>
      </w:r>
      <w:r>
        <w:t>the</w:t>
      </w:r>
      <w:r w:rsidRPr="00AF0425">
        <w:t xml:space="preserve">r or not </w:t>
      </w:r>
      <w:r>
        <w:t>the</w:t>
      </w:r>
      <w:r w:rsidRPr="00AF0425">
        <w:t xml:space="preserve">se developments are consistent with </w:t>
      </w:r>
      <w:r>
        <w:t>its local goals and annual plan</w:t>
      </w:r>
      <w:r w:rsidR="00AB789E">
        <w:t>;</w:t>
      </w:r>
      <w:r w:rsidR="00EB5860">
        <w:t xml:space="preserve"> and</w:t>
      </w:r>
    </w:p>
    <w:p w14:paraId="7D3D46CE" w14:textId="77777777" w:rsidR="00202E26" w:rsidRDefault="00202E26" w:rsidP="007F177E">
      <w:pPr>
        <w:pStyle w:val="ListParagraph"/>
        <w:numPr>
          <w:ilvl w:val="0"/>
          <w:numId w:val="213"/>
        </w:numPr>
        <w:contextualSpacing w:val="0"/>
      </w:pPr>
      <w:r w:rsidRPr="00AF0425">
        <w:t xml:space="preserve">Where </w:t>
      </w:r>
      <w:r>
        <w:t>the</w:t>
      </w:r>
      <w:r w:rsidRPr="00AF0425">
        <w:t xml:space="preserve"> income profile for a covered development is not explained or justified in </w:t>
      </w:r>
      <w:r>
        <w:t>the</w:t>
      </w:r>
      <w:r w:rsidRPr="00AF0425">
        <w:t xml:space="preserve"> </w:t>
      </w:r>
      <w:r>
        <w:t>a</w:t>
      </w:r>
      <w:r w:rsidRPr="00AF0425">
        <w:t xml:space="preserve">nnual </w:t>
      </w:r>
      <w:r>
        <w:t>p</w:t>
      </w:r>
      <w:r w:rsidRPr="00AF0425">
        <w:t xml:space="preserve">lan submission, </w:t>
      </w:r>
      <w:r>
        <w:t>include</w:t>
      </w:r>
      <w:r w:rsidRPr="00AF0425">
        <w:t xml:space="preserve"> in </w:t>
      </w:r>
      <w:r w:rsidR="00EB5860">
        <w:t>HHA’s</w:t>
      </w:r>
      <w:r w:rsidRPr="00AF0425">
        <w:t xml:space="preserve"> admission policy its specific policy to provide for deconcentration</w:t>
      </w:r>
      <w:r>
        <w:t xml:space="preserve"> of poverty and income mixing.</w:t>
      </w:r>
    </w:p>
    <w:p w14:paraId="32D2543C" w14:textId="77777777" w:rsidR="00E42042" w:rsidRDefault="001C3756" w:rsidP="00BB64BD">
      <w:pPr>
        <w:pStyle w:val="Heading2"/>
      </w:pPr>
      <w:bookmarkStart w:id="122" w:name="_Toc173222643"/>
      <w:bookmarkStart w:id="123" w:name="_Toc200375503"/>
      <w:bookmarkStart w:id="124" w:name="_Toc200376909"/>
      <w:r>
        <w:t>Selection Method</w:t>
      </w:r>
      <w:bookmarkEnd w:id="122"/>
      <w:bookmarkEnd w:id="123"/>
      <w:bookmarkEnd w:id="124"/>
    </w:p>
    <w:p w14:paraId="49F63DF7" w14:textId="77777777" w:rsidR="00BD4E6D" w:rsidRDefault="00BD4E6D" w:rsidP="001477AE">
      <w:r w:rsidRPr="003D2374">
        <w:t xml:space="preserve">Families will be selected from the waiting list in accordance with </w:t>
      </w:r>
      <w:r>
        <w:t>HHA’s</w:t>
      </w:r>
      <w:r w:rsidRPr="003D2374">
        <w:t xml:space="preserve"> hierarchy of preferences. HHA may limit the number of applicants who may qualify for any local preference. HHA will select families </w:t>
      </w:r>
      <w:r>
        <w:t>from the waiting list as follows:</w:t>
      </w:r>
    </w:p>
    <w:p w14:paraId="06B4011B" w14:textId="77777777" w:rsidR="00BD4E6D" w:rsidRDefault="00BD4E6D" w:rsidP="00CB52D8">
      <w:pPr>
        <w:pStyle w:val="ListParagraph"/>
        <w:numPr>
          <w:ilvl w:val="0"/>
          <w:numId w:val="53"/>
        </w:numPr>
        <w:contextualSpacing w:val="0"/>
      </w:pPr>
      <w:r w:rsidRPr="003D2374">
        <w:rPr>
          <w:b/>
          <w:bCs/>
        </w:rPr>
        <w:t>Local Preference Applicants</w:t>
      </w:r>
      <w:r>
        <w:t xml:space="preserve"> (see </w:t>
      </w:r>
      <w:hyperlink w:anchor="_Local_Preferences" w:history="1">
        <w:r w:rsidR="00A562BF" w:rsidRPr="00A562BF">
          <w:rPr>
            <w:rStyle w:val="OurLinksChar"/>
          </w:rPr>
          <w:fldChar w:fldCharType="begin"/>
        </w:r>
        <w:r w:rsidR="00A562BF" w:rsidRPr="00A562BF">
          <w:rPr>
            <w:rStyle w:val="OurLinksChar"/>
          </w:rPr>
          <w:instrText xml:space="preserve"> REF _Ref147153948 \h </w:instrText>
        </w:r>
        <w:r w:rsidR="00A562BF">
          <w:rPr>
            <w:rStyle w:val="OurLinksChar"/>
          </w:rPr>
          <w:instrText xml:space="preserve"> \* MERGEFORMAT </w:instrText>
        </w:r>
        <w:r w:rsidR="00A562BF" w:rsidRPr="00A562BF">
          <w:rPr>
            <w:rStyle w:val="OurLinksChar"/>
          </w:rPr>
        </w:r>
        <w:r w:rsidR="00A562BF" w:rsidRPr="00A562BF">
          <w:rPr>
            <w:rStyle w:val="OurLinksChar"/>
          </w:rPr>
          <w:fldChar w:fldCharType="separate"/>
        </w:r>
        <w:r w:rsidR="00A562BF" w:rsidRPr="00A562BF">
          <w:rPr>
            <w:rStyle w:val="OurLinksChar"/>
          </w:rPr>
          <w:t>Local Preferences</w:t>
        </w:r>
        <w:r w:rsidR="00A562BF" w:rsidRPr="00A562BF">
          <w:rPr>
            <w:rStyle w:val="OurLinksChar"/>
          </w:rPr>
          <w:fldChar w:fldCharType="end"/>
        </w:r>
      </w:hyperlink>
      <w:r>
        <w:t xml:space="preserve"> for more information)</w:t>
      </w:r>
    </w:p>
    <w:p w14:paraId="429B0A27" w14:textId="77777777" w:rsidR="00BD4E6D" w:rsidRDefault="00BD4E6D" w:rsidP="001477AE">
      <w:pPr>
        <w:ind w:left="720"/>
      </w:pPr>
      <w:r>
        <w:t xml:space="preserve">Applicants who qualify for any HHA Local Preference will be selected based first on their preference point total, then date and time of application. </w:t>
      </w:r>
    </w:p>
    <w:p w14:paraId="50E14D7D" w14:textId="77777777" w:rsidR="00BD4E6D" w:rsidRDefault="00BD4E6D" w:rsidP="001477AE">
      <w:pPr>
        <w:pStyle w:val="ListParagraph"/>
        <w:contextualSpacing w:val="0"/>
      </w:pPr>
      <w:r>
        <w:t>If it is determined at the time of program eligibility determination that an applicant does not qualify for a preference selected, the preference points for any non-qualified preference will be deducted and the applicant will be returned to the waiting list. The waiting list will then be reordered to move the applicant to their qualifying position based on any remaining preferences, then on date and time of application.</w:t>
      </w:r>
    </w:p>
    <w:p w14:paraId="6E668DA6" w14:textId="77777777" w:rsidR="00BD4E6D" w:rsidRPr="003D2374" w:rsidRDefault="00BD4E6D" w:rsidP="00CB52D8">
      <w:pPr>
        <w:pStyle w:val="ListParagraph"/>
        <w:numPr>
          <w:ilvl w:val="0"/>
          <w:numId w:val="53"/>
        </w:numPr>
        <w:contextualSpacing w:val="0"/>
        <w:rPr>
          <w:b/>
          <w:bCs/>
        </w:rPr>
      </w:pPr>
      <w:r w:rsidRPr="003D2374">
        <w:rPr>
          <w:b/>
          <w:bCs/>
        </w:rPr>
        <w:t>Non-</w:t>
      </w:r>
      <w:r>
        <w:rPr>
          <w:b/>
          <w:bCs/>
        </w:rPr>
        <w:t xml:space="preserve">Local </w:t>
      </w:r>
      <w:r w:rsidRPr="003D2374">
        <w:rPr>
          <w:b/>
          <w:bCs/>
        </w:rPr>
        <w:t>Preference Applicants</w:t>
      </w:r>
    </w:p>
    <w:p w14:paraId="6F54FFF4" w14:textId="77777777" w:rsidR="00BD4E6D" w:rsidRDefault="00BD4E6D" w:rsidP="001477AE">
      <w:pPr>
        <w:ind w:left="720"/>
      </w:pPr>
      <w:r>
        <w:t xml:space="preserve">Families that do not qualify for any preference will be selected from the waiting list after all qualified preference families have been served. Non-preference applicants will be selected based only on their date and time of application. </w:t>
      </w:r>
    </w:p>
    <w:p w14:paraId="2AEC2E26" w14:textId="77777777" w:rsidR="00943977" w:rsidRDefault="00943977" w:rsidP="00BB64BD">
      <w:pPr>
        <w:pStyle w:val="Heading2"/>
      </w:pPr>
      <w:bookmarkStart w:id="125" w:name="_Ref147153948"/>
      <w:bookmarkStart w:id="126" w:name="_Toc173222644"/>
      <w:bookmarkStart w:id="127" w:name="_Toc200375504"/>
      <w:bookmarkStart w:id="128" w:name="_Toc200376910"/>
      <w:r>
        <w:t>Local Preferences</w:t>
      </w:r>
      <w:bookmarkEnd w:id="125"/>
      <w:bookmarkEnd w:id="126"/>
      <w:bookmarkEnd w:id="127"/>
      <w:bookmarkEnd w:id="128"/>
    </w:p>
    <w:p w14:paraId="41B3410B" w14:textId="77777777" w:rsidR="00744C9D" w:rsidRDefault="00744C9D" w:rsidP="00D27AE1">
      <w:pPr>
        <w:spacing w:before="120"/>
      </w:pPr>
      <w:r w:rsidRPr="002C13F3">
        <w:t>HHA is permitted to establish local preferences, and to give priority to serving families that meet those criteria. Local preferences are established based on local housing needs and prioritie</w:t>
      </w:r>
      <w:r w:rsidR="00D27AE1">
        <w:t xml:space="preserve">s. </w:t>
      </w:r>
      <w:r w:rsidRPr="002C13F3">
        <w:t xml:space="preserve">HHA may define a specific number of </w:t>
      </w:r>
      <w:r w:rsidR="0058361F">
        <w:t>admissions</w:t>
      </w:r>
      <w:r w:rsidRPr="002C13F3">
        <w:t xml:space="preserve"> that will be allocated to each local preference.  </w:t>
      </w:r>
    </w:p>
    <w:p w14:paraId="14D329A7" w14:textId="77777777" w:rsidR="00744C9D" w:rsidRDefault="00AE2FEE" w:rsidP="00663F8C">
      <w:r>
        <w:t>Where applicants applied to HHA when different local preferences were in effect, HHA will honor their application</w:t>
      </w:r>
      <w:r w:rsidR="00F416A7">
        <w:t>’s</w:t>
      </w:r>
      <w:r>
        <w:t xml:space="preserve"> local preferences in selecting applicants for six months after the </w:t>
      </w:r>
      <w:r w:rsidR="00F416A7">
        <w:t>effective date of this ACOP</w:t>
      </w:r>
      <w:r w:rsidR="00932DB1">
        <w:t>. Thereafter, HHA will select applicants using the new preferences and selection policies.</w:t>
      </w:r>
    </w:p>
    <w:p w14:paraId="03F1994E" w14:textId="77777777" w:rsidR="00B31030" w:rsidRDefault="00B31030" w:rsidP="00663F8C">
      <w:r>
        <w:t xml:space="preserve">See the section on </w:t>
      </w:r>
      <w:r w:rsidRPr="00B31030">
        <w:rPr>
          <w:b/>
          <w:bCs/>
          <w:color w:val="0070C0"/>
        </w:rPr>
        <w:fldChar w:fldCharType="begin"/>
      </w:r>
      <w:r w:rsidRPr="00B31030">
        <w:rPr>
          <w:b/>
          <w:bCs/>
          <w:color w:val="0070C0"/>
        </w:rPr>
        <w:instrText xml:space="preserve"> REF _Ref156395770 \h  \* MERGEFORMAT </w:instrText>
      </w:r>
      <w:r w:rsidRPr="00B31030">
        <w:rPr>
          <w:b/>
          <w:bCs/>
          <w:color w:val="0070C0"/>
        </w:rPr>
      </w:r>
      <w:r w:rsidRPr="00B31030">
        <w:rPr>
          <w:b/>
          <w:bCs/>
          <w:color w:val="0070C0"/>
        </w:rPr>
        <w:fldChar w:fldCharType="separate"/>
      </w:r>
      <w:r w:rsidRPr="00B31030">
        <w:rPr>
          <w:b/>
          <w:bCs/>
          <w:color w:val="0070C0"/>
        </w:rPr>
        <w:t>Order of Selection</w:t>
      </w:r>
      <w:r w:rsidRPr="00B31030">
        <w:rPr>
          <w:b/>
          <w:bCs/>
          <w:color w:val="0070C0"/>
        </w:rPr>
        <w:fldChar w:fldCharType="end"/>
      </w:r>
      <w:r>
        <w:t xml:space="preserve"> in this chapter for how applicants will be selected from the waiting list.</w:t>
      </w:r>
    </w:p>
    <w:p w14:paraId="6692EA33" w14:textId="77777777" w:rsidR="00EF70AC" w:rsidRDefault="00EF70AC" w:rsidP="00663F8C">
      <w:r>
        <w:t>HHA has established the following local preferences:</w:t>
      </w:r>
    </w:p>
    <w:p w14:paraId="14A087BB" w14:textId="22B65146" w:rsidR="001D41FF" w:rsidRDefault="001D41FF" w:rsidP="007F177E">
      <w:pPr>
        <w:pStyle w:val="ListParagraph"/>
        <w:numPr>
          <w:ilvl w:val="0"/>
          <w:numId w:val="180"/>
        </w:numPr>
      </w:pPr>
      <w:r>
        <w:t>Re-Housing Preference,</w:t>
      </w:r>
    </w:p>
    <w:p w14:paraId="1478CF83" w14:textId="56C31243" w:rsidR="00EF70AC" w:rsidRDefault="00EF70AC" w:rsidP="007F177E">
      <w:pPr>
        <w:pStyle w:val="ListParagraph"/>
        <w:numPr>
          <w:ilvl w:val="0"/>
          <w:numId w:val="180"/>
        </w:numPr>
      </w:pPr>
      <w:r>
        <w:t>Veteran</w:t>
      </w:r>
      <w:r w:rsidR="00773A95">
        <w:t xml:space="preserve"> Family</w:t>
      </w:r>
      <w:r>
        <w:t xml:space="preserve"> Preference,</w:t>
      </w:r>
    </w:p>
    <w:p w14:paraId="79BD801F" w14:textId="77777777" w:rsidR="00FA29CB" w:rsidRDefault="00EF70AC" w:rsidP="007F177E">
      <w:pPr>
        <w:pStyle w:val="ListParagraph"/>
        <w:numPr>
          <w:ilvl w:val="0"/>
          <w:numId w:val="180"/>
        </w:numPr>
      </w:pPr>
      <w:r>
        <w:t xml:space="preserve">Police Officer Preference, </w:t>
      </w:r>
    </w:p>
    <w:p w14:paraId="75E9138E" w14:textId="77777777" w:rsidR="00EF70AC" w:rsidRDefault="00FA29CB" w:rsidP="007F177E">
      <w:pPr>
        <w:pStyle w:val="ListParagraph"/>
        <w:numPr>
          <w:ilvl w:val="0"/>
          <w:numId w:val="180"/>
        </w:numPr>
      </w:pPr>
      <w:r>
        <w:t>Special Cooperation with States Attorneys and/or Law Enforcement</w:t>
      </w:r>
      <w:r w:rsidR="008204F4">
        <w:t xml:space="preserve"> Agencies to Relocate Households; </w:t>
      </w:r>
      <w:r w:rsidR="0019734F">
        <w:t>and</w:t>
      </w:r>
    </w:p>
    <w:p w14:paraId="09A016D1" w14:textId="77777777" w:rsidR="00EF70AC" w:rsidRDefault="0019734F" w:rsidP="007F177E">
      <w:pPr>
        <w:pStyle w:val="ListParagraph"/>
        <w:numPr>
          <w:ilvl w:val="0"/>
          <w:numId w:val="180"/>
        </w:numPr>
      </w:pPr>
      <w:r>
        <w:t>Non-Public Housing Over-Income Families Preference.</w:t>
      </w:r>
    </w:p>
    <w:p w14:paraId="5D97F683" w14:textId="77777777" w:rsidR="00C443F0" w:rsidRDefault="00C443F0" w:rsidP="00C443F0">
      <w:r>
        <w:t xml:space="preserve">However, </w:t>
      </w:r>
      <w:r w:rsidR="00FF0B41">
        <w:t xml:space="preserve">there are </w:t>
      </w:r>
      <w:r w:rsidR="00FF0B41" w:rsidRPr="002A15E2">
        <w:rPr>
          <w:b/>
          <w:bCs/>
          <w:color w:val="0070C0"/>
        </w:rPr>
        <w:fldChar w:fldCharType="begin"/>
      </w:r>
      <w:r w:rsidR="00FF0B41" w:rsidRPr="002A15E2">
        <w:rPr>
          <w:b/>
          <w:bCs/>
          <w:color w:val="0070C0"/>
        </w:rPr>
        <w:instrText xml:space="preserve"> REF _Ref156397666 \h </w:instrText>
      </w:r>
      <w:r w:rsidR="002A15E2" w:rsidRPr="002A15E2">
        <w:rPr>
          <w:b/>
          <w:bCs/>
          <w:color w:val="0070C0"/>
        </w:rPr>
        <w:instrText xml:space="preserve"> \* MERGEFORMAT </w:instrText>
      </w:r>
      <w:r w:rsidR="00FF0B41" w:rsidRPr="002A15E2">
        <w:rPr>
          <w:b/>
          <w:bCs/>
          <w:color w:val="0070C0"/>
        </w:rPr>
      </w:r>
      <w:r w:rsidR="00FF0B41" w:rsidRPr="002A15E2">
        <w:rPr>
          <w:b/>
          <w:bCs/>
          <w:color w:val="0070C0"/>
        </w:rPr>
        <w:fldChar w:fldCharType="separate"/>
      </w:r>
      <w:r w:rsidR="00FF0B41" w:rsidRPr="002A15E2">
        <w:rPr>
          <w:b/>
          <w:bCs/>
          <w:color w:val="0070C0"/>
        </w:rPr>
        <w:t>Factors Other than Preferences that Affect Selection of Applicants</w:t>
      </w:r>
      <w:r w:rsidR="00FF0B41" w:rsidRPr="002A15E2">
        <w:rPr>
          <w:b/>
          <w:bCs/>
          <w:color w:val="0070C0"/>
        </w:rPr>
        <w:fldChar w:fldCharType="end"/>
      </w:r>
      <w:r w:rsidR="00FF0B41">
        <w:t xml:space="preserve"> </w:t>
      </w:r>
      <w:r w:rsidR="00A752D3">
        <w:t>that may affect the order of selection of a</w:t>
      </w:r>
      <w:r w:rsidR="002A15E2">
        <w:t>n applicant.</w:t>
      </w:r>
    </w:p>
    <w:p w14:paraId="29D8EE56" w14:textId="77777777" w:rsidR="00663F8C" w:rsidRPr="009043CF" w:rsidRDefault="00E72A18" w:rsidP="00677451">
      <w:pPr>
        <w:pStyle w:val="Heading3"/>
      </w:pPr>
      <w:bookmarkStart w:id="129" w:name="_Ref157606541"/>
      <w:bookmarkStart w:id="130" w:name="_Toc200375505"/>
      <w:r>
        <w:t>Re-Housing</w:t>
      </w:r>
      <w:r w:rsidR="00663F8C" w:rsidRPr="009043CF">
        <w:t xml:space="preserve"> Preference</w:t>
      </w:r>
      <w:bookmarkEnd w:id="129"/>
      <w:bookmarkEnd w:id="130"/>
    </w:p>
    <w:p w14:paraId="023C1E8E" w14:textId="77777777" w:rsidR="0006614F" w:rsidRDefault="00C52C9B" w:rsidP="005773E1">
      <w:pPr>
        <w:rPr>
          <w:rFonts w:cs="Arial"/>
        </w:rPr>
      </w:pPr>
      <w:r>
        <w:rPr>
          <w:rFonts w:cs="Arial"/>
        </w:rPr>
        <w:t>HHA has</w:t>
      </w:r>
      <w:r w:rsidR="00462B26">
        <w:rPr>
          <w:rFonts w:cs="Arial"/>
        </w:rPr>
        <w:t xml:space="preserve"> a </w:t>
      </w:r>
      <w:r w:rsidR="008958B4">
        <w:rPr>
          <w:rFonts w:cs="Arial"/>
        </w:rPr>
        <w:t>preference for applicants needing to be</w:t>
      </w:r>
      <w:r w:rsidR="00855452">
        <w:rPr>
          <w:rFonts w:cs="Arial"/>
        </w:rPr>
        <w:t xml:space="preserve"> </w:t>
      </w:r>
      <w:r w:rsidR="008958B4">
        <w:rPr>
          <w:rFonts w:cs="Arial"/>
        </w:rPr>
        <w:t>re-housed</w:t>
      </w:r>
      <w:r w:rsidR="00C90ECE">
        <w:rPr>
          <w:rFonts w:cs="Arial"/>
        </w:rPr>
        <w:t xml:space="preserve"> because their current assisted housing program is endin</w:t>
      </w:r>
      <w:r w:rsidR="00F61478">
        <w:rPr>
          <w:rFonts w:cs="Arial"/>
        </w:rPr>
        <w:t xml:space="preserve">g. </w:t>
      </w:r>
      <w:r w:rsidR="005773E1">
        <w:rPr>
          <w:rFonts w:cs="Arial"/>
        </w:rPr>
        <w:t>In order to qualify for this preference, all of the following</w:t>
      </w:r>
      <w:r w:rsidR="007A3F41">
        <w:rPr>
          <w:rFonts w:cs="Arial"/>
        </w:rPr>
        <w:t xml:space="preserve"> requirements</w:t>
      </w:r>
      <w:r w:rsidR="005773E1">
        <w:rPr>
          <w:rFonts w:cs="Arial"/>
        </w:rPr>
        <w:t xml:space="preserve"> must be met: </w:t>
      </w:r>
    </w:p>
    <w:p w14:paraId="576CE1BC" w14:textId="77777777" w:rsidR="002F6E1F" w:rsidRDefault="007A3F41" w:rsidP="007F177E">
      <w:pPr>
        <w:pStyle w:val="ListParagraph"/>
        <w:numPr>
          <w:ilvl w:val="0"/>
          <w:numId w:val="215"/>
        </w:numPr>
        <w:contextualSpacing w:val="0"/>
        <w:rPr>
          <w:rFonts w:cs="Arial"/>
        </w:rPr>
      </w:pPr>
      <w:r>
        <w:rPr>
          <w:rFonts w:cs="Arial"/>
        </w:rPr>
        <w:t>The applicant must be</w:t>
      </w:r>
      <w:r w:rsidR="005E6305">
        <w:rPr>
          <w:rFonts w:cs="Arial"/>
        </w:rPr>
        <w:t xml:space="preserve"> a</w:t>
      </w:r>
      <w:r w:rsidR="0006614F">
        <w:rPr>
          <w:rFonts w:cs="Arial"/>
        </w:rPr>
        <w:t xml:space="preserve"> participant in good standing with </w:t>
      </w:r>
      <w:r w:rsidR="0075117D">
        <w:rPr>
          <w:rFonts w:cs="Arial"/>
        </w:rPr>
        <w:t>a grant-funded, targeted-population, sub</w:t>
      </w:r>
      <w:r w:rsidR="00927312">
        <w:rPr>
          <w:rFonts w:cs="Arial"/>
        </w:rPr>
        <w:t xml:space="preserve">sidized </w:t>
      </w:r>
      <w:r w:rsidR="00D62E68">
        <w:rPr>
          <w:rFonts w:cs="Arial"/>
        </w:rPr>
        <w:t>housing program (such as HOME, TBRA, Rapid Re-Housing</w:t>
      </w:r>
      <w:r w:rsidR="005E6305">
        <w:rPr>
          <w:rFonts w:cs="Arial"/>
        </w:rPr>
        <w:t>,</w:t>
      </w:r>
      <w:r w:rsidR="00D62E68">
        <w:rPr>
          <w:rFonts w:cs="Arial"/>
        </w:rPr>
        <w:t xml:space="preserve"> </w:t>
      </w:r>
      <w:r w:rsidR="005E6305">
        <w:rPr>
          <w:rFonts w:cs="Arial"/>
        </w:rPr>
        <w:t>or</w:t>
      </w:r>
      <w:r w:rsidR="00D62E68">
        <w:rPr>
          <w:rFonts w:cs="Arial"/>
        </w:rPr>
        <w:t xml:space="preserve"> HHA-administered COVID-19 program) </w:t>
      </w:r>
      <w:r w:rsidR="00927312">
        <w:rPr>
          <w:rFonts w:cs="Arial"/>
        </w:rPr>
        <w:t>or other temporary or transitional housing program</w:t>
      </w:r>
      <w:r w:rsidR="00D62E68">
        <w:rPr>
          <w:rFonts w:cs="Arial"/>
        </w:rPr>
        <w:t>; and</w:t>
      </w:r>
    </w:p>
    <w:p w14:paraId="071CD354" w14:textId="77777777" w:rsidR="00CD784C" w:rsidRPr="002F6E1F" w:rsidRDefault="00DA48A5" w:rsidP="007F177E">
      <w:pPr>
        <w:pStyle w:val="ListParagraph"/>
        <w:numPr>
          <w:ilvl w:val="0"/>
          <w:numId w:val="215"/>
        </w:numPr>
        <w:contextualSpacing w:val="0"/>
        <w:rPr>
          <w:rFonts w:cs="Arial"/>
        </w:rPr>
      </w:pPr>
      <w:r>
        <w:rPr>
          <w:rFonts w:cs="Arial"/>
        </w:rPr>
        <w:t xml:space="preserve">The applicant’s participation in the program is ending due to </w:t>
      </w:r>
      <w:r w:rsidR="000E009C">
        <w:rPr>
          <w:rFonts w:cs="Arial"/>
        </w:rPr>
        <w:t xml:space="preserve">reaching the end of their program eligibility and/or due to the </w:t>
      </w:r>
      <w:r w:rsidR="00CD784C" w:rsidRPr="002F6E1F">
        <w:rPr>
          <w:rFonts w:cs="Arial"/>
        </w:rPr>
        <w:t xml:space="preserve">grant funding </w:t>
      </w:r>
      <w:r>
        <w:rPr>
          <w:rFonts w:cs="Arial"/>
        </w:rPr>
        <w:t xml:space="preserve">for the program </w:t>
      </w:r>
      <w:r w:rsidR="009F5509">
        <w:rPr>
          <w:rFonts w:cs="Arial"/>
        </w:rPr>
        <w:t>being</w:t>
      </w:r>
      <w:r w:rsidR="00CD784C" w:rsidRPr="002F6E1F">
        <w:rPr>
          <w:rFonts w:cs="Arial"/>
        </w:rPr>
        <w:t xml:space="preserve"> discontinued</w:t>
      </w:r>
      <w:r w:rsidR="005773E1">
        <w:rPr>
          <w:rFonts w:cs="Arial"/>
        </w:rPr>
        <w:t xml:space="preserve">; </w:t>
      </w:r>
      <w:r w:rsidR="000E009C">
        <w:rPr>
          <w:rFonts w:cs="Arial"/>
        </w:rPr>
        <w:t>and</w:t>
      </w:r>
    </w:p>
    <w:p w14:paraId="77E3E274" w14:textId="77777777" w:rsidR="00936968" w:rsidRPr="00D71BA1" w:rsidRDefault="009F5509" w:rsidP="007F177E">
      <w:pPr>
        <w:pStyle w:val="ListParagraph"/>
        <w:numPr>
          <w:ilvl w:val="0"/>
          <w:numId w:val="215"/>
        </w:numPr>
        <w:contextualSpacing w:val="0"/>
        <w:rPr>
          <w:rFonts w:cs="Arial"/>
        </w:rPr>
      </w:pPr>
      <w:r w:rsidRPr="00D71BA1">
        <w:rPr>
          <w:rFonts w:cs="Arial"/>
        </w:rPr>
        <w:t>The applicant must be r</w:t>
      </w:r>
      <w:r w:rsidR="004B39BF" w:rsidRPr="00D71BA1">
        <w:rPr>
          <w:rFonts w:cs="Arial"/>
        </w:rPr>
        <w:t xml:space="preserve">eferred to HHA directly </w:t>
      </w:r>
      <w:r w:rsidRPr="00D71BA1">
        <w:rPr>
          <w:rFonts w:cs="Arial"/>
        </w:rPr>
        <w:t xml:space="preserve">in writing </w:t>
      </w:r>
      <w:r w:rsidR="004B39BF" w:rsidRPr="00D71BA1">
        <w:rPr>
          <w:rFonts w:cs="Arial"/>
        </w:rPr>
        <w:t xml:space="preserve">by </w:t>
      </w:r>
      <w:r w:rsidR="00425DC4" w:rsidRPr="00D71BA1">
        <w:rPr>
          <w:rFonts w:cs="Arial"/>
        </w:rPr>
        <w:t>an organization or government entity with which HHA has</w:t>
      </w:r>
      <w:r w:rsidR="002F6E1F" w:rsidRPr="00D71BA1">
        <w:rPr>
          <w:rFonts w:cs="Arial"/>
        </w:rPr>
        <w:t xml:space="preserve"> </w:t>
      </w:r>
      <w:r w:rsidR="00E72A18" w:rsidRPr="00D71BA1">
        <w:rPr>
          <w:rFonts w:cs="Arial"/>
        </w:rPr>
        <w:t>an Inter-governmental Agreement (IGA), Memorandum of Understanding (MOU), Memorandum of Agreement (MOA), or other similar agreement</w:t>
      </w:r>
      <w:r w:rsidR="00D71BA1">
        <w:rPr>
          <w:rFonts w:cs="Arial"/>
        </w:rPr>
        <w:t>.</w:t>
      </w:r>
    </w:p>
    <w:p w14:paraId="7C736B08" w14:textId="77777777" w:rsidR="00F11FBD" w:rsidRPr="00F11FBD" w:rsidRDefault="00F11FBD" w:rsidP="00F11FBD">
      <w:pPr>
        <w:rPr>
          <w:rFonts w:cs="Arial"/>
        </w:rPr>
      </w:pPr>
      <w:r>
        <w:rPr>
          <w:rFonts w:cs="Arial"/>
        </w:rPr>
        <w:t>Referrals will be accepted continuously, even when the waiting list is closed to other applicants.</w:t>
      </w:r>
    </w:p>
    <w:p w14:paraId="72DE0B83" w14:textId="77777777" w:rsidR="004B0938" w:rsidRDefault="008F7198" w:rsidP="00677451">
      <w:pPr>
        <w:pStyle w:val="Heading3"/>
      </w:pPr>
      <w:bookmarkStart w:id="131" w:name="_Ref157606639"/>
      <w:bookmarkStart w:id="132" w:name="_Toc200375506"/>
      <w:r>
        <w:t>Veteran</w:t>
      </w:r>
      <w:r w:rsidR="00773A95">
        <w:t xml:space="preserve"> Family</w:t>
      </w:r>
      <w:r>
        <w:t xml:space="preserve"> Preference</w:t>
      </w:r>
      <w:bookmarkEnd w:id="131"/>
      <w:bookmarkEnd w:id="132"/>
    </w:p>
    <w:p w14:paraId="4B6C994D" w14:textId="77777777" w:rsidR="00245C5E" w:rsidRDefault="00BE10A9" w:rsidP="00991030">
      <w:pPr>
        <w:widowControl w:val="0"/>
        <w:tabs>
          <w:tab w:val="left" w:pos="1601"/>
        </w:tabs>
        <w:autoSpaceDE w:val="0"/>
        <w:autoSpaceDN w:val="0"/>
        <w:rPr>
          <w:bCs/>
          <w:iCs/>
        </w:rPr>
      </w:pPr>
      <w:r>
        <w:rPr>
          <w:rFonts w:cs="Arial"/>
        </w:rPr>
        <w:t xml:space="preserve">HHA has established a local preference for veteran families. A veteran </w:t>
      </w:r>
      <w:r w:rsidR="00C01433">
        <w:t xml:space="preserve">family is one where the head of household, co-head or spouse is a veteran </w:t>
      </w:r>
      <w:r w:rsidR="00991030">
        <w:t>who was</w:t>
      </w:r>
      <w:r w:rsidR="00B775D1" w:rsidRPr="001F34CE">
        <w:rPr>
          <w:bCs/>
          <w:iCs/>
        </w:rPr>
        <w:t xml:space="preserve"> discharged or released </w:t>
      </w:r>
      <w:r w:rsidR="00991030">
        <w:rPr>
          <w:bCs/>
          <w:iCs/>
        </w:rPr>
        <w:t>from service</w:t>
      </w:r>
      <w:r w:rsidR="00B775D1" w:rsidRPr="001F34CE">
        <w:rPr>
          <w:bCs/>
          <w:iCs/>
        </w:rPr>
        <w:t xml:space="preserve"> under conditions other than dishonorable.</w:t>
      </w:r>
      <w:r w:rsidR="00245C5E">
        <w:rPr>
          <w:bCs/>
          <w:iCs/>
        </w:rPr>
        <w:t xml:space="preserve"> </w:t>
      </w:r>
    </w:p>
    <w:p w14:paraId="2041EA6D" w14:textId="77777777" w:rsidR="004D3B35" w:rsidRDefault="00245C5E" w:rsidP="00991030">
      <w:pPr>
        <w:widowControl w:val="0"/>
        <w:tabs>
          <w:tab w:val="left" w:pos="1601"/>
        </w:tabs>
        <w:autoSpaceDE w:val="0"/>
        <w:autoSpaceDN w:val="0"/>
        <w:rPr>
          <w:bCs/>
          <w:iCs/>
        </w:rPr>
      </w:pPr>
      <w:r>
        <w:rPr>
          <w:bCs/>
          <w:iCs/>
        </w:rPr>
        <w:t>Veteran status of the head, co-head, or spouse</w:t>
      </w:r>
      <w:r w:rsidR="005C40CE">
        <w:rPr>
          <w:bCs/>
          <w:iCs/>
        </w:rPr>
        <w:t xml:space="preserve"> </w:t>
      </w:r>
      <w:r>
        <w:rPr>
          <w:bCs/>
          <w:iCs/>
        </w:rPr>
        <w:t>may be</w:t>
      </w:r>
      <w:r w:rsidR="005C40CE">
        <w:rPr>
          <w:bCs/>
          <w:iCs/>
        </w:rPr>
        <w:t xml:space="preserve"> verified through</w:t>
      </w:r>
      <w:r w:rsidR="004D3B35">
        <w:rPr>
          <w:bCs/>
          <w:iCs/>
        </w:rPr>
        <w:t xml:space="preserve"> any one of the following:</w:t>
      </w:r>
    </w:p>
    <w:p w14:paraId="1BCB2E11" w14:textId="77777777" w:rsidR="00AC3066" w:rsidRPr="0053588C" w:rsidRDefault="00AC3066" w:rsidP="007F177E">
      <w:pPr>
        <w:pStyle w:val="ListParagraph"/>
        <w:numPr>
          <w:ilvl w:val="0"/>
          <w:numId w:val="216"/>
        </w:numPr>
        <w:contextualSpacing w:val="0"/>
        <w:rPr>
          <w:rFonts w:cs="Arial"/>
          <w:color w:val="000000" w:themeColor="text1"/>
          <w:szCs w:val="20"/>
        </w:rPr>
      </w:pPr>
      <w:r>
        <w:rPr>
          <w:rFonts w:cs="Arial"/>
          <w:color w:val="000000" w:themeColor="text1"/>
          <w:szCs w:val="20"/>
        </w:rPr>
        <w:t>Current</w:t>
      </w:r>
      <w:r w:rsidR="006628C2">
        <w:rPr>
          <w:rFonts w:cs="Arial"/>
          <w:color w:val="000000" w:themeColor="text1"/>
          <w:szCs w:val="20"/>
        </w:rPr>
        <w:t xml:space="preserve"> </w:t>
      </w:r>
      <w:r w:rsidRPr="0053588C">
        <w:rPr>
          <w:rFonts w:cs="Arial"/>
          <w:color w:val="000000" w:themeColor="text1"/>
          <w:szCs w:val="20"/>
        </w:rPr>
        <w:t xml:space="preserve">driver’s license or </w:t>
      </w:r>
      <w:r w:rsidR="006628C2">
        <w:rPr>
          <w:rFonts w:cs="Arial"/>
          <w:color w:val="000000" w:themeColor="text1"/>
          <w:szCs w:val="20"/>
        </w:rPr>
        <w:t xml:space="preserve">government-issued </w:t>
      </w:r>
      <w:r w:rsidRPr="0053588C">
        <w:rPr>
          <w:rFonts w:cs="Arial"/>
          <w:color w:val="000000" w:themeColor="text1"/>
          <w:szCs w:val="20"/>
        </w:rPr>
        <w:t xml:space="preserve">ID card with </w:t>
      </w:r>
      <w:r w:rsidRPr="006628C2">
        <w:rPr>
          <w:rFonts w:cs="Arial"/>
          <w:i/>
          <w:iCs/>
          <w:color w:val="000000" w:themeColor="text1"/>
          <w:szCs w:val="20"/>
        </w:rPr>
        <w:t>Veteran</w:t>
      </w:r>
      <w:r w:rsidRPr="0053588C">
        <w:rPr>
          <w:rFonts w:cs="Arial"/>
          <w:color w:val="000000" w:themeColor="text1"/>
          <w:szCs w:val="20"/>
        </w:rPr>
        <w:t xml:space="preserve"> designation</w:t>
      </w:r>
      <w:r w:rsidR="006628C2">
        <w:rPr>
          <w:rFonts w:cs="Arial"/>
          <w:color w:val="000000" w:themeColor="text1"/>
          <w:szCs w:val="20"/>
        </w:rPr>
        <w:t>;</w:t>
      </w:r>
    </w:p>
    <w:p w14:paraId="5CB30D2D" w14:textId="77777777" w:rsidR="00AC3066" w:rsidRPr="0053588C" w:rsidRDefault="00AC3066" w:rsidP="007F177E">
      <w:pPr>
        <w:pStyle w:val="ListParagraph"/>
        <w:numPr>
          <w:ilvl w:val="0"/>
          <w:numId w:val="216"/>
        </w:numPr>
        <w:contextualSpacing w:val="0"/>
        <w:rPr>
          <w:rFonts w:cs="Arial"/>
          <w:color w:val="000000" w:themeColor="text1"/>
          <w:szCs w:val="20"/>
        </w:rPr>
      </w:pPr>
      <w:r w:rsidRPr="0053588C">
        <w:rPr>
          <w:rFonts w:cs="Arial"/>
          <w:color w:val="000000" w:themeColor="text1"/>
          <w:szCs w:val="20"/>
        </w:rPr>
        <w:t>Copy of a discharge form</w:t>
      </w:r>
      <w:r w:rsidR="004126EA">
        <w:rPr>
          <w:rFonts w:cs="Arial"/>
          <w:color w:val="000000" w:themeColor="text1"/>
          <w:szCs w:val="20"/>
        </w:rPr>
        <w:t xml:space="preserve"> (such as a DD214)</w:t>
      </w:r>
      <w:r w:rsidRPr="0053588C">
        <w:rPr>
          <w:rFonts w:cs="Arial"/>
          <w:color w:val="000000" w:themeColor="text1"/>
          <w:szCs w:val="20"/>
        </w:rPr>
        <w:t xml:space="preserve"> </w:t>
      </w:r>
      <w:r w:rsidRPr="00AC3066">
        <w:rPr>
          <w:rFonts w:cs="Arial"/>
          <w:color w:val="000000" w:themeColor="text1"/>
          <w:szCs w:val="20"/>
        </w:rPr>
        <w:t>which documents active service dates and type of discharge</w:t>
      </w:r>
      <w:r w:rsidR="008A162D">
        <w:rPr>
          <w:rFonts w:cs="Arial"/>
          <w:color w:val="000000" w:themeColor="text1"/>
          <w:szCs w:val="20"/>
        </w:rPr>
        <w:t xml:space="preserve"> (a</w:t>
      </w:r>
      <w:r w:rsidRPr="00AC3066">
        <w:rPr>
          <w:rFonts w:cs="Arial"/>
          <w:color w:val="000000" w:themeColor="text1"/>
          <w:szCs w:val="20"/>
        </w:rPr>
        <w:t xml:space="preserve">ny type of discharge other than </w:t>
      </w:r>
      <w:r w:rsidRPr="008A162D">
        <w:rPr>
          <w:rFonts w:cs="Arial"/>
          <w:i/>
          <w:iCs/>
          <w:color w:val="000000" w:themeColor="text1"/>
          <w:szCs w:val="20"/>
        </w:rPr>
        <w:t>dishonorable</w:t>
      </w:r>
      <w:r w:rsidRPr="00AC3066">
        <w:rPr>
          <w:rFonts w:cs="Arial"/>
          <w:color w:val="000000" w:themeColor="text1"/>
          <w:szCs w:val="20"/>
        </w:rPr>
        <w:t xml:space="preserve"> is acceptable</w:t>
      </w:r>
      <w:r w:rsidR="008A162D">
        <w:rPr>
          <w:rFonts w:cs="Arial"/>
          <w:color w:val="000000" w:themeColor="text1"/>
          <w:szCs w:val="20"/>
        </w:rPr>
        <w:t>);</w:t>
      </w:r>
    </w:p>
    <w:p w14:paraId="5C0D70BB" w14:textId="77777777" w:rsidR="00AC3066" w:rsidRPr="0053588C" w:rsidRDefault="00AC3066" w:rsidP="007F177E">
      <w:pPr>
        <w:pStyle w:val="ListParagraph"/>
        <w:numPr>
          <w:ilvl w:val="0"/>
          <w:numId w:val="216"/>
        </w:numPr>
        <w:contextualSpacing w:val="0"/>
        <w:rPr>
          <w:rFonts w:cs="Arial"/>
          <w:color w:val="000000" w:themeColor="text1"/>
          <w:szCs w:val="20"/>
        </w:rPr>
      </w:pPr>
      <w:r w:rsidRPr="0053588C">
        <w:rPr>
          <w:rFonts w:cs="Arial"/>
          <w:color w:val="000000" w:themeColor="text1"/>
          <w:szCs w:val="20"/>
        </w:rPr>
        <w:t>Honorable Discharge Certificate</w:t>
      </w:r>
      <w:r w:rsidR="008A162D">
        <w:rPr>
          <w:rFonts w:cs="Arial"/>
          <w:color w:val="000000" w:themeColor="text1"/>
          <w:szCs w:val="20"/>
        </w:rPr>
        <w:t>;</w:t>
      </w:r>
    </w:p>
    <w:p w14:paraId="0AAA99AB" w14:textId="77777777" w:rsidR="00AC3066" w:rsidRPr="0053588C" w:rsidRDefault="00AC3066" w:rsidP="007F177E">
      <w:pPr>
        <w:pStyle w:val="ListParagraph"/>
        <w:numPr>
          <w:ilvl w:val="0"/>
          <w:numId w:val="216"/>
        </w:numPr>
        <w:contextualSpacing w:val="0"/>
        <w:rPr>
          <w:rFonts w:cs="Arial"/>
          <w:color w:val="000000" w:themeColor="text1"/>
          <w:szCs w:val="20"/>
        </w:rPr>
      </w:pPr>
      <w:r w:rsidRPr="0053588C">
        <w:rPr>
          <w:rFonts w:cs="Arial"/>
          <w:color w:val="000000" w:themeColor="text1"/>
          <w:szCs w:val="20"/>
        </w:rPr>
        <w:t>Letter from the National Personnel Records Center in St. Louis, Missouri stating that the applicant is a veteran</w:t>
      </w:r>
      <w:r w:rsidR="008A162D">
        <w:rPr>
          <w:rFonts w:cs="Arial"/>
          <w:color w:val="000000" w:themeColor="text1"/>
          <w:szCs w:val="20"/>
        </w:rPr>
        <w:t>;</w:t>
      </w:r>
    </w:p>
    <w:p w14:paraId="4DD5DF88" w14:textId="77777777" w:rsidR="00AC3066" w:rsidRPr="0053588C" w:rsidRDefault="00AC3066" w:rsidP="007F177E">
      <w:pPr>
        <w:pStyle w:val="ListParagraph"/>
        <w:numPr>
          <w:ilvl w:val="0"/>
          <w:numId w:val="216"/>
        </w:numPr>
        <w:contextualSpacing w:val="0"/>
        <w:rPr>
          <w:rFonts w:cs="Arial"/>
          <w:color w:val="000000" w:themeColor="text1"/>
          <w:szCs w:val="20"/>
        </w:rPr>
      </w:pPr>
      <w:r w:rsidRPr="0053588C">
        <w:rPr>
          <w:rFonts w:cs="Arial"/>
          <w:color w:val="000000" w:themeColor="text1"/>
          <w:szCs w:val="20"/>
        </w:rPr>
        <w:t xml:space="preserve">Letter from the </w:t>
      </w:r>
      <w:r w:rsidR="00B770E5">
        <w:rPr>
          <w:rFonts w:cs="Arial"/>
          <w:color w:val="000000" w:themeColor="text1"/>
          <w:szCs w:val="20"/>
        </w:rPr>
        <w:t>Texas</w:t>
      </w:r>
      <w:r w:rsidRPr="0053588C">
        <w:rPr>
          <w:rFonts w:cs="Arial"/>
          <w:color w:val="000000" w:themeColor="text1"/>
          <w:szCs w:val="20"/>
        </w:rPr>
        <w:t xml:space="preserve"> of Veterans </w:t>
      </w:r>
      <w:r w:rsidR="00C43FEC">
        <w:rPr>
          <w:rFonts w:cs="Arial"/>
          <w:color w:val="000000" w:themeColor="text1"/>
          <w:szCs w:val="20"/>
        </w:rPr>
        <w:t>Commission</w:t>
      </w:r>
      <w:r w:rsidRPr="0053588C">
        <w:rPr>
          <w:rFonts w:cs="Arial"/>
          <w:color w:val="000000" w:themeColor="text1"/>
          <w:szCs w:val="20"/>
        </w:rPr>
        <w:t xml:space="preserve"> stating that the applicant is a veteran</w:t>
      </w:r>
      <w:r w:rsidR="00C43FEC">
        <w:rPr>
          <w:rFonts w:cs="Arial"/>
          <w:color w:val="000000" w:themeColor="text1"/>
          <w:szCs w:val="20"/>
        </w:rPr>
        <w:t>;</w:t>
      </w:r>
    </w:p>
    <w:p w14:paraId="20ED36E8" w14:textId="77777777" w:rsidR="00AC3066" w:rsidRPr="0053588C" w:rsidRDefault="00AC3066" w:rsidP="007F177E">
      <w:pPr>
        <w:pStyle w:val="ListParagraph"/>
        <w:numPr>
          <w:ilvl w:val="0"/>
          <w:numId w:val="216"/>
        </w:numPr>
        <w:contextualSpacing w:val="0"/>
        <w:rPr>
          <w:rFonts w:cs="Arial"/>
          <w:color w:val="000000" w:themeColor="text1"/>
          <w:szCs w:val="20"/>
        </w:rPr>
      </w:pPr>
      <w:r w:rsidRPr="0053588C">
        <w:rPr>
          <w:rFonts w:cs="Arial"/>
          <w:color w:val="000000" w:themeColor="text1"/>
          <w:szCs w:val="20"/>
        </w:rPr>
        <w:t>Letter from the U.S. Department of Veterans Affairs stating that the applicant is a veteran</w:t>
      </w:r>
      <w:r w:rsidR="00C43FEC">
        <w:rPr>
          <w:rFonts w:cs="Arial"/>
          <w:color w:val="000000" w:themeColor="text1"/>
          <w:szCs w:val="20"/>
        </w:rPr>
        <w:t xml:space="preserve">; </w:t>
      </w:r>
    </w:p>
    <w:p w14:paraId="4760153B" w14:textId="77777777" w:rsidR="00AC3066" w:rsidRDefault="00AC3066" w:rsidP="007F177E">
      <w:pPr>
        <w:pStyle w:val="ListParagraph"/>
        <w:numPr>
          <w:ilvl w:val="0"/>
          <w:numId w:val="216"/>
        </w:numPr>
        <w:contextualSpacing w:val="0"/>
        <w:rPr>
          <w:rFonts w:cs="Arial"/>
          <w:color w:val="000000" w:themeColor="text1"/>
          <w:szCs w:val="20"/>
        </w:rPr>
      </w:pPr>
      <w:r w:rsidRPr="0053588C">
        <w:rPr>
          <w:rFonts w:cs="Arial"/>
          <w:color w:val="000000" w:themeColor="text1"/>
          <w:szCs w:val="20"/>
        </w:rPr>
        <w:t>United States Uniformed Services Retiree Identification Card</w:t>
      </w:r>
      <w:r w:rsidR="00B2735D">
        <w:rPr>
          <w:rFonts w:cs="Arial"/>
          <w:color w:val="000000" w:themeColor="text1"/>
          <w:szCs w:val="20"/>
        </w:rPr>
        <w:t>;</w:t>
      </w:r>
    </w:p>
    <w:p w14:paraId="4C1B660E" w14:textId="77777777" w:rsidR="00B2735D" w:rsidRPr="0053588C" w:rsidRDefault="00B2735D" w:rsidP="007F177E">
      <w:pPr>
        <w:pStyle w:val="ListParagraph"/>
        <w:numPr>
          <w:ilvl w:val="0"/>
          <w:numId w:val="216"/>
        </w:numPr>
        <w:contextualSpacing w:val="0"/>
        <w:rPr>
          <w:rFonts w:cs="Arial"/>
          <w:bCs/>
          <w:color w:val="000000" w:themeColor="text1"/>
          <w:szCs w:val="20"/>
        </w:rPr>
      </w:pPr>
      <w:r w:rsidRPr="0053588C">
        <w:rPr>
          <w:rFonts w:cs="Arial"/>
          <w:color w:val="000000" w:themeColor="text1"/>
          <w:szCs w:val="20"/>
        </w:rPr>
        <w:t>Veteran Health Identification Card</w:t>
      </w:r>
      <w:r>
        <w:rPr>
          <w:rFonts w:cs="Arial"/>
          <w:color w:val="000000" w:themeColor="text1"/>
          <w:szCs w:val="20"/>
        </w:rPr>
        <w:t>; or</w:t>
      </w:r>
    </w:p>
    <w:p w14:paraId="5226F6F5" w14:textId="77777777" w:rsidR="00B2735D" w:rsidRPr="0053588C" w:rsidRDefault="00B2735D" w:rsidP="007F177E">
      <w:pPr>
        <w:pStyle w:val="ListParagraph"/>
        <w:numPr>
          <w:ilvl w:val="0"/>
          <w:numId w:val="216"/>
        </w:numPr>
        <w:contextualSpacing w:val="0"/>
        <w:rPr>
          <w:rFonts w:cs="Arial"/>
          <w:color w:val="000000" w:themeColor="text1"/>
          <w:szCs w:val="20"/>
        </w:rPr>
      </w:pPr>
      <w:r w:rsidRPr="00B2735D">
        <w:rPr>
          <w:rFonts w:cs="Arial"/>
          <w:color w:val="000000" w:themeColor="text1"/>
          <w:szCs w:val="20"/>
        </w:rPr>
        <w:t>Third-party verification form completed by the Veteran’s Administration verifying that the applicant is a veteran.</w:t>
      </w:r>
    </w:p>
    <w:p w14:paraId="3BDD06F8" w14:textId="77777777" w:rsidR="00663F8C" w:rsidRPr="00482FB0" w:rsidRDefault="00663F8C" w:rsidP="00677451">
      <w:pPr>
        <w:pStyle w:val="Heading3"/>
      </w:pPr>
      <w:bookmarkStart w:id="133" w:name="_Ref157606646"/>
      <w:bookmarkStart w:id="134" w:name="_Toc200375507"/>
      <w:r w:rsidRPr="00482FB0">
        <w:t>Police Officer Preference</w:t>
      </w:r>
      <w:bookmarkEnd w:id="133"/>
      <w:bookmarkEnd w:id="134"/>
    </w:p>
    <w:p w14:paraId="29613C80" w14:textId="77777777" w:rsidR="00663F8C" w:rsidRPr="003F56C4" w:rsidRDefault="003F56C4" w:rsidP="00BB0E62">
      <w:pPr>
        <w:pStyle w:val="BodyText"/>
        <w:widowControl/>
        <w:spacing w:after="160" w:line="259" w:lineRule="auto"/>
        <w:jc w:val="both"/>
        <w:rPr>
          <w:sz w:val="22"/>
          <w:szCs w:val="22"/>
        </w:rPr>
      </w:pPr>
      <w:r w:rsidRPr="003F56C4">
        <w:rPr>
          <w:sz w:val="22"/>
          <w:szCs w:val="22"/>
        </w:rPr>
        <w:t>HHA</w:t>
      </w:r>
      <w:r w:rsidR="00663F8C" w:rsidRPr="003F56C4">
        <w:rPr>
          <w:sz w:val="22"/>
          <w:szCs w:val="22"/>
        </w:rPr>
        <w:t xml:space="preserve"> will grant an admissions preference to increase security for public housing residents to no more than one police officer per property, whether the officer’s household is eligible for public housing. The following conditions apply to the award of this preference:</w:t>
      </w:r>
    </w:p>
    <w:p w14:paraId="125ABD44" w14:textId="77777777" w:rsidR="00663F8C" w:rsidRPr="003F56C4" w:rsidRDefault="00663F8C" w:rsidP="007F177E">
      <w:pPr>
        <w:pStyle w:val="ListParagraph"/>
        <w:widowControl w:val="0"/>
        <w:numPr>
          <w:ilvl w:val="0"/>
          <w:numId w:val="181"/>
        </w:numPr>
        <w:tabs>
          <w:tab w:val="left" w:pos="1601"/>
        </w:tabs>
        <w:autoSpaceDE w:val="0"/>
        <w:autoSpaceDN w:val="0"/>
        <w:ind w:left="720"/>
        <w:contextualSpacing w:val="0"/>
        <w:rPr>
          <w:rFonts w:cs="Arial"/>
        </w:rPr>
      </w:pPr>
      <w:r w:rsidRPr="003F56C4">
        <w:rPr>
          <w:rFonts w:cs="Arial"/>
        </w:rPr>
        <w:t>The police officer’s household must live in close proximity to other</w:t>
      </w:r>
      <w:r w:rsidRPr="003F56C4">
        <w:rPr>
          <w:rFonts w:cs="Arial"/>
          <w:spacing w:val="-14"/>
        </w:rPr>
        <w:t xml:space="preserve"> </w:t>
      </w:r>
      <w:r w:rsidRPr="003F56C4">
        <w:rPr>
          <w:rFonts w:cs="Arial"/>
        </w:rPr>
        <w:t>residents;</w:t>
      </w:r>
    </w:p>
    <w:p w14:paraId="3E1B871C" w14:textId="77777777" w:rsidR="00663F8C" w:rsidRPr="003F56C4" w:rsidRDefault="00663F8C" w:rsidP="007F177E">
      <w:pPr>
        <w:pStyle w:val="ListParagraph"/>
        <w:widowControl w:val="0"/>
        <w:numPr>
          <w:ilvl w:val="0"/>
          <w:numId w:val="181"/>
        </w:numPr>
        <w:tabs>
          <w:tab w:val="left" w:pos="1601"/>
        </w:tabs>
        <w:autoSpaceDE w:val="0"/>
        <w:autoSpaceDN w:val="0"/>
        <w:ind w:left="720"/>
        <w:contextualSpacing w:val="0"/>
        <w:rPr>
          <w:rFonts w:cs="Arial"/>
        </w:rPr>
      </w:pPr>
      <w:r w:rsidRPr="003F56C4">
        <w:rPr>
          <w:rFonts w:cs="Arial"/>
        </w:rPr>
        <w:t>No current residents will be transferred to make a unit available to a police</w:t>
      </w:r>
      <w:r w:rsidRPr="003F56C4">
        <w:rPr>
          <w:rFonts w:cs="Arial"/>
          <w:spacing w:val="-12"/>
        </w:rPr>
        <w:t xml:space="preserve"> </w:t>
      </w:r>
      <w:r w:rsidRPr="003F56C4">
        <w:rPr>
          <w:rFonts w:cs="Arial"/>
        </w:rPr>
        <w:t>officer;</w:t>
      </w:r>
    </w:p>
    <w:p w14:paraId="411B19DC" w14:textId="77777777" w:rsidR="00663F8C" w:rsidRPr="003F56C4" w:rsidRDefault="00663F8C" w:rsidP="007F177E">
      <w:pPr>
        <w:pStyle w:val="ListParagraph"/>
        <w:widowControl w:val="0"/>
        <w:numPr>
          <w:ilvl w:val="0"/>
          <w:numId w:val="181"/>
        </w:numPr>
        <w:tabs>
          <w:tab w:val="left" w:pos="1601"/>
        </w:tabs>
        <w:autoSpaceDE w:val="0"/>
        <w:autoSpaceDN w:val="0"/>
        <w:ind w:left="720"/>
        <w:contextualSpacing w:val="0"/>
        <w:rPr>
          <w:rFonts w:cs="Arial"/>
        </w:rPr>
      </w:pPr>
      <w:r w:rsidRPr="003F56C4">
        <w:rPr>
          <w:rFonts w:cs="Arial"/>
        </w:rPr>
        <w:t>The regular HHA dwelling lease will be used for the police</w:t>
      </w:r>
      <w:r w:rsidRPr="003F56C4">
        <w:rPr>
          <w:rFonts w:cs="Arial"/>
          <w:spacing w:val="-10"/>
        </w:rPr>
        <w:t xml:space="preserve"> </w:t>
      </w:r>
      <w:r w:rsidRPr="003F56C4">
        <w:rPr>
          <w:rFonts w:cs="Arial"/>
        </w:rPr>
        <w:t>officer;</w:t>
      </w:r>
    </w:p>
    <w:p w14:paraId="47BBDAD9" w14:textId="77777777" w:rsidR="00663F8C" w:rsidRPr="003F56C4" w:rsidRDefault="00663F8C" w:rsidP="007F177E">
      <w:pPr>
        <w:pStyle w:val="ListParagraph"/>
        <w:widowControl w:val="0"/>
        <w:numPr>
          <w:ilvl w:val="0"/>
          <w:numId w:val="181"/>
        </w:numPr>
        <w:tabs>
          <w:tab w:val="left" w:pos="1601"/>
        </w:tabs>
        <w:autoSpaceDE w:val="0"/>
        <w:autoSpaceDN w:val="0"/>
        <w:ind w:left="720"/>
        <w:contextualSpacing w:val="0"/>
        <w:rPr>
          <w:rFonts w:cs="Arial"/>
        </w:rPr>
      </w:pPr>
      <w:r w:rsidRPr="003F56C4">
        <w:rPr>
          <w:rFonts w:cs="Arial"/>
        </w:rPr>
        <w:t>All policies established in this ACOP and related procedures</w:t>
      </w:r>
      <w:r w:rsidRPr="003F56C4">
        <w:rPr>
          <w:rFonts w:cs="Arial"/>
          <w:spacing w:val="-10"/>
        </w:rPr>
        <w:t xml:space="preserve"> </w:t>
      </w:r>
      <w:r w:rsidRPr="003F56C4">
        <w:rPr>
          <w:rFonts w:cs="Arial"/>
        </w:rPr>
        <w:t>apply;</w:t>
      </w:r>
    </w:p>
    <w:p w14:paraId="0CC78D14" w14:textId="77777777" w:rsidR="00663F8C" w:rsidRPr="003F56C4" w:rsidRDefault="00663F8C" w:rsidP="007F177E">
      <w:pPr>
        <w:pStyle w:val="ListParagraph"/>
        <w:widowControl w:val="0"/>
        <w:numPr>
          <w:ilvl w:val="0"/>
          <w:numId w:val="181"/>
        </w:numPr>
        <w:tabs>
          <w:tab w:val="left" w:pos="1601"/>
        </w:tabs>
        <w:autoSpaceDE w:val="0"/>
        <w:autoSpaceDN w:val="0"/>
        <w:ind w:left="720"/>
        <w:contextualSpacing w:val="0"/>
        <w:rPr>
          <w:rFonts w:cs="Arial"/>
        </w:rPr>
      </w:pPr>
      <w:r w:rsidRPr="003F56C4">
        <w:rPr>
          <w:rFonts w:cs="Arial"/>
        </w:rPr>
        <w:t>Rent</w:t>
      </w:r>
      <w:r w:rsidRPr="003F56C4">
        <w:rPr>
          <w:rFonts w:cs="Arial"/>
          <w:spacing w:val="-5"/>
        </w:rPr>
        <w:t xml:space="preserve"> </w:t>
      </w:r>
      <w:r w:rsidRPr="003F56C4">
        <w:rPr>
          <w:rFonts w:cs="Arial"/>
        </w:rPr>
        <w:t>will</w:t>
      </w:r>
      <w:r w:rsidRPr="003F56C4">
        <w:rPr>
          <w:rFonts w:cs="Arial"/>
          <w:spacing w:val="-3"/>
        </w:rPr>
        <w:t xml:space="preserve"> </w:t>
      </w:r>
      <w:r w:rsidRPr="003F56C4">
        <w:rPr>
          <w:rFonts w:cs="Arial"/>
        </w:rPr>
        <w:t>be</w:t>
      </w:r>
      <w:r w:rsidRPr="003F56C4">
        <w:rPr>
          <w:rFonts w:cs="Arial"/>
          <w:spacing w:val="-4"/>
        </w:rPr>
        <w:t xml:space="preserve"> </w:t>
      </w:r>
      <w:r w:rsidRPr="003F56C4">
        <w:rPr>
          <w:rFonts w:cs="Arial"/>
        </w:rPr>
        <w:t>computed</w:t>
      </w:r>
      <w:r w:rsidRPr="003F56C4">
        <w:rPr>
          <w:rFonts w:cs="Arial"/>
          <w:spacing w:val="-5"/>
        </w:rPr>
        <w:t xml:space="preserve"> </w:t>
      </w:r>
      <w:r w:rsidRPr="003F56C4">
        <w:rPr>
          <w:rFonts w:cs="Arial"/>
        </w:rPr>
        <w:t>as</w:t>
      </w:r>
      <w:r w:rsidRPr="003F56C4">
        <w:rPr>
          <w:rFonts w:cs="Arial"/>
          <w:spacing w:val="-2"/>
        </w:rPr>
        <w:t xml:space="preserve"> </w:t>
      </w:r>
      <w:r w:rsidRPr="003F56C4">
        <w:rPr>
          <w:rFonts w:cs="Arial"/>
        </w:rPr>
        <w:t>set</w:t>
      </w:r>
      <w:r w:rsidRPr="003F56C4">
        <w:rPr>
          <w:rFonts w:cs="Arial"/>
          <w:spacing w:val="-2"/>
        </w:rPr>
        <w:t xml:space="preserve"> </w:t>
      </w:r>
      <w:r w:rsidRPr="003F56C4">
        <w:rPr>
          <w:rFonts w:cs="Arial"/>
        </w:rPr>
        <w:t>forth</w:t>
      </w:r>
      <w:r w:rsidRPr="003F56C4">
        <w:rPr>
          <w:rFonts w:cs="Arial"/>
          <w:spacing w:val="-3"/>
        </w:rPr>
        <w:t xml:space="preserve"> </w:t>
      </w:r>
      <w:r w:rsidRPr="003F56C4">
        <w:rPr>
          <w:rFonts w:cs="Arial"/>
        </w:rPr>
        <w:t>in</w:t>
      </w:r>
      <w:r w:rsidRPr="003F56C4">
        <w:rPr>
          <w:rFonts w:cs="Arial"/>
          <w:spacing w:val="-6"/>
        </w:rPr>
        <w:t xml:space="preserve"> </w:t>
      </w:r>
      <w:r w:rsidRPr="003F56C4">
        <w:rPr>
          <w:rFonts w:cs="Arial"/>
        </w:rPr>
        <w:t>this</w:t>
      </w:r>
      <w:r w:rsidRPr="003F56C4">
        <w:rPr>
          <w:rFonts w:cs="Arial"/>
          <w:spacing w:val="-6"/>
        </w:rPr>
        <w:t xml:space="preserve"> </w:t>
      </w:r>
      <w:r w:rsidR="00797096">
        <w:rPr>
          <w:rFonts w:cs="Arial"/>
        </w:rPr>
        <w:t>ACOP</w:t>
      </w:r>
      <w:r w:rsidR="003B5681">
        <w:rPr>
          <w:rFonts w:cs="Arial"/>
        </w:rPr>
        <w:t>,</w:t>
      </w:r>
      <w:r w:rsidRPr="003F56C4">
        <w:rPr>
          <w:rFonts w:cs="Arial"/>
          <w:spacing w:val="-4"/>
        </w:rPr>
        <w:t xml:space="preserve"> </w:t>
      </w:r>
      <w:r w:rsidRPr="003F56C4">
        <w:rPr>
          <w:rFonts w:cs="Arial"/>
        </w:rPr>
        <w:t>either</w:t>
      </w:r>
      <w:r w:rsidRPr="003F56C4">
        <w:rPr>
          <w:rFonts w:cs="Arial"/>
          <w:spacing w:val="-2"/>
        </w:rPr>
        <w:t xml:space="preserve"> </w:t>
      </w:r>
      <w:r w:rsidRPr="003F56C4">
        <w:rPr>
          <w:rFonts w:cs="Arial"/>
        </w:rPr>
        <w:t>the</w:t>
      </w:r>
      <w:r w:rsidRPr="003F56C4">
        <w:rPr>
          <w:rFonts w:cs="Arial"/>
          <w:spacing w:val="-5"/>
        </w:rPr>
        <w:t xml:space="preserve"> </w:t>
      </w:r>
      <w:r w:rsidRPr="003F56C4">
        <w:rPr>
          <w:rFonts w:cs="Arial"/>
        </w:rPr>
        <w:t>income-based</w:t>
      </w:r>
      <w:r w:rsidRPr="003F56C4">
        <w:rPr>
          <w:rFonts w:cs="Arial"/>
          <w:spacing w:val="-5"/>
        </w:rPr>
        <w:t xml:space="preserve"> </w:t>
      </w:r>
      <w:r w:rsidRPr="003F56C4">
        <w:rPr>
          <w:rFonts w:cs="Arial"/>
        </w:rPr>
        <w:t>or</w:t>
      </w:r>
      <w:r w:rsidRPr="003F56C4">
        <w:rPr>
          <w:rFonts w:cs="Arial"/>
          <w:spacing w:val="-2"/>
        </w:rPr>
        <w:t xml:space="preserve"> </w:t>
      </w:r>
      <w:r w:rsidRPr="003F56C4">
        <w:rPr>
          <w:rFonts w:cs="Arial"/>
        </w:rPr>
        <w:t>flat</w:t>
      </w:r>
      <w:r w:rsidRPr="003F56C4">
        <w:rPr>
          <w:rFonts w:cs="Arial"/>
          <w:spacing w:val="-4"/>
        </w:rPr>
        <w:t xml:space="preserve"> </w:t>
      </w:r>
      <w:r w:rsidRPr="003F56C4">
        <w:rPr>
          <w:rFonts w:cs="Arial"/>
        </w:rPr>
        <w:t>rent</w:t>
      </w:r>
      <w:r w:rsidRPr="003F56C4">
        <w:rPr>
          <w:rFonts w:cs="Arial"/>
          <w:spacing w:val="-3"/>
        </w:rPr>
        <w:t xml:space="preserve"> </w:t>
      </w:r>
      <w:r w:rsidRPr="003F56C4">
        <w:rPr>
          <w:rFonts w:cs="Arial"/>
        </w:rPr>
        <w:t>for the unit as chosen by the police</w:t>
      </w:r>
      <w:r w:rsidRPr="003F56C4">
        <w:rPr>
          <w:rFonts w:cs="Arial"/>
          <w:spacing w:val="-7"/>
        </w:rPr>
        <w:t xml:space="preserve"> </w:t>
      </w:r>
      <w:r w:rsidRPr="003F56C4">
        <w:rPr>
          <w:rFonts w:cs="Arial"/>
        </w:rPr>
        <w:t>officer;</w:t>
      </w:r>
    </w:p>
    <w:p w14:paraId="5E7BEE5D" w14:textId="77777777" w:rsidR="00663F8C" w:rsidRPr="003F56C4" w:rsidRDefault="00663F8C" w:rsidP="007F177E">
      <w:pPr>
        <w:pStyle w:val="ListParagraph"/>
        <w:widowControl w:val="0"/>
        <w:numPr>
          <w:ilvl w:val="0"/>
          <w:numId w:val="181"/>
        </w:numPr>
        <w:tabs>
          <w:tab w:val="left" w:pos="1601"/>
        </w:tabs>
        <w:autoSpaceDE w:val="0"/>
        <w:autoSpaceDN w:val="0"/>
        <w:ind w:left="720"/>
        <w:contextualSpacing w:val="0"/>
        <w:rPr>
          <w:rFonts w:cs="Arial"/>
        </w:rPr>
      </w:pPr>
      <w:r w:rsidRPr="003F56C4">
        <w:rPr>
          <w:rFonts w:cs="Arial"/>
        </w:rPr>
        <w:t>Monthly rent will be offset by the total hourly cost of documented off-duty work completed by the police officer that directly benefits the property the police officer lives in;</w:t>
      </w:r>
    </w:p>
    <w:p w14:paraId="5374452B" w14:textId="77777777" w:rsidR="00663F8C" w:rsidRPr="003F56C4" w:rsidRDefault="00663F8C" w:rsidP="007F177E">
      <w:pPr>
        <w:pStyle w:val="ListParagraph"/>
        <w:widowControl w:val="0"/>
        <w:numPr>
          <w:ilvl w:val="0"/>
          <w:numId w:val="181"/>
        </w:numPr>
        <w:tabs>
          <w:tab w:val="left" w:pos="1601"/>
        </w:tabs>
        <w:autoSpaceDE w:val="0"/>
        <w:autoSpaceDN w:val="0"/>
        <w:ind w:left="720"/>
        <w:contextualSpacing w:val="0"/>
        <w:rPr>
          <w:rFonts w:cs="Arial"/>
        </w:rPr>
      </w:pPr>
      <w:r w:rsidRPr="003F56C4">
        <w:rPr>
          <w:rFonts w:cs="Arial"/>
        </w:rPr>
        <w:t>The police officer</w:t>
      </w:r>
      <w:r w:rsidR="00E002A5">
        <w:rPr>
          <w:rFonts w:cs="Arial"/>
        </w:rPr>
        <w:t>’</w:t>
      </w:r>
      <w:r w:rsidRPr="003F56C4">
        <w:rPr>
          <w:rFonts w:cs="Arial"/>
        </w:rPr>
        <w:t>s residency is contingent on his/her continuing to work as a police officer</w:t>
      </w:r>
      <w:r w:rsidR="00797096">
        <w:rPr>
          <w:rFonts w:cs="Arial"/>
        </w:rPr>
        <w:t>;</w:t>
      </w:r>
    </w:p>
    <w:p w14:paraId="2E8E653A" w14:textId="77777777" w:rsidR="00663F8C" w:rsidRPr="003F56C4" w:rsidRDefault="00663F8C" w:rsidP="007F177E">
      <w:pPr>
        <w:pStyle w:val="ListParagraph"/>
        <w:widowControl w:val="0"/>
        <w:numPr>
          <w:ilvl w:val="0"/>
          <w:numId w:val="181"/>
        </w:numPr>
        <w:tabs>
          <w:tab w:val="left" w:pos="1601"/>
        </w:tabs>
        <w:autoSpaceDE w:val="0"/>
        <w:autoSpaceDN w:val="0"/>
        <w:ind w:left="720"/>
        <w:contextualSpacing w:val="0"/>
        <w:rPr>
          <w:rFonts w:cs="Arial"/>
        </w:rPr>
      </w:pPr>
      <w:r w:rsidRPr="003F56C4">
        <w:rPr>
          <w:rFonts w:cs="Arial"/>
        </w:rPr>
        <w:t>The public housing unit must be the police officer’s only place of</w:t>
      </w:r>
      <w:r w:rsidRPr="003F56C4">
        <w:rPr>
          <w:rFonts w:cs="Arial"/>
          <w:spacing w:val="-15"/>
        </w:rPr>
        <w:t xml:space="preserve"> </w:t>
      </w:r>
      <w:r w:rsidRPr="003F56C4">
        <w:rPr>
          <w:rFonts w:cs="Arial"/>
        </w:rPr>
        <w:t>residence;</w:t>
      </w:r>
    </w:p>
    <w:p w14:paraId="27CE3D69" w14:textId="77777777" w:rsidR="00663F8C" w:rsidRPr="003F56C4" w:rsidRDefault="00663F8C" w:rsidP="007F177E">
      <w:pPr>
        <w:pStyle w:val="ListParagraph"/>
        <w:widowControl w:val="0"/>
        <w:numPr>
          <w:ilvl w:val="0"/>
          <w:numId w:val="181"/>
        </w:numPr>
        <w:tabs>
          <w:tab w:val="left" w:pos="1601"/>
        </w:tabs>
        <w:autoSpaceDE w:val="0"/>
        <w:autoSpaceDN w:val="0"/>
        <w:ind w:left="720"/>
        <w:contextualSpacing w:val="0"/>
        <w:rPr>
          <w:rFonts w:cs="Arial"/>
        </w:rPr>
      </w:pPr>
      <w:r w:rsidRPr="003F56C4">
        <w:rPr>
          <w:rFonts w:cs="Arial"/>
        </w:rPr>
        <w:t>The police officer’s dwelling lease will contain an Addendum outlining the specific duties and hours the officer will work during off-duty time at the public housing site where he/she resides</w:t>
      </w:r>
      <w:r w:rsidR="00E10FE0">
        <w:rPr>
          <w:rFonts w:cs="Arial"/>
        </w:rPr>
        <w:t>; and</w:t>
      </w:r>
    </w:p>
    <w:p w14:paraId="2E16A8BB" w14:textId="77777777" w:rsidR="00663F8C" w:rsidRDefault="00663F8C" w:rsidP="007F177E">
      <w:pPr>
        <w:pStyle w:val="ListParagraph"/>
        <w:widowControl w:val="0"/>
        <w:numPr>
          <w:ilvl w:val="0"/>
          <w:numId w:val="181"/>
        </w:numPr>
        <w:tabs>
          <w:tab w:val="left" w:pos="1601"/>
        </w:tabs>
        <w:autoSpaceDE w:val="0"/>
        <w:autoSpaceDN w:val="0"/>
        <w:ind w:left="720"/>
        <w:contextualSpacing w:val="0"/>
        <w:rPr>
          <w:rFonts w:cs="Arial"/>
        </w:rPr>
      </w:pPr>
      <w:r w:rsidRPr="003F56C4">
        <w:rPr>
          <w:rFonts w:cs="Arial"/>
        </w:rPr>
        <w:t>Among police officers, first preference will apply to officers who are income eligible for public</w:t>
      </w:r>
      <w:r w:rsidRPr="003F56C4">
        <w:rPr>
          <w:rFonts w:cs="Arial"/>
          <w:spacing w:val="-14"/>
        </w:rPr>
        <w:t xml:space="preserve"> </w:t>
      </w:r>
      <w:r w:rsidRPr="003F56C4">
        <w:rPr>
          <w:rFonts w:cs="Arial"/>
        </w:rPr>
        <w:t>housing,</w:t>
      </w:r>
      <w:r w:rsidRPr="003F56C4">
        <w:rPr>
          <w:rFonts w:cs="Arial"/>
          <w:spacing w:val="-14"/>
        </w:rPr>
        <w:t xml:space="preserve"> </w:t>
      </w:r>
      <w:r w:rsidRPr="003F56C4">
        <w:rPr>
          <w:rFonts w:cs="Arial"/>
        </w:rPr>
        <w:t>and</w:t>
      </w:r>
      <w:r w:rsidRPr="003F56C4">
        <w:rPr>
          <w:rFonts w:cs="Arial"/>
          <w:spacing w:val="-15"/>
        </w:rPr>
        <w:t xml:space="preserve"> </w:t>
      </w:r>
      <w:r w:rsidRPr="003F56C4">
        <w:rPr>
          <w:rFonts w:cs="Arial"/>
        </w:rPr>
        <w:t>then,</w:t>
      </w:r>
      <w:r w:rsidRPr="003F56C4">
        <w:rPr>
          <w:rFonts w:cs="Arial"/>
          <w:spacing w:val="-13"/>
        </w:rPr>
        <w:t xml:space="preserve"> </w:t>
      </w:r>
      <w:r w:rsidRPr="003F56C4">
        <w:rPr>
          <w:rFonts w:cs="Arial"/>
        </w:rPr>
        <w:t>to</w:t>
      </w:r>
      <w:r w:rsidRPr="003F56C4">
        <w:rPr>
          <w:rFonts w:cs="Arial"/>
          <w:spacing w:val="-15"/>
        </w:rPr>
        <w:t xml:space="preserve"> </w:t>
      </w:r>
      <w:r w:rsidRPr="003F56C4">
        <w:rPr>
          <w:rFonts w:cs="Arial"/>
        </w:rPr>
        <w:t>officers</w:t>
      </w:r>
      <w:r w:rsidRPr="003F56C4">
        <w:rPr>
          <w:rFonts w:cs="Arial"/>
          <w:spacing w:val="-14"/>
        </w:rPr>
        <w:t xml:space="preserve"> </w:t>
      </w:r>
      <w:r w:rsidRPr="003F56C4">
        <w:rPr>
          <w:rFonts w:cs="Arial"/>
        </w:rPr>
        <w:t>whose</w:t>
      </w:r>
      <w:r w:rsidRPr="003F56C4">
        <w:rPr>
          <w:rFonts w:cs="Arial"/>
          <w:spacing w:val="-13"/>
        </w:rPr>
        <w:t xml:space="preserve"> </w:t>
      </w:r>
      <w:r w:rsidRPr="003F56C4">
        <w:rPr>
          <w:rFonts w:cs="Arial"/>
        </w:rPr>
        <w:t>income</w:t>
      </w:r>
      <w:r w:rsidRPr="003F56C4">
        <w:rPr>
          <w:rFonts w:cs="Arial"/>
          <w:spacing w:val="-15"/>
        </w:rPr>
        <w:t xml:space="preserve"> </w:t>
      </w:r>
      <w:r w:rsidRPr="003F56C4">
        <w:rPr>
          <w:rFonts w:cs="Arial"/>
        </w:rPr>
        <w:t>exceeds</w:t>
      </w:r>
      <w:r w:rsidRPr="003F56C4">
        <w:rPr>
          <w:rFonts w:cs="Arial"/>
          <w:spacing w:val="-14"/>
        </w:rPr>
        <w:t xml:space="preserve"> </w:t>
      </w:r>
      <w:r w:rsidRPr="003F56C4">
        <w:rPr>
          <w:rFonts w:cs="Arial"/>
        </w:rPr>
        <w:t>applicable</w:t>
      </w:r>
      <w:r w:rsidRPr="003F56C4">
        <w:rPr>
          <w:rFonts w:cs="Arial"/>
          <w:spacing w:val="-14"/>
        </w:rPr>
        <w:t xml:space="preserve"> </w:t>
      </w:r>
      <w:r w:rsidRPr="003F56C4">
        <w:rPr>
          <w:rFonts w:cs="Arial"/>
        </w:rPr>
        <w:t>income</w:t>
      </w:r>
      <w:r w:rsidRPr="003F56C4">
        <w:rPr>
          <w:rFonts w:cs="Arial"/>
          <w:spacing w:val="-13"/>
        </w:rPr>
        <w:t xml:space="preserve"> </w:t>
      </w:r>
      <w:r w:rsidRPr="003F56C4">
        <w:rPr>
          <w:rFonts w:cs="Arial"/>
        </w:rPr>
        <w:t>limitations</w:t>
      </w:r>
      <w:r w:rsidR="00B5019E">
        <w:rPr>
          <w:rFonts w:cs="Arial"/>
        </w:rPr>
        <w:t>.</w:t>
      </w:r>
    </w:p>
    <w:p w14:paraId="3653E1A1" w14:textId="77777777" w:rsidR="00FA29CB" w:rsidRPr="00C821B5" w:rsidRDefault="00FA29CB" w:rsidP="00677451">
      <w:pPr>
        <w:pStyle w:val="Heading3"/>
      </w:pPr>
      <w:bookmarkStart w:id="135" w:name="_Ref156485531"/>
      <w:bookmarkStart w:id="136" w:name="_Ref156485585"/>
      <w:bookmarkStart w:id="137" w:name="_Toc200375508"/>
      <w:r w:rsidRPr="00C821B5">
        <w:t>Special Cooperation with States Attorneys and and/or Law Enforcement Agencies to Relocate Households</w:t>
      </w:r>
      <w:bookmarkEnd w:id="135"/>
      <w:r w:rsidR="00F85BD5">
        <w:t xml:space="preserve"> Preference</w:t>
      </w:r>
      <w:bookmarkEnd w:id="136"/>
      <w:bookmarkEnd w:id="137"/>
    </w:p>
    <w:p w14:paraId="4B03B335" w14:textId="77777777" w:rsidR="00FA29CB" w:rsidRPr="003F56C4" w:rsidRDefault="00FA29CB" w:rsidP="00FA29CB">
      <w:pPr>
        <w:rPr>
          <w:rFonts w:cs="Arial"/>
        </w:rPr>
      </w:pPr>
      <w:r w:rsidRPr="003F56C4">
        <w:rPr>
          <w:rFonts w:cs="Arial"/>
        </w:rPr>
        <w:t xml:space="preserve">HHA from time to time may cooperate with states attorneys and/or law enforcement agencies to relocate households eligible for rent assistance for protection of potential witnesses. An </w:t>
      </w:r>
      <w:r>
        <w:rPr>
          <w:rFonts w:cs="Arial"/>
        </w:rPr>
        <w:t>e</w:t>
      </w:r>
      <w:r w:rsidRPr="003F56C4">
        <w:rPr>
          <w:rFonts w:cs="Arial"/>
        </w:rPr>
        <w:t>xample of such action may but not necessarily be limited to, a household whose member(s) has extended themself in the public interest which placed them in personal jeopardy.</w:t>
      </w:r>
    </w:p>
    <w:p w14:paraId="67FECA4C" w14:textId="77777777" w:rsidR="00663F8C" w:rsidRPr="003F56C4" w:rsidRDefault="00663F8C" w:rsidP="00677451">
      <w:pPr>
        <w:pStyle w:val="Heading3"/>
      </w:pPr>
      <w:bookmarkStart w:id="138" w:name="_Ref157606656"/>
      <w:bookmarkStart w:id="139" w:name="_Toc200375509"/>
      <w:r w:rsidRPr="003F56C4">
        <w:t>Non-Public Housing Over-Income Families</w:t>
      </w:r>
      <w:bookmarkEnd w:id="138"/>
      <w:bookmarkEnd w:id="139"/>
    </w:p>
    <w:p w14:paraId="34A3C1D7" w14:textId="77777777" w:rsidR="00663F8C" w:rsidRPr="003F56C4" w:rsidRDefault="00663F8C" w:rsidP="00AA14E4">
      <w:pPr>
        <w:rPr>
          <w:rFonts w:cs="Arial"/>
        </w:rPr>
      </w:pPr>
      <w:r w:rsidRPr="003F56C4">
        <w:rPr>
          <w:rFonts w:cs="Arial"/>
        </w:rPr>
        <w:t xml:space="preserve">Families who exceed the over-income limit for 24 consecutive months—or upon HUD approval, 36 consecutive months—and who sign a Non-Public Housing Over-Income (NPHOI) lease and remain in their unit will be given a preference for the waiting list at the property where they reside should the NPHOI family become a low-income family as defined under 24 CFR 5.603(b) and eligible for admission to HHA. See </w:t>
      </w:r>
      <w:hyperlink w:anchor="_OVER-INCOME_FAMILIES" w:history="1">
        <w:r w:rsidR="00E522A7" w:rsidRPr="00E522A7">
          <w:rPr>
            <w:rStyle w:val="Hyperlink"/>
            <w:rFonts w:cs="Arial"/>
            <w:b w:val="0"/>
            <w:bCs/>
            <w:color w:val="0070C0"/>
            <w:u w:val="none"/>
          </w:rPr>
          <w:fldChar w:fldCharType="begin"/>
        </w:r>
        <w:r w:rsidR="00E522A7" w:rsidRPr="00E522A7">
          <w:rPr>
            <w:rFonts w:cs="Arial"/>
            <w:b/>
            <w:bCs/>
            <w:color w:val="0070C0"/>
          </w:rPr>
          <w:instrText xml:space="preserve"> REF _Ref151015055 \h </w:instrText>
        </w:r>
        <w:r w:rsidR="00E522A7">
          <w:rPr>
            <w:rStyle w:val="Hyperlink"/>
            <w:rFonts w:cs="Arial"/>
            <w:b w:val="0"/>
            <w:bCs/>
            <w:color w:val="0070C0"/>
            <w:u w:val="none"/>
          </w:rPr>
          <w:instrText xml:space="preserve"> \* MERGEFORMAT </w:instrText>
        </w:r>
        <w:r w:rsidR="00E522A7" w:rsidRPr="00E522A7">
          <w:rPr>
            <w:rStyle w:val="Hyperlink"/>
            <w:rFonts w:cs="Arial"/>
            <w:b w:val="0"/>
            <w:bCs/>
            <w:color w:val="0070C0"/>
            <w:u w:val="none"/>
          </w:rPr>
        </w:r>
        <w:r w:rsidR="00E522A7" w:rsidRPr="00E522A7">
          <w:rPr>
            <w:rStyle w:val="Hyperlink"/>
            <w:rFonts w:cs="Arial"/>
            <w:b w:val="0"/>
            <w:bCs/>
            <w:color w:val="0070C0"/>
            <w:u w:val="none"/>
          </w:rPr>
          <w:fldChar w:fldCharType="separate"/>
        </w:r>
        <w:r w:rsidR="00E522A7" w:rsidRPr="00E522A7">
          <w:rPr>
            <w:b/>
            <w:bCs/>
            <w:color w:val="0070C0"/>
          </w:rPr>
          <w:t>OVER-INCOME FAMILIES</w:t>
        </w:r>
        <w:r w:rsidR="00E522A7" w:rsidRPr="00E522A7">
          <w:rPr>
            <w:rStyle w:val="Hyperlink"/>
            <w:rFonts w:cs="Arial"/>
            <w:b w:val="0"/>
            <w:bCs/>
            <w:color w:val="0070C0"/>
            <w:u w:val="none"/>
          </w:rPr>
          <w:fldChar w:fldCharType="end"/>
        </w:r>
      </w:hyperlink>
      <w:r w:rsidRPr="003F56C4">
        <w:rPr>
          <w:rFonts w:cs="Arial"/>
        </w:rPr>
        <w:t xml:space="preserve"> for more information on NPHOI families.</w:t>
      </w:r>
    </w:p>
    <w:p w14:paraId="09503518" w14:textId="77777777" w:rsidR="00663F8C" w:rsidRPr="003F56C4" w:rsidRDefault="00663F8C" w:rsidP="00677451">
      <w:pPr>
        <w:pStyle w:val="Heading3"/>
      </w:pPr>
      <w:bookmarkStart w:id="140" w:name="_Ref156397666"/>
      <w:bookmarkStart w:id="141" w:name="_Toc200375510"/>
      <w:r w:rsidRPr="003F56C4">
        <w:t>Factors Other than Preferences that Affect Selection of Applicants</w:t>
      </w:r>
      <w:bookmarkEnd w:id="140"/>
      <w:bookmarkEnd w:id="141"/>
    </w:p>
    <w:p w14:paraId="651180FB" w14:textId="77777777" w:rsidR="00663F8C" w:rsidRDefault="00663F8C" w:rsidP="00AA14E4">
      <w:pPr>
        <w:pStyle w:val="BodyText"/>
        <w:spacing w:after="160" w:line="259" w:lineRule="auto"/>
        <w:jc w:val="both"/>
        <w:rPr>
          <w:sz w:val="22"/>
          <w:szCs w:val="22"/>
        </w:rPr>
      </w:pPr>
      <w:r w:rsidRPr="003F56C4">
        <w:rPr>
          <w:b/>
          <w:bCs/>
          <w:iCs/>
          <w:sz w:val="22"/>
          <w:szCs w:val="22"/>
        </w:rPr>
        <w:t xml:space="preserve">Accessible </w:t>
      </w:r>
      <w:r w:rsidR="00546EEF">
        <w:rPr>
          <w:b/>
          <w:bCs/>
          <w:iCs/>
          <w:sz w:val="22"/>
          <w:szCs w:val="22"/>
        </w:rPr>
        <w:t>U</w:t>
      </w:r>
      <w:r w:rsidRPr="003F56C4">
        <w:rPr>
          <w:b/>
          <w:bCs/>
          <w:iCs/>
          <w:sz w:val="22"/>
          <w:szCs w:val="22"/>
        </w:rPr>
        <w:t>nits</w:t>
      </w:r>
      <w:r w:rsidRPr="003F56C4">
        <w:rPr>
          <w:sz w:val="22"/>
          <w:szCs w:val="22"/>
        </w:rPr>
        <w:t>: For Uniform Federal Accessibility Standards (UFAS) accessible units, resident</w:t>
      </w:r>
      <w:r w:rsidRPr="003F56C4">
        <w:rPr>
          <w:spacing w:val="-3"/>
          <w:sz w:val="22"/>
          <w:szCs w:val="22"/>
        </w:rPr>
        <w:t xml:space="preserve"> </w:t>
      </w:r>
      <w:r w:rsidRPr="003F56C4">
        <w:rPr>
          <w:sz w:val="22"/>
          <w:szCs w:val="22"/>
        </w:rPr>
        <w:t>and</w:t>
      </w:r>
      <w:r w:rsidRPr="003F56C4">
        <w:rPr>
          <w:spacing w:val="-3"/>
          <w:sz w:val="22"/>
          <w:szCs w:val="22"/>
        </w:rPr>
        <w:t xml:space="preserve"> </w:t>
      </w:r>
      <w:r w:rsidRPr="003F56C4">
        <w:rPr>
          <w:sz w:val="22"/>
          <w:szCs w:val="22"/>
        </w:rPr>
        <w:t>applicant</w:t>
      </w:r>
      <w:r w:rsidRPr="003F56C4">
        <w:rPr>
          <w:spacing w:val="-3"/>
          <w:sz w:val="22"/>
          <w:szCs w:val="22"/>
        </w:rPr>
        <w:t xml:space="preserve"> </w:t>
      </w:r>
      <w:r w:rsidRPr="003F56C4">
        <w:rPr>
          <w:sz w:val="22"/>
          <w:szCs w:val="22"/>
        </w:rPr>
        <w:t>families</w:t>
      </w:r>
      <w:r w:rsidRPr="003F56C4">
        <w:rPr>
          <w:spacing w:val="-1"/>
          <w:sz w:val="22"/>
          <w:szCs w:val="22"/>
        </w:rPr>
        <w:t xml:space="preserve"> </w:t>
      </w:r>
      <w:r w:rsidRPr="003F56C4">
        <w:rPr>
          <w:sz w:val="22"/>
          <w:szCs w:val="22"/>
        </w:rPr>
        <w:t>that</w:t>
      </w:r>
      <w:r w:rsidRPr="003F56C4">
        <w:rPr>
          <w:spacing w:val="-6"/>
          <w:sz w:val="22"/>
          <w:szCs w:val="22"/>
        </w:rPr>
        <w:t xml:space="preserve"> </w:t>
      </w:r>
      <w:r w:rsidRPr="003F56C4">
        <w:rPr>
          <w:sz w:val="22"/>
          <w:szCs w:val="22"/>
        </w:rPr>
        <w:t>include</w:t>
      </w:r>
      <w:r w:rsidRPr="003F56C4">
        <w:rPr>
          <w:spacing w:val="-2"/>
          <w:sz w:val="22"/>
          <w:szCs w:val="22"/>
        </w:rPr>
        <w:t xml:space="preserve"> </w:t>
      </w:r>
      <w:r w:rsidRPr="003F56C4">
        <w:rPr>
          <w:sz w:val="22"/>
          <w:szCs w:val="22"/>
        </w:rPr>
        <w:t>a</w:t>
      </w:r>
      <w:r w:rsidRPr="003F56C4">
        <w:rPr>
          <w:spacing w:val="-6"/>
          <w:sz w:val="22"/>
          <w:szCs w:val="22"/>
        </w:rPr>
        <w:t xml:space="preserve"> </w:t>
      </w:r>
      <w:r w:rsidRPr="003F56C4">
        <w:rPr>
          <w:sz w:val="22"/>
          <w:szCs w:val="22"/>
        </w:rPr>
        <w:t>member</w:t>
      </w:r>
      <w:r w:rsidRPr="003F56C4">
        <w:rPr>
          <w:spacing w:val="-4"/>
          <w:sz w:val="22"/>
          <w:szCs w:val="22"/>
        </w:rPr>
        <w:t xml:space="preserve"> </w:t>
      </w:r>
      <w:r w:rsidRPr="003F56C4">
        <w:rPr>
          <w:sz w:val="22"/>
          <w:szCs w:val="22"/>
        </w:rPr>
        <w:t>with</w:t>
      </w:r>
      <w:r w:rsidRPr="003F56C4">
        <w:rPr>
          <w:spacing w:val="-3"/>
          <w:sz w:val="22"/>
          <w:szCs w:val="22"/>
        </w:rPr>
        <w:t xml:space="preserve"> </w:t>
      </w:r>
      <w:r w:rsidRPr="003F56C4">
        <w:rPr>
          <w:sz w:val="22"/>
          <w:szCs w:val="22"/>
        </w:rPr>
        <w:t>a</w:t>
      </w:r>
      <w:r w:rsidRPr="003F56C4">
        <w:rPr>
          <w:spacing w:val="-2"/>
          <w:sz w:val="22"/>
          <w:szCs w:val="22"/>
        </w:rPr>
        <w:t xml:space="preserve"> </w:t>
      </w:r>
      <w:r w:rsidRPr="003F56C4">
        <w:rPr>
          <w:sz w:val="22"/>
          <w:szCs w:val="22"/>
        </w:rPr>
        <w:t>disability</w:t>
      </w:r>
      <w:r w:rsidRPr="003F56C4">
        <w:rPr>
          <w:spacing w:val="-5"/>
          <w:sz w:val="22"/>
          <w:szCs w:val="22"/>
        </w:rPr>
        <w:t xml:space="preserve"> </w:t>
      </w:r>
      <w:r w:rsidRPr="003F56C4">
        <w:rPr>
          <w:sz w:val="22"/>
          <w:szCs w:val="22"/>
        </w:rPr>
        <w:t>who</w:t>
      </w:r>
      <w:r w:rsidRPr="003F56C4">
        <w:rPr>
          <w:spacing w:val="-4"/>
          <w:sz w:val="22"/>
          <w:szCs w:val="22"/>
        </w:rPr>
        <w:t xml:space="preserve"> </w:t>
      </w:r>
      <w:r w:rsidRPr="003F56C4">
        <w:rPr>
          <w:sz w:val="22"/>
          <w:szCs w:val="22"/>
        </w:rPr>
        <w:t>has</w:t>
      </w:r>
      <w:r w:rsidRPr="003F56C4">
        <w:rPr>
          <w:spacing w:val="-2"/>
          <w:sz w:val="22"/>
          <w:szCs w:val="22"/>
        </w:rPr>
        <w:t xml:space="preserve"> </w:t>
      </w:r>
      <w:r w:rsidRPr="003F56C4">
        <w:rPr>
          <w:sz w:val="22"/>
          <w:szCs w:val="22"/>
        </w:rPr>
        <w:t>a</w:t>
      </w:r>
      <w:r w:rsidRPr="003F56C4">
        <w:rPr>
          <w:spacing w:val="-8"/>
          <w:sz w:val="22"/>
          <w:szCs w:val="22"/>
        </w:rPr>
        <w:t xml:space="preserve"> </w:t>
      </w:r>
      <w:r w:rsidRPr="003F56C4">
        <w:rPr>
          <w:sz w:val="22"/>
          <w:szCs w:val="22"/>
        </w:rPr>
        <w:t>verified reasonable accommodation to need the features of such units will be given preference for admission over a household that does not include a member with such a disability. Further,</w:t>
      </w:r>
      <w:r w:rsidRPr="003F56C4">
        <w:rPr>
          <w:spacing w:val="13"/>
          <w:sz w:val="22"/>
          <w:szCs w:val="22"/>
        </w:rPr>
        <w:t xml:space="preserve"> </w:t>
      </w:r>
      <w:r w:rsidRPr="003F56C4">
        <w:rPr>
          <w:sz w:val="22"/>
          <w:szCs w:val="22"/>
        </w:rPr>
        <w:t>persons</w:t>
      </w:r>
      <w:r w:rsidRPr="003F56C4">
        <w:rPr>
          <w:spacing w:val="13"/>
          <w:sz w:val="22"/>
          <w:szCs w:val="22"/>
        </w:rPr>
        <w:t xml:space="preserve"> </w:t>
      </w:r>
      <w:r w:rsidRPr="003F56C4">
        <w:rPr>
          <w:sz w:val="22"/>
          <w:szCs w:val="22"/>
        </w:rPr>
        <w:t>needing</w:t>
      </w:r>
      <w:r w:rsidRPr="003F56C4">
        <w:rPr>
          <w:spacing w:val="12"/>
          <w:sz w:val="22"/>
          <w:szCs w:val="22"/>
        </w:rPr>
        <w:t xml:space="preserve"> </w:t>
      </w:r>
      <w:r w:rsidRPr="003F56C4">
        <w:rPr>
          <w:sz w:val="22"/>
          <w:szCs w:val="22"/>
        </w:rPr>
        <w:t>more</w:t>
      </w:r>
      <w:r w:rsidRPr="003F56C4">
        <w:rPr>
          <w:spacing w:val="14"/>
          <w:sz w:val="22"/>
          <w:szCs w:val="22"/>
        </w:rPr>
        <w:t xml:space="preserve"> </w:t>
      </w:r>
      <w:r w:rsidRPr="003F56C4">
        <w:rPr>
          <w:sz w:val="22"/>
          <w:szCs w:val="22"/>
        </w:rPr>
        <w:t>features</w:t>
      </w:r>
      <w:r w:rsidRPr="003F56C4">
        <w:rPr>
          <w:spacing w:val="11"/>
          <w:sz w:val="22"/>
          <w:szCs w:val="22"/>
        </w:rPr>
        <w:t xml:space="preserve"> </w:t>
      </w:r>
      <w:r w:rsidRPr="003F56C4">
        <w:rPr>
          <w:sz w:val="22"/>
          <w:szCs w:val="22"/>
        </w:rPr>
        <w:t>of</w:t>
      </w:r>
      <w:r w:rsidRPr="003F56C4">
        <w:rPr>
          <w:spacing w:val="13"/>
          <w:sz w:val="22"/>
          <w:szCs w:val="22"/>
        </w:rPr>
        <w:t xml:space="preserve"> </w:t>
      </w:r>
      <w:r w:rsidRPr="003F56C4">
        <w:rPr>
          <w:sz w:val="22"/>
          <w:szCs w:val="22"/>
        </w:rPr>
        <w:t>a</w:t>
      </w:r>
      <w:r w:rsidRPr="003F56C4">
        <w:rPr>
          <w:spacing w:val="13"/>
          <w:sz w:val="22"/>
          <w:szCs w:val="22"/>
        </w:rPr>
        <w:t xml:space="preserve"> </w:t>
      </w:r>
      <w:r w:rsidRPr="003F56C4">
        <w:rPr>
          <w:sz w:val="22"/>
          <w:szCs w:val="22"/>
        </w:rPr>
        <w:t>specific</w:t>
      </w:r>
      <w:r w:rsidRPr="003F56C4">
        <w:rPr>
          <w:spacing w:val="11"/>
          <w:sz w:val="22"/>
          <w:szCs w:val="22"/>
        </w:rPr>
        <w:t xml:space="preserve"> </w:t>
      </w:r>
      <w:r w:rsidRPr="003F56C4">
        <w:rPr>
          <w:sz w:val="22"/>
          <w:szCs w:val="22"/>
        </w:rPr>
        <w:t>unit</w:t>
      </w:r>
      <w:r w:rsidRPr="003F56C4">
        <w:rPr>
          <w:spacing w:val="14"/>
          <w:sz w:val="22"/>
          <w:szCs w:val="22"/>
        </w:rPr>
        <w:t xml:space="preserve"> </w:t>
      </w:r>
      <w:r w:rsidRPr="003F56C4">
        <w:rPr>
          <w:sz w:val="22"/>
          <w:szCs w:val="22"/>
        </w:rPr>
        <w:t>will</w:t>
      </w:r>
      <w:r w:rsidRPr="003F56C4">
        <w:rPr>
          <w:spacing w:val="14"/>
          <w:sz w:val="22"/>
          <w:szCs w:val="22"/>
        </w:rPr>
        <w:t xml:space="preserve"> </w:t>
      </w:r>
      <w:r w:rsidRPr="003F56C4">
        <w:rPr>
          <w:sz w:val="22"/>
          <w:szCs w:val="22"/>
        </w:rPr>
        <w:t>be</w:t>
      </w:r>
      <w:r w:rsidRPr="003F56C4">
        <w:rPr>
          <w:spacing w:val="14"/>
          <w:sz w:val="22"/>
          <w:szCs w:val="22"/>
        </w:rPr>
        <w:t xml:space="preserve"> </w:t>
      </w:r>
      <w:r w:rsidRPr="003F56C4">
        <w:rPr>
          <w:sz w:val="22"/>
          <w:szCs w:val="22"/>
        </w:rPr>
        <w:t>given</w:t>
      </w:r>
      <w:r w:rsidRPr="003F56C4">
        <w:rPr>
          <w:spacing w:val="12"/>
          <w:sz w:val="22"/>
          <w:szCs w:val="22"/>
        </w:rPr>
        <w:t xml:space="preserve"> </w:t>
      </w:r>
      <w:r w:rsidRPr="003F56C4">
        <w:rPr>
          <w:sz w:val="22"/>
          <w:szCs w:val="22"/>
        </w:rPr>
        <w:t>preference</w:t>
      </w:r>
      <w:r w:rsidRPr="003F56C4">
        <w:rPr>
          <w:spacing w:val="14"/>
          <w:sz w:val="22"/>
          <w:szCs w:val="22"/>
        </w:rPr>
        <w:t xml:space="preserve"> </w:t>
      </w:r>
      <w:r w:rsidRPr="003F56C4">
        <w:rPr>
          <w:sz w:val="22"/>
          <w:szCs w:val="22"/>
        </w:rPr>
        <w:t>over persons needing fewer features of the units available.</w:t>
      </w:r>
    </w:p>
    <w:p w14:paraId="6B8DFDEA" w14:textId="77777777" w:rsidR="009157D4" w:rsidRPr="009157D4" w:rsidRDefault="009157D4" w:rsidP="00BB64BD">
      <w:pPr>
        <w:pStyle w:val="Heading2"/>
      </w:pPr>
      <w:bookmarkStart w:id="142" w:name="_Ref156397679"/>
      <w:bookmarkStart w:id="143" w:name="_Ref156398471"/>
      <w:bookmarkStart w:id="144" w:name="_Ref163642641"/>
      <w:bookmarkStart w:id="145" w:name="_Ref163642997"/>
      <w:bookmarkStart w:id="146" w:name="_Toc173222645"/>
      <w:bookmarkStart w:id="147" w:name="_Toc200375511"/>
      <w:bookmarkStart w:id="148" w:name="_Toc200376911"/>
      <w:r w:rsidRPr="009157D4">
        <w:t>Special Admissions</w:t>
      </w:r>
      <w:bookmarkEnd w:id="142"/>
      <w:bookmarkEnd w:id="143"/>
      <w:r w:rsidR="001E5588">
        <w:t xml:space="preserve"> for Continually Assisted Families</w:t>
      </w:r>
      <w:bookmarkEnd w:id="144"/>
      <w:bookmarkEnd w:id="145"/>
      <w:bookmarkEnd w:id="146"/>
      <w:bookmarkEnd w:id="147"/>
      <w:bookmarkEnd w:id="148"/>
    </w:p>
    <w:p w14:paraId="4152E6F4" w14:textId="77777777" w:rsidR="00DD2ABD" w:rsidRDefault="00546EEF" w:rsidP="009157D4">
      <w:pPr>
        <w:pStyle w:val="BodyText"/>
        <w:spacing w:after="160" w:line="259" w:lineRule="auto"/>
        <w:jc w:val="both"/>
        <w:rPr>
          <w:iCs/>
          <w:sz w:val="22"/>
          <w:szCs w:val="22"/>
        </w:rPr>
      </w:pPr>
      <w:r w:rsidRPr="00A511F5">
        <w:rPr>
          <w:iCs/>
          <w:sz w:val="22"/>
          <w:szCs w:val="22"/>
        </w:rPr>
        <w:t>HHA will consider special admission</w:t>
      </w:r>
      <w:r w:rsidR="00BF6EA6">
        <w:rPr>
          <w:iCs/>
          <w:sz w:val="22"/>
          <w:szCs w:val="22"/>
        </w:rPr>
        <w:t>s</w:t>
      </w:r>
      <w:r w:rsidRPr="00A511F5">
        <w:rPr>
          <w:iCs/>
          <w:sz w:val="22"/>
          <w:szCs w:val="22"/>
        </w:rPr>
        <w:t xml:space="preserve"> </w:t>
      </w:r>
      <w:r w:rsidR="00DD2ABD">
        <w:rPr>
          <w:iCs/>
          <w:sz w:val="22"/>
          <w:szCs w:val="22"/>
        </w:rPr>
        <w:t xml:space="preserve">in certain </w:t>
      </w:r>
      <w:r w:rsidR="00B92AD7">
        <w:rPr>
          <w:iCs/>
          <w:sz w:val="22"/>
          <w:szCs w:val="22"/>
        </w:rPr>
        <w:t xml:space="preserve">specific </w:t>
      </w:r>
      <w:r w:rsidR="00DD2ABD">
        <w:rPr>
          <w:iCs/>
          <w:sz w:val="22"/>
          <w:szCs w:val="22"/>
        </w:rPr>
        <w:t>circumstances.</w:t>
      </w:r>
      <w:r w:rsidR="00E10FE0">
        <w:rPr>
          <w:iCs/>
          <w:sz w:val="22"/>
          <w:szCs w:val="22"/>
        </w:rPr>
        <w:t xml:space="preserve"> </w:t>
      </w:r>
      <w:r w:rsidR="005D2739">
        <w:rPr>
          <w:iCs/>
          <w:sz w:val="22"/>
          <w:szCs w:val="22"/>
        </w:rPr>
        <w:t xml:space="preserve">These families </w:t>
      </w:r>
      <w:r w:rsidR="00843AA6">
        <w:rPr>
          <w:iCs/>
          <w:sz w:val="22"/>
          <w:szCs w:val="22"/>
        </w:rPr>
        <w:t>will be prioritized over all other applicants on the public housing waiting list(s).</w:t>
      </w:r>
    </w:p>
    <w:p w14:paraId="2472FCAD" w14:textId="77777777" w:rsidR="00546EEF" w:rsidRPr="00A511F5" w:rsidRDefault="00BF6EA6" w:rsidP="009157D4">
      <w:pPr>
        <w:pStyle w:val="BodyText"/>
        <w:spacing w:after="160" w:line="259" w:lineRule="auto"/>
        <w:jc w:val="both"/>
        <w:rPr>
          <w:iCs/>
          <w:sz w:val="22"/>
          <w:szCs w:val="22"/>
        </w:rPr>
      </w:pPr>
      <w:r>
        <w:rPr>
          <w:iCs/>
          <w:sz w:val="22"/>
          <w:szCs w:val="22"/>
        </w:rPr>
        <w:t xml:space="preserve">HHA will consider special admission </w:t>
      </w:r>
      <w:r w:rsidR="00546EEF" w:rsidRPr="00A511F5">
        <w:rPr>
          <w:iCs/>
          <w:sz w:val="22"/>
          <w:szCs w:val="22"/>
        </w:rPr>
        <w:t xml:space="preserve">for </w:t>
      </w:r>
      <w:r>
        <w:rPr>
          <w:iCs/>
          <w:sz w:val="22"/>
          <w:szCs w:val="22"/>
        </w:rPr>
        <w:t xml:space="preserve">continually assisted </w:t>
      </w:r>
      <w:r w:rsidR="00546EEF" w:rsidRPr="00A511F5">
        <w:rPr>
          <w:iCs/>
          <w:sz w:val="22"/>
          <w:szCs w:val="22"/>
        </w:rPr>
        <w:t>families that:</w:t>
      </w:r>
    </w:p>
    <w:p w14:paraId="6A54511C" w14:textId="77777777" w:rsidR="00A511F5" w:rsidRPr="009157D4" w:rsidRDefault="00A511F5" w:rsidP="007F177E">
      <w:pPr>
        <w:pStyle w:val="ListParagraph"/>
        <w:numPr>
          <w:ilvl w:val="0"/>
          <w:numId w:val="207"/>
        </w:numPr>
        <w:contextualSpacing w:val="0"/>
      </w:pPr>
      <w:r w:rsidRPr="009157D4">
        <w:t xml:space="preserve">Are being relocated from </w:t>
      </w:r>
      <w:r w:rsidR="00AB604F">
        <w:t>HHA’s</w:t>
      </w:r>
      <w:r w:rsidRPr="009157D4">
        <w:t xml:space="preserve"> properties in which HHA is participating that are being demolished, undergoing substantial capital improvements, modernization, or rehabilitation or who are being relocated pursuant to agreements already in place between HHA and the tax credit property ownership entity; or </w:t>
      </w:r>
    </w:p>
    <w:p w14:paraId="3FB89E53" w14:textId="2022319D" w:rsidR="00A511F5" w:rsidRPr="009157D4" w:rsidRDefault="00A511F5" w:rsidP="007F177E">
      <w:pPr>
        <w:pStyle w:val="ListParagraph"/>
        <w:numPr>
          <w:ilvl w:val="0"/>
          <w:numId w:val="207"/>
        </w:numPr>
        <w:contextualSpacing w:val="0"/>
      </w:pPr>
      <w:r w:rsidRPr="009157D4">
        <w:t xml:space="preserve">Have lost assisted housing or are about to lose assisted housing because a private owner receiving project-based Section 8 assistance opts out of, chooses not to renew the HAP contract or fails quality inspections, requiring that the HAP contract be cancelled; </w:t>
      </w:r>
    </w:p>
    <w:p w14:paraId="56846810" w14:textId="18DF0AA5" w:rsidR="00400DD8" w:rsidRDefault="00A511F5" w:rsidP="00400DD8">
      <w:pPr>
        <w:pStyle w:val="ListParagraph"/>
        <w:numPr>
          <w:ilvl w:val="0"/>
          <w:numId w:val="207"/>
        </w:numPr>
        <w:contextualSpacing w:val="0"/>
      </w:pPr>
      <w:r w:rsidRPr="009157D4">
        <w:t>Are receiving assistance in a Section 8 SRO or Mod Rehab program and the owner of the program intends to opt out, not renew, or reduce the program size</w:t>
      </w:r>
      <w:r w:rsidR="00400DD8">
        <w:t>;</w:t>
      </w:r>
      <w:r w:rsidR="001D7B20">
        <w:t xml:space="preserve"> or</w:t>
      </w:r>
    </w:p>
    <w:p w14:paraId="58A68784" w14:textId="5122264E" w:rsidR="00400DD8" w:rsidRPr="00400DD8" w:rsidRDefault="00400DD8" w:rsidP="00400DD8">
      <w:pPr>
        <w:pStyle w:val="ListParagraph"/>
        <w:numPr>
          <w:ilvl w:val="0"/>
          <w:numId w:val="207"/>
        </w:numPr>
        <w:contextualSpacing w:val="0"/>
      </w:pPr>
      <w:r>
        <w:rPr>
          <w:iCs/>
        </w:rPr>
        <w:t>Are a</w:t>
      </w:r>
      <w:r w:rsidRPr="00400DD8">
        <w:rPr>
          <w:iCs/>
        </w:rPr>
        <w:t xml:space="preserve"> tenant-based and/or project-based family in the Housing Choice Voucher (HCV) program displaced due to Housing Quality Standards (HQS)/National Standards for the Physical Inspection of Real Estate (NSPIRE) noncompliance (in accordance with 24 CFR 982.404(e)(2) and 24 CFR 983.208(d)(6)(ii)). </w:t>
      </w:r>
      <w:r w:rsidR="00D2377E">
        <w:rPr>
          <w:iCs/>
        </w:rPr>
        <w:t>For these families only</w:t>
      </w:r>
      <w:r w:rsidRPr="00400DD8">
        <w:rPr>
          <w:iCs/>
        </w:rPr>
        <w:t>, HHA will offer, and if accepted, provide the family a selection preference for an appropriate-size public housing unit that first becomes available for occupancy if:</w:t>
      </w:r>
    </w:p>
    <w:p w14:paraId="07A9AB4C" w14:textId="77777777" w:rsidR="00400DD8" w:rsidRDefault="00400DD8" w:rsidP="00945325">
      <w:pPr>
        <w:pStyle w:val="ListParagraph"/>
        <w:numPr>
          <w:ilvl w:val="1"/>
          <w:numId w:val="314"/>
        </w:numPr>
        <w:contextualSpacing w:val="0"/>
        <w:rPr>
          <w:iCs/>
        </w:rPr>
      </w:pPr>
      <w:r>
        <w:rPr>
          <w:iCs/>
        </w:rPr>
        <w:t>T</w:t>
      </w:r>
      <w:r w:rsidRPr="00C73AAA">
        <w:rPr>
          <w:iCs/>
        </w:rPr>
        <w:t xml:space="preserve">he </w:t>
      </w:r>
      <w:r>
        <w:rPr>
          <w:iCs/>
        </w:rPr>
        <w:t>housing assistance payment (</w:t>
      </w:r>
      <w:r w:rsidRPr="00C73AAA">
        <w:rPr>
          <w:iCs/>
        </w:rPr>
        <w:t>HAP</w:t>
      </w:r>
      <w:r>
        <w:rPr>
          <w:iCs/>
        </w:rPr>
        <w:t>)</w:t>
      </w:r>
      <w:r w:rsidRPr="00C73AAA">
        <w:rPr>
          <w:iCs/>
        </w:rPr>
        <w:t xml:space="preserve"> contract is terminated or the unit is removed from a HAP contract due to failure to correct HQS</w:t>
      </w:r>
      <w:r>
        <w:rPr>
          <w:iCs/>
        </w:rPr>
        <w:t>/SPIRE</w:t>
      </w:r>
      <w:r w:rsidRPr="00C73AAA">
        <w:rPr>
          <w:iCs/>
        </w:rPr>
        <w:t xml:space="preserve"> deficiencies at least 90 days or a longer period as </w:t>
      </w:r>
      <w:r>
        <w:rPr>
          <w:iCs/>
        </w:rPr>
        <w:t>H</w:t>
      </w:r>
      <w:r w:rsidRPr="00C73AAA">
        <w:rPr>
          <w:iCs/>
        </w:rPr>
        <w:t xml:space="preserve">HA determines is reasonable necessary following the termination of the HAP contract or removal </w:t>
      </w:r>
      <w:r>
        <w:rPr>
          <w:iCs/>
        </w:rPr>
        <w:t>of</w:t>
      </w:r>
      <w:r w:rsidRPr="00C73AAA">
        <w:rPr>
          <w:iCs/>
        </w:rPr>
        <w:t xml:space="preserve"> the unit</w:t>
      </w:r>
      <w:r>
        <w:rPr>
          <w:iCs/>
        </w:rPr>
        <w:t xml:space="preserve"> from the HAP contract, and</w:t>
      </w:r>
    </w:p>
    <w:p w14:paraId="131D3C02" w14:textId="77777777" w:rsidR="00400DD8" w:rsidRDefault="00400DD8" w:rsidP="00945325">
      <w:pPr>
        <w:pStyle w:val="ListParagraph"/>
        <w:numPr>
          <w:ilvl w:val="1"/>
          <w:numId w:val="314"/>
        </w:numPr>
        <w:contextualSpacing w:val="0"/>
        <w:rPr>
          <w:iCs/>
        </w:rPr>
      </w:pPr>
      <w:r>
        <w:rPr>
          <w:iCs/>
        </w:rPr>
        <w:t>The family is given a tenant-based voucher to move to a new unit, but</w:t>
      </w:r>
    </w:p>
    <w:p w14:paraId="6393D172" w14:textId="77777777" w:rsidR="00400DD8" w:rsidRPr="00CD30AD" w:rsidRDefault="00400DD8" w:rsidP="00945325">
      <w:pPr>
        <w:pStyle w:val="ListParagraph"/>
        <w:numPr>
          <w:ilvl w:val="1"/>
          <w:numId w:val="314"/>
        </w:numPr>
        <w:contextualSpacing w:val="0"/>
        <w:rPr>
          <w:iCs/>
        </w:rPr>
      </w:pPr>
      <w:r w:rsidRPr="00665BC8">
        <w:rPr>
          <w:iCs/>
        </w:rPr>
        <w:t>The family is unable to lease a new tenant-based unit within the period provided by</w:t>
      </w:r>
      <w:r>
        <w:rPr>
          <w:iCs/>
        </w:rPr>
        <w:t xml:space="preserve"> HHA.</w:t>
      </w:r>
    </w:p>
    <w:p w14:paraId="6C39C4C7" w14:textId="76A03E9E" w:rsidR="00A511F5" w:rsidRDefault="00A511F5" w:rsidP="009157D4">
      <w:pPr>
        <w:rPr>
          <w:rFonts w:cs="Arial"/>
        </w:rPr>
      </w:pPr>
      <w:r w:rsidRPr="00A511F5">
        <w:rPr>
          <w:rFonts w:cs="Arial"/>
        </w:rPr>
        <w:t xml:space="preserve">A family qualifies for special admission when they receive notice that they will have to move for one of the </w:t>
      </w:r>
      <w:r w:rsidR="00A04DD8">
        <w:rPr>
          <w:rFonts w:cs="Arial"/>
        </w:rPr>
        <w:t>four</w:t>
      </w:r>
      <w:r w:rsidR="00A04DD8" w:rsidRPr="00A511F5">
        <w:rPr>
          <w:rFonts w:cs="Arial"/>
        </w:rPr>
        <w:t xml:space="preserve"> </w:t>
      </w:r>
      <w:r w:rsidRPr="00A511F5">
        <w:rPr>
          <w:rFonts w:cs="Arial"/>
        </w:rPr>
        <w:t xml:space="preserve">reasons cited above. </w:t>
      </w:r>
      <w:r w:rsidR="00A04DD8">
        <w:rPr>
          <w:rFonts w:cs="Arial"/>
        </w:rPr>
        <w:t>With the exception of those families required to move due to HQS/NSPIRE noncompliance by the owner, t</w:t>
      </w:r>
      <w:r w:rsidR="00A04DD8" w:rsidRPr="00A511F5">
        <w:rPr>
          <w:rFonts w:cs="Arial"/>
        </w:rPr>
        <w:t xml:space="preserve">hese </w:t>
      </w:r>
      <w:r w:rsidRPr="00A511F5">
        <w:rPr>
          <w:rFonts w:cs="Arial"/>
        </w:rPr>
        <w:t xml:space="preserve">categories have equal weight and eligible families will be </w:t>
      </w:r>
      <w:r w:rsidR="006E5B6C">
        <w:rPr>
          <w:rFonts w:cs="Arial"/>
        </w:rPr>
        <w:t>given the opportunity to be leased</w:t>
      </w:r>
      <w:r w:rsidR="00FF7FCB">
        <w:rPr>
          <w:rFonts w:cs="Arial"/>
        </w:rPr>
        <w:t xml:space="preserve"> the public housing</w:t>
      </w:r>
      <w:r w:rsidRPr="00A511F5">
        <w:rPr>
          <w:rFonts w:cs="Arial"/>
        </w:rPr>
        <w:t xml:space="preserve"> </w:t>
      </w:r>
      <w:r w:rsidR="009C0F55">
        <w:rPr>
          <w:rFonts w:cs="Arial"/>
        </w:rPr>
        <w:t xml:space="preserve">program </w:t>
      </w:r>
      <w:r w:rsidRPr="00A511F5">
        <w:rPr>
          <w:rFonts w:cs="Arial"/>
        </w:rPr>
        <w:t xml:space="preserve">in an order based on the date on which they receive notice to move.  </w:t>
      </w:r>
    </w:p>
    <w:p w14:paraId="7F3EF5A2" w14:textId="77777777" w:rsidR="00943977" w:rsidRDefault="00943977" w:rsidP="00BB64BD">
      <w:pPr>
        <w:pStyle w:val="Heading2"/>
      </w:pPr>
      <w:bookmarkStart w:id="149" w:name="_Ref156395770"/>
      <w:bookmarkStart w:id="150" w:name="_Toc173222646"/>
      <w:bookmarkStart w:id="151" w:name="_Toc200375512"/>
      <w:bookmarkStart w:id="152" w:name="_Toc200376912"/>
      <w:r>
        <w:t>Order of Selection</w:t>
      </w:r>
      <w:bookmarkEnd w:id="149"/>
      <w:bookmarkEnd w:id="150"/>
      <w:bookmarkEnd w:id="151"/>
      <w:bookmarkEnd w:id="152"/>
    </w:p>
    <w:p w14:paraId="2D62450F" w14:textId="77777777" w:rsidR="002B31D1" w:rsidRPr="00F5134F" w:rsidRDefault="002B31D1" w:rsidP="002B31D1">
      <w:pPr>
        <w:autoSpaceDE w:val="0"/>
        <w:autoSpaceDN w:val="0"/>
        <w:adjustRightInd w:val="0"/>
        <w:rPr>
          <w:rFonts w:cs="Arial"/>
          <w:color w:val="000000"/>
          <w:szCs w:val="20"/>
        </w:rPr>
      </w:pPr>
      <w:r w:rsidRPr="00F5134F">
        <w:rPr>
          <w:rFonts w:cs="Arial"/>
          <w:color w:val="000000"/>
          <w:szCs w:val="20"/>
        </w:rPr>
        <w:t>A</w:t>
      </w:r>
      <w:r w:rsidR="00843AA6">
        <w:rPr>
          <w:rFonts w:cs="Arial"/>
          <w:color w:val="000000"/>
          <w:szCs w:val="20"/>
        </w:rPr>
        <w:t xml:space="preserve">fter any </w:t>
      </w:r>
      <w:r w:rsidR="006007D8" w:rsidRPr="006007D8">
        <w:rPr>
          <w:rFonts w:cs="Arial"/>
          <w:b/>
          <w:bCs/>
          <w:color w:val="0070C0"/>
          <w:szCs w:val="20"/>
        </w:rPr>
        <w:fldChar w:fldCharType="begin"/>
      </w:r>
      <w:r w:rsidR="006007D8" w:rsidRPr="006007D8">
        <w:rPr>
          <w:rFonts w:cs="Arial"/>
          <w:b/>
          <w:bCs/>
          <w:color w:val="0070C0"/>
          <w:szCs w:val="20"/>
        </w:rPr>
        <w:instrText xml:space="preserve"> REF _Ref156398471 \h  \* MERGEFORMAT </w:instrText>
      </w:r>
      <w:r w:rsidR="006007D8" w:rsidRPr="006007D8">
        <w:rPr>
          <w:rFonts w:cs="Arial"/>
          <w:b/>
          <w:bCs/>
          <w:color w:val="0070C0"/>
          <w:szCs w:val="20"/>
        </w:rPr>
      </w:r>
      <w:r w:rsidR="006007D8" w:rsidRPr="006007D8">
        <w:rPr>
          <w:rFonts w:cs="Arial"/>
          <w:b/>
          <w:bCs/>
          <w:color w:val="0070C0"/>
          <w:szCs w:val="20"/>
        </w:rPr>
        <w:fldChar w:fldCharType="separate"/>
      </w:r>
      <w:r w:rsidR="006007D8" w:rsidRPr="006007D8">
        <w:rPr>
          <w:b/>
          <w:bCs/>
          <w:color w:val="0070C0"/>
        </w:rPr>
        <w:t>Special Admissions</w:t>
      </w:r>
      <w:r w:rsidR="006007D8" w:rsidRPr="006007D8">
        <w:rPr>
          <w:rFonts w:cs="Arial"/>
          <w:b/>
          <w:bCs/>
          <w:color w:val="0070C0"/>
          <w:szCs w:val="20"/>
        </w:rPr>
        <w:fldChar w:fldCharType="end"/>
      </w:r>
      <w:r w:rsidR="00843AA6">
        <w:rPr>
          <w:rFonts w:cs="Arial"/>
          <w:color w:val="000000"/>
          <w:szCs w:val="20"/>
        </w:rPr>
        <w:t>, a</w:t>
      </w:r>
      <w:r w:rsidRPr="00F5134F">
        <w:rPr>
          <w:rFonts w:cs="Arial"/>
          <w:color w:val="000000"/>
          <w:szCs w:val="20"/>
        </w:rPr>
        <w:t>pplicants will be selected from the waiting list based on preference, date and time of application</w:t>
      </w:r>
      <w:r w:rsidR="00BD0BB8">
        <w:rPr>
          <w:rFonts w:cs="Arial"/>
          <w:color w:val="000000"/>
          <w:szCs w:val="20"/>
        </w:rPr>
        <w:t xml:space="preserve">, </w:t>
      </w:r>
      <w:r w:rsidR="006208CD">
        <w:rPr>
          <w:rFonts w:cs="Arial"/>
          <w:color w:val="000000"/>
          <w:szCs w:val="20"/>
        </w:rPr>
        <w:t xml:space="preserve">and family </w:t>
      </w:r>
      <w:r w:rsidR="00F60646">
        <w:rPr>
          <w:rFonts w:cs="Arial"/>
          <w:color w:val="000000"/>
          <w:szCs w:val="20"/>
        </w:rPr>
        <w:t xml:space="preserve">characteristics. </w:t>
      </w:r>
    </w:p>
    <w:p w14:paraId="2E001802" w14:textId="77777777" w:rsidR="00EA2C3E" w:rsidRDefault="00984219" w:rsidP="00CE3C11">
      <w:pPr>
        <w:rPr>
          <w:rFonts w:cs="Arial"/>
        </w:rPr>
      </w:pPr>
      <w:r>
        <w:rPr>
          <w:rFonts w:cs="Arial"/>
        </w:rPr>
        <w:t>Preferences will be worth the following points:</w:t>
      </w:r>
    </w:p>
    <w:p w14:paraId="02353637" w14:textId="029DDD7E" w:rsidR="0009570B" w:rsidRDefault="006658EE" w:rsidP="007F177E">
      <w:pPr>
        <w:pStyle w:val="ListParagraph"/>
        <w:numPr>
          <w:ilvl w:val="0"/>
          <w:numId w:val="184"/>
        </w:numPr>
        <w:contextualSpacing w:val="0"/>
        <w:rPr>
          <w:rFonts w:cs="Arial"/>
        </w:rPr>
      </w:pPr>
      <w:r>
        <w:rPr>
          <w:rFonts w:cs="Arial"/>
        </w:rPr>
        <w:t>Ten (10</w:t>
      </w:r>
      <w:r w:rsidR="0009570B">
        <w:rPr>
          <w:rFonts w:cs="Arial"/>
        </w:rPr>
        <w:t xml:space="preserve">) points for </w:t>
      </w:r>
      <w:r w:rsidR="006C6DCA">
        <w:rPr>
          <w:rFonts w:cs="Arial"/>
        </w:rPr>
        <w:t xml:space="preserve">HCV </w:t>
      </w:r>
      <w:r w:rsidR="0009570B">
        <w:rPr>
          <w:rFonts w:cs="Arial"/>
        </w:rPr>
        <w:t>families</w:t>
      </w:r>
      <w:r w:rsidR="006C6DCA">
        <w:rPr>
          <w:rFonts w:cs="Arial"/>
        </w:rPr>
        <w:t xml:space="preserve"> moving due to HQS/NSPIRE noncompliance by the owner as described under the </w:t>
      </w:r>
      <w:r w:rsidR="006C6DCA" w:rsidRPr="00984219">
        <w:rPr>
          <w:rFonts w:cs="Arial"/>
          <w:b/>
          <w:bCs/>
          <w:color w:val="0070C0"/>
        </w:rPr>
        <w:fldChar w:fldCharType="begin"/>
      </w:r>
      <w:r w:rsidR="006C6DCA" w:rsidRPr="00984219">
        <w:rPr>
          <w:rFonts w:cs="Arial"/>
          <w:b/>
          <w:bCs/>
          <w:color w:val="0070C0"/>
        </w:rPr>
        <w:instrText xml:space="preserve"> REF _Ref156485585 \h  \* MERGEFORMAT </w:instrText>
      </w:r>
      <w:r w:rsidR="006C6DCA" w:rsidRPr="00984219">
        <w:rPr>
          <w:rFonts w:cs="Arial"/>
          <w:b/>
          <w:bCs/>
          <w:color w:val="0070C0"/>
        </w:rPr>
      </w:r>
      <w:r w:rsidR="006C6DCA" w:rsidRPr="00984219">
        <w:rPr>
          <w:rFonts w:cs="Arial"/>
          <w:b/>
          <w:bCs/>
          <w:color w:val="0070C0"/>
        </w:rPr>
        <w:fldChar w:fldCharType="separate"/>
      </w:r>
      <w:r w:rsidR="006C6DCA" w:rsidRPr="00984219">
        <w:rPr>
          <w:b/>
          <w:bCs/>
          <w:color w:val="0070C0"/>
        </w:rPr>
        <w:t>Special Cooperation with States Attorneys and and/or Law Enforcement Agencies to Relocate Households Preference</w:t>
      </w:r>
      <w:r w:rsidR="006C6DCA" w:rsidRPr="00984219">
        <w:rPr>
          <w:rFonts w:cs="Arial"/>
          <w:b/>
          <w:bCs/>
          <w:color w:val="0070C0"/>
        </w:rPr>
        <w:fldChar w:fldCharType="end"/>
      </w:r>
      <w:r w:rsidR="006C6DCA">
        <w:rPr>
          <w:rFonts w:cs="Arial"/>
        </w:rPr>
        <w:t>;</w:t>
      </w:r>
    </w:p>
    <w:p w14:paraId="54A5CA1C" w14:textId="4B4E0AA4" w:rsidR="00984219" w:rsidRDefault="00984219" w:rsidP="007F177E">
      <w:pPr>
        <w:pStyle w:val="ListParagraph"/>
        <w:numPr>
          <w:ilvl w:val="0"/>
          <w:numId w:val="184"/>
        </w:numPr>
        <w:contextualSpacing w:val="0"/>
        <w:rPr>
          <w:rFonts w:cs="Arial"/>
        </w:rPr>
      </w:pPr>
      <w:r w:rsidRPr="00984219">
        <w:rPr>
          <w:rFonts w:cs="Arial"/>
        </w:rPr>
        <w:t xml:space="preserve">Five (5) points for </w:t>
      </w:r>
      <w:r w:rsidR="006C6DCA">
        <w:rPr>
          <w:rFonts w:cs="Arial"/>
        </w:rPr>
        <w:t>all o</w:t>
      </w:r>
      <w:r>
        <w:rPr>
          <w:rFonts w:cs="Arial"/>
        </w:rPr>
        <w:t>t</w:t>
      </w:r>
      <w:r w:rsidR="00CE3C11" w:rsidRPr="00984219">
        <w:rPr>
          <w:rFonts w:cs="Arial"/>
        </w:rPr>
        <w:t>he</w:t>
      </w:r>
      <w:r w:rsidR="006C6DCA">
        <w:rPr>
          <w:rFonts w:cs="Arial"/>
        </w:rPr>
        <w:t>r</w:t>
      </w:r>
      <w:r w:rsidR="006658EE">
        <w:rPr>
          <w:rFonts w:cs="Arial"/>
        </w:rPr>
        <w:t xml:space="preserve"> families under the</w:t>
      </w:r>
      <w:r w:rsidR="00CE3C11" w:rsidRPr="00984219">
        <w:rPr>
          <w:rFonts w:cs="Arial"/>
        </w:rPr>
        <w:t xml:space="preserve"> </w:t>
      </w:r>
      <w:r w:rsidR="00F85BD5" w:rsidRPr="00984219">
        <w:rPr>
          <w:rFonts w:cs="Arial"/>
          <w:b/>
          <w:bCs/>
          <w:color w:val="0070C0"/>
        </w:rPr>
        <w:fldChar w:fldCharType="begin"/>
      </w:r>
      <w:r w:rsidR="00F85BD5" w:rsidRPr="00984219">
        <w:rPr>
          <w:rFonts w:cs="Arial"/>
          <w:b/>
          <w:bCs/>
          <w:color w:val="0070C0"/>
        </w:rPr>
        <w:instrText xml:space="preserve"> REF _Ref156485585 \h  \* MERGEFORMAT </w:instrText>
      </w:r>
      <w:r w:rsidR="00F85BD5" w:rsidRPr="00984219">
        <w:rPr>
          <w:rFonts w:cs="Arial"/>
          <w:b/>
          <w:bCs/>
          <w:color w:val="0070C0"/>
        </w:rPr>
      </w:r>
      <w:r w:rsidR="00F85BD5" w:rsidRPr="00984219">
        <w:rPr>
          <w:rFonts w:cs="Arial"/>
          <w:b/>
          <w:bCs/>
          <w:color w:val="0070C0"/>
        </w:rPr>
        <w:fldChar w:fldCharType="separate"/>
      </w:r>
      <w:r w:rsidR="00F85BD5" w:rsidRPr="00984219">
        <w:rPr>
          <w:b/>
          <w:bCs/>
          <w:color w:val="0070C0"/>
        </w:rPr>
        <w:t>Special Cooperation with States Attorneys and and/or Law Enforcement Agencies to Relocate Households Preference</w:t>
      </w:r>
      <w:r w:rsidR="00F85BD5" w:rsidRPr="00984219">
        <w:rPr>
          <w:rFonts w:cs="Arial"/>
          <w:b/>
          <w:bCs/>
          <w:color w:val="0070C0"/>
        </w:rPr>
        <w:fldChar w:fldCharType="end"/>
      </w:r>
      <w:r>
        <w:rPr>
          <w:rFonts w:cs="Arial"/>
        </w:rPr>
        <w:t>;</w:t>
      </w:r>
    </w:p>
    <w:p w14:paraId="774775A7" w14:textId="77777777" w:rsidR="00984219" w:rsidRDefault="00984219" w:rsidP="007F177E">
      <w:pPr>
        <w:pStyle w:val="ListParagraph"/>
        <w:numPr>
          <w:ilvl w:val="0"/>
          <w:numId w:val="184"/>
        </w:numPr>
        <w:contextualSpacing w:val="0"/>
        <w:rPr>
          <w:rFonts w:cs="Arial"/>
        </w:rPr>
      </w:pPr>
      <w:r>
        <w:rPr>
          <w:rFonts w:cs="Arial"/>
        </w:rPr>
        <w:t xml:space="preserve">Four (4) points for the </w:t>
      </w:r>
      <w:r w:rsidR="0078515F" w:rsidRPr="00DA7A10">
        <w:rPr>
          <w:rFonts w:cs="Arial"/>
          <w:b/>
          <w:bCs/>
          <w:color w:val="0070C0"/>
        </w:rPr>
        <w:fldChar w:fldCharType="begin"/>
      </w:r>
      <w:r w:rsidR="0078515F" w:rsidRPr="00DA7A10">
        <w:rPr>
          <w:rFonts w:cs="Arial"/>
          <w:b/>
          <w:bCs/>
          <w:color w:val="0070C0"/>
        </w:rPr>
        <w:instrText xml:space="preserve"> REF _Ref157606541 \h </w:instrText>
      </w:r>
      <w:r w:rsidR="00DA7A10">
        <w:rPr>
          <w:rFonts w:cs="Arial"/>
          <w:b/>
          <w:bCs/>
          <w:color w:val="0070C0"/>
        </w:rPr>
        <w:instrText xml:space="preserve"> \* MERGEFORMAT </w:instrText>
      </w:r>
      <w:r w:rsidR="0078515F" w:rsidRPr="00DA7A10">
        <w:rPr>
          <w:rFonts w:cs="Arial"/>
          <w:b/>
          <w:bCs/>
          <w:color w:val="0070C0"/>
        </w:rPr>
      </w:r>
      <w:r w:rsidR="0078515F" w:rsidRPr="00DA7A10">
        <w:rPr>
          <w:rFonts w:cs="Arial"/>
          <w:b/>
          <w:bCs/>
          <w:color w:val="0070C0"/>
        </w:rPr>
        <w:fldChar w:fldCharType="separate"/>
      </w:r>
      <w:r w:rsidR="0078515F" w:rsidRPr="00DA7A10">
        <w:rPr>
          <w:b/>
          <w:bCs/>
          <w:color w:val="0070C0"/>
        </w:rPr>
        <w:t>Re-Housing Preference</w:t>
      </w:r>
      <w:r w:rsidR="0078515F" w:rsidRPr="00DA7A10">
        <w:rPr>
          <w:rFonts w:cs="Arial"/>
          <w:b/>
          <w:bCs/>
          <w:color w:val="0070C0"/>
        </w:rPr>
        <w:fldChar w:fldCharType="end"/>
      </w:r>
      <w:r w:rsidR="0078515F">
        <w:rPr>
          <w:rFonts w:cs="Arial"/>
        </w:rPr>
        <w:t>;</w:t>
      </w:r>
    </w:p>
    <w:p w14:paraId="0B796D93" w14:textId="77777777" w:rsidR="00DA7A10" w:rsidRDefault="00DA7A10" w:rsidP="007F177E">
      <w:pPr>
        <w:pStyle w:val="ListParagraph"/>
        <w:numPr>
          <w:ilvl w:val="0"/>
          <w:numId w:val="184"/>
        </w:numPr>
        <w:contextualSpacing w:val="0"/>
        <w:rPr>
          <w:rFonts w:cs="Arial"/>
        </w:rPr>
      </w:pPr>
      <w:r>
        <w:rPr>
          <w:rFonts w:cs="Arial"/>
        </w:rPr>
        <w:t xml:space="preserve">One (1) point for the </w:t>
      </w:r>
      <w:r w:rsidR="00EA7E60" w:rsidRPr="00EA7E60">
        <w:rPr>
          <w:rFonts w:cs="Arial"/>
          <w:b/>
          <w:bCs/>
          <w:color w:val="0070C0"/>
        </w:rPr>
        <w:fldChar w:fldCharType="begin"/>
      </w:r>
      <w:r w:rsidR="00EA7E60" w:rsidRPr="00EA7E60">
        <w:rPr>
          <w:rFonts w:cs="Arial"/>
          <w:b/>
          <w:bCs/>
          <w:color w:val="0070C0"/>
        </w:rPr>
        <w:instrText xml:space="preserve"> REF _Ref157606639 \h  \* MERGEFORMAT </w:instrText>
      </w:r>
      <w:r w:rsidR="00EA7E60" w:rsidRPr="00EA7E60">
        <w:rPr>
          <w:rFonts w:cs="Arial"/>
          <w:b/>
          <w:bCs/>
          <w:color w:val="0070C0"/>
        </w:rPr>
      </w:r>
      <w:r w:rsidR="00EA7E60" w:rsidRPr="00EA7E60">
        <w:rPr>
          <w:rFonts w:cs="Arial"/>
          <w:b/>
          <w:bCs/>
          <w:color w:val="0070C0"/>
        </w:rPr>
        <w:fldChar w:fldCharType="separate"/>
      </w:r>
      <w:r w:rsidR="00EA7E60" w:rsidRPr="00EA7E60">
        <w:rPr>
          <w:b/>
          <w:bCs/>
          <w:color w:val="0070C0"/>
        </w:rPr>
        <w:t>Veteran Family Preference</w:t>
      </w:r>
      <w:r w:rsidR="00EA7E60" w:rsidRPr="00EA7E60">
        <w:rPr>
          <w:rFonts w:cs="Arial"/>
          <w:b/>
          <w:bCs/>
          <w:color w:val="0070C0"/>
        </w:rPr>
        <w:fldChar w:fldCharType="end"/>
      </w:r>
      <w:r w:rsidR="00EA7E60">
        <w:rPr>
          <w:rFonts w:cs="Arial"/>
        </w:rPr>
        <w:t>;</w:t>
      </w:r>
    </w:p>
    <w:p w14:paraId="4C6D5514" w14:textId="77777777" w:rsidR="00EA7E60" w:rsidRDefault="00EA7E60" w:rsidP="007F177E">
      <w:pPr>
        <w:pStyle w:val="ListParagraph"/>
        <w:numPr>
          <w:ilvl w:val="0"/>
          <w:numId w:val="184"/>
        </w:numPr>
        <w:contextualSpacing w:val="0"/>
        <w:rPr>
          <w:rFonts w:cs="Arial"/>
        </w:rPr>
      </w:pPr>
      <w:r>
        <w:rPr>
          <w:rFonts w:cs="Arial"/>
        </w:rPr>
        <w:t xml:space="preserve">One (1) point for the </w:t>
      </w:r>
      <w:r w:rsidRPr="00EA7E60">
        <w:rPr>
          <w:rFonts w:cs="Arial"/>
          <w:b/>
          <w:bCs/>
          <w:color w:val="0070C0"/>
        </w:rPr>
        <w:fldChar w:fldCharType="begin"/>
      </w:r>
      <w:r w:rsidRPr="00EA7E60">
        <w:rPr>
          <w:rFonts w:cs="Arial"/>
          <w:b/>
          <w:bCs/>
          <w:color w:val="0070C0"/>
        </w:rPr>
        <w:instrText xml:space="preserve"> REF _Ref157606646 \h  \* MERGEFORMAT </w:instrText>
      </w:r>
      <w:r w:rsidRPr="00EA7E60">
        <w:rPr>
          <w:rFonts w:cs="Arial"/>
          <w:b/>
          <w:bCs/>
          <w:color w:val="0070C0"/>
        </w:rPr>
      </w:r>
      <w:r w:rsidRPr="00EA7E60">
        <w:rPr>
          <w:rFonts w:cs="Arial"/>
          <w:b/>
          <w:bCs/>
          <w:color w:val="0070C0"/>
        </w:rPr>
        <w:fldChar w:fldCharType="separate"/>
      </w:r>
      <w:r w:rsidRPr="00EA7E60">
        <w:rPr>
          <w:b/>
          <w:bCs/>
          <w:color w:val="0070C0"/>
        </w:rPr>
        <w:t>Police Officer Preference</w:t>
      </w:r>
      <w:r w:rsidRPr="00EA7E60">
        <w:rPr>
          <w:rFonts w:cs="Arial"/>
          <w:b/>
          <w:bCs/>
          <w:color w:val="0070C0"/>
        </w:rPr>
        <w:fldChar w:fldCharType="end"/>
      </w:r>
      <w:r>
        <w:rPr>
          <w:rFonts w:cs="Arial"/>
        </w:rPr>
        <w:t>;</w:t>
      </w:r>
    </w:p>
    <w:p w14:paraId="1965AE58" w14:textId="77777777" w:rsidR="00EA7E60" w:rsidRDefault="00EA7E60" w:rsidP="007F177E">
      <w:pPr>
        <w:pStyle w:val="ListParagraph"/>
        <w:numPr>
          <w:ilvl w:val="0"/>
          <w:numId w:val="184"/>
        </w:numPr>
        <w:contextualSpacing w:val="0"/>
        <w:rPr>
          <w:rFonts w:cs="Arial"/>
        </w:rPr>
      </w:pPr>
      <w:r>
        <w:rPr>
          <w:rFonts w:cs="Arial"/>
        </w:rPr>
        <w:t xml:space="preserve">One (1) point for the </w:t>
      </w:r>
      <w:r w:rsidRPr="00EA7E60">
        <w:rPr>
          <w:rFonts w:cs="Arial"/>
          <w:b/>
          <w:bCs/>
          <w:color w:val="0070C0"/>
        </w:rPr>
        <w:fldChar w:fldCharType="begin"/>
      </w:r>
      <w:r w:rsidRPr="00EA7E60">
        <w:rPr>
          <w:rFonts w:cs="Arial"/>
          <w:b/>
          <w:bCs/>
          <w:color w:val="0070C0"/>
        </w:rPr>
        <w:instrText xml:space="preserve"> REF _Ref157606656 \h  \* MERGEFORMAT </w:instrText>
      </w:r>
      <w:r w:rsidRPr="00EA7E60">
        <w:rPr>
          <w:rFonts w:cs="Arial"/>
          <w:b/>
          <w:bCs/>
          <w:color w:val="0070C0"/>
        </w:rPr>
      </w:r>
      <w:r w:rsidRPr="00EA7E60">
        <w:rPr>
          <w:rFonts w:cs="Arial"/>
          <w:b/>
          <w:bCs/>
          <w:color w:val="0070C0"/>
        </w:rPr>
        <w:fldChar w:fldCharType="separate"/>
      </w:r>
      <w:r w:rsidRPr="00EA7E60">
        <w:rPr>
          <w:b/>
          <w:bCs/>
          <w:color w:val="0070C0"/>
        </w:rPr>
        <w:t>Non-Public Housing Over-Income Families</w:t>
      </w:r>
      <w:r w:rsidRPr="00EA7E60">
        <w:rPr>
          <w:rFonts w:cs="Arial"/>
          <w:b/>
          <w:bCs/>
          <w:color w:val="0070C0"/>
        </w:rPr>
        <w:fldChar w:fldCharType="end"/>
      </w:r>
      <w:r>
        <w:rPr>
          <w:rFonts w:cs="Arial"/>
        </w:rPr>
        <w:t>.</w:t>
      </w:r>
    </w:p>
    <w:p w14:paraId="6CDE23C8" w14:textId="77777777" w:rsidR="00CE3C11" w:rsidRPr="00EA7E60" w:rsidRDefault="00CE3C11" w:rsidP="00EA7E60">
      <w:pPr>
        <w:rPr>
          <w:rFonts w:cs="Arial"/>
        </w:rPr>
      </w:pPr>
      <w:r w:rsidRPr="00EA7E60">
        <w:rPr>
          <w:rFonts w:cs="Arial"/>
        </w:rPr>
        <w:t xml:space="preserve">Applicants who qualify for multiple preferences will have additional preference points. </w:t>
      </w:r>
    </w:p>
    <w:p w14:paraId="210FAA3E" w14:textId="3FC873EE" w:rsidR="00CE3C11" w:rsidRPr="00CE3C11" w:rsidRDefault="00CE3C11" w:rsidP="00CE3C11">
      <w:pPr>
        <w:rPr>
          <w:rFonts w:cs="Arial"/>
        </w:rPr>
      </w:pPr>
      <w:r w:rsidRPr="00CE3C11">
        <w:rPr>
          <w:rFonts w:cs="Arial"/>
        </w:rPr>
        <w:t xml:space="preserve">When selecting applicants from the waiting list, </w:t>
      </w:r>
      <w:r w:rsidR="007A6602">
        <w:rPr>
          <w:rFonts w:cs="Arial"/>
        </w:rPr>
        <w:t>H</w:t>
      </w:r>
      <w:r w:rsidRPr="00CE3C11">
        <w:rPr>
          <w:rFonts w:cs="Arial"/>
        </w:rPr>
        <w:t xml:space="preserve">HA will match the characteristics of the available unit (unit size, accessibility features, unit type) to the applicants on the waiting list. </w:t>
      </w:r>
      <w:r w:rsidR="007A6602">
        <w:rPr>
          <w:rFonts w:cs="Arial"/>
        </w:rPr>
        <w:t>H</w:t>
      </w:r>
      <w:r w:rsidRPr="00CE3C11">
        <w:rPr>
          <w:rFonts w:cs="Arial"/>
        </w:rPr>
        <w:t>HA will offer the unit to the highest</w:t>
      </w:r>
      <w:r w:rsidR="006D30E7">
        <w:rPr>
          <w:rFonts w:cs="Arial"/>
        </w:rPr>
        <w:t>-</w:t>
      </w:r>
      <w:r w:rsidRPr="00CE3C11">
        <w:rPr>
          <w:rFonts w:cs="Arial"/>
        </w:rPr>
        <w:t xml:space="preserve">ranking applicant who qualifies for that unit size or type, or that requires the accessibility features. </w:t>
      </w:r>
    </w:p>
    <w:p w14:paraId="7102C64A" w14:textId="77777777" w:rsidR="00CE3C11" w:rsidRPr="00CE3C11" w:rsidRDefault="00CE3C11" w:rsidP="00CE3C11">
      <w:pPr>
        <w:rPr>
          <w:rFonts w:cs="Arial"/>
        </w:rPr>
      </w:pPr>
      <w:r w:rsidRPr="00CE3C11">
        <w:rPr>
          <w:rFonts w:cs="Arial"/>
        </w:rPr>
        <w:t xml:space="preserve">By matching unit and family characteristics, it is possible that families who are lower on the waiting list may receive an offer of housing ahead of families with an earlier date and time of application or higher preference status. </w:t>
      </w:r>
    </w:p>
    <w:p w14:paraId="127E06D0" w14:textId="77777777" w:rsidR="0085272D" w:rsidRPr="00CE3C11" w:rsidRDefault="0085272D" w:rsidP="0085272D">
      <w:pPr>
        <w:rPr>
          <w:rFonts w:cs="Arial"/>
        </w:rPr>
      </w:pPr>
      <w:r w:rsidRPr="00CE3C11">
        <w:rPr>
          <w:rFonts w:cs="Arial"/>
        </w:rPr>
        <w:t>Factors such as deconcentration or income mixing and income targeting will also be considered in accordance with HUD requirements and HHA policy.</w:t>
      </w:r>
    </w:p>
    <w:p w14:paraId="07D80BD8" w14:textId="77777777" w:rsidR="00943977" w:rsidRDefault="00943977" w:rsidP="00BB64BD">
      <w:pPr>
        <w:pStyle w:val="Heading2"/>
      </w:pPr>
      <w:bookmarkStart w:id="153" w:name="_Toc173222647"/>
      <w:bookmarkStart w:id="154" w:name="_Toc200375513"/>
      <w:bookmarkStart w:id="155" w:name="_Toc200376913"/>
      <w:r>
        <w:t>Notification of Selection</w:t>
      </w:r>
      <w:bookmarkEnd w:id="153"/>
      <w:bookmarkEnd w:id="154"/>
      <w:bookmarkEnd w:id="155"/>
    </w:p>
    <w:p w14:paraId="064B0C61" w14:textId="77777777" w:rsidR="00DE7BE5" w:rsidRPr="00122C89" w:rsidRDefault="00CD3CC0" w:rsidP="00DE7BE5">
      <w:pPr>
        <w:autoSpaceDE w:val="0"/>
        <w:autoSpaceDN w:val="0"/>
        <w:adjustRightInd w:val="0"/>
        <w:rPr>
          <w:rFonts w:cs="Arial"/>
          <w:szCs w:val="20"/>
        </w:rPr>
      </w:pPr>
      <w:r>
        <w:rPr>
          <w:rFonts w:cs="Arial"/>
          <w:szCs w:val="20"/>
        </w:rPr>
        <w:t>H</w:t>
      </w:r>
      <w:r w:rsidRPr="00122C89">
        <w:rPr>
          <w:rFonts w:cs="Arial"/>
          <w:szCs w:val="20"/>
        </w:rPr>
        <w:t>HA will notify the family by mail</w:t>
      </w:r>
      <w:r>
        <w:rPr>
          <w:rFonts w:cs="Arial"/>
          <w:szCs w:val="20"/>
        </w:rPr>
        <w:t xml:space="preserve"> and/or email</w:t>
      </w:r>
      <w:r w:rsidRPr="00122C89">
        <w:rPr>
          <w:rFonts w:cs="Arial"/>
          <w:szCs w:val="20"/>
        </w:rPr>
        <w:t xml:space="preserve"> when it is selected from the waiting list. </w:t>
      </w:r>
      <w:r w:rsidR="00DE7BE5">
        <w:rPr>
          <w:rFonts w:cs="Arial"/>
          <w:color w:val="000000"/>
          <w:szCs w:val="20"/>
        </w:rPr>
        <w:t>H</w:t>
      </w:r>
      <w:r w:rsidR="00DE7BE5" w:rsidRPr="00122C89">
        <w:rPr>
          <w:rFonts w:cs="Arial"/>
          <w:color w:val="000000"/>
          <w:szCs w:val="20"/>
        </w:rPr>
        <w:t xml:space="preserve">HA may notify the applicant by phone in order to expedite the </w:t>
      </w:r>
      <w:r w:rsidR="00DE7BE5">
        <w:rPr>
          <w:rFonts w:cs="Arial"/>
          <w:color w:val="000000"/>
          <w:szCs w:val="20"/>
        </w:rPr>
        <w:t>leasing process.</w:t>
      </w:r>
    </w:p>
    <w:p w14:paraId="4A0E498D" w14:textId="3F428761" w:rsidR="00271490" w:rsidRPr="00A6406C" w:rsidRDefault="00CD3CC0" w:rsidP="005C4928">
      <w:pPr>
        <w:autoSpaceDE w:val="0"/>
        <w:autoSpaceDN w:val="0"/>
        <w:adjustRightInd w:val="0"/>
      </w:pPr>
      <w:r w:rsidRPr="00122C89">
        <w:rPr>
          <w:rFonts w:cs="Arial"/>
          <w:szCs w:val="20"/>
        </w:rPr>
        <w:t xml:space="preserve">If a notification letter is returned to </w:t>
      </w:r>
      <w:r>
        <w:rPr>
          <w:rFonts w:cs="Arial"/>
          <w:szCs w:val="20"/>
        </w:rPr>
        <w:t>H</w:t>
      </w:r>
      <w:r w:rsidRPr="00122C89">
        <w:rPr>
          <w:rFonts w:cs="Arial"/>
          <w:szCs w:val="20"/>
        </w:rPr>
        <w:t>HA with no forwarding address</w:t>
      </w:r>
      <w:r w:rsidR="00AA0FE9">
        <w:rPr>
          <w:rFonts w:cs="Arial"/>
          <w:szCs w:val="20"/>
        </w:rPr>
        <w:t xml:space="preserve"> and/or as undeliverable</w:t>
      </w:r>
      <w:r w:rsidRPr="00122C89">
        <w:rPr>
          <w:rFonts w:cs="Arial"/>
          <w:szCs w:val="20"/>
        </w:rPr>
        <w:t>, the family will be removed from the waiting list</w:t>
      </w:r>
      <w:r>
        <w:rPr>
          <w:rFonts w:cs="Arial"/>
          <w:szCs w:val="20"/>
        </w:rPr>
        <w:t xml:space="preserve"> without further notice</w:t>
      </w:r>
      <w:r w:rsidRPr="00B9656F">
        <w:rPr>
          <w:rFonts w:cs="Arial"/>
          <w:szCs w:val="20"/>
        </w:rPr>
        <w:t>.</w:t>
      </w:r>
      <w:r w:rsidR="00331D07">
        <w:rPr>
          <w:rFonts w:cs="Arial"/>
          <w:szCs w:val="20"/>
        </w:rPr>
        <w:t xml:space="preserve"> </w:t>
      </w:r>
      <w:r w:rsidR="00C97BFB">
        <w:rPr>
          <w:rFonts w:cs="Arial"/>
          <w:szCs w:val="20"/>
        </w:rPr>
        <w:t xml:space="preserve">See </w:t>
      </w:r>
      <w:r w:rsidR="003A129C" w:rsidRPr="007D2D09">
        <w:rPr>
          <w:rFonts w:cs="Arial"/>
          <w:b/>
          <w:bCs/>
          <w:color w:val="0070C0"/>
          <w:szCs w:val="20"/>
        </w:rPr>
        <w:fldChar w:fldCharType="begin"/>
      </w:r>
      <w:r w:rsidR="003A129C" w:rsidRPr="007D2D09">
        <w:rPr>
          <w:rFonts w:cs="Arial"/>
          <w:b/>
          <w:bCs/>
          <w:color w:val="0070C0"/>
          <w:szCs w:val="20"/>
        </w:rPr>
        <w:instrText xml:space="preserve"> REF _Ref156401690 \h </w:instrText>
      </w:r>
      <w:r w:rsidR="007D2D09" w:rsidRPr="007D2D09">
        <w:rPr>
          <w:rFonts w:cs="Arial"/>
          <w:b/>
          <w:bCs/>
          <w:color w:val="0070C0"/>
          <w:szCs w:val="20"/>
        </w:rPr>
        <w:instrText xml:space="preserve"> \* MERGEFORMAT </w:instrText>
      </w:r>
      <w:r w:rsidR="003A129C" w:rsidRPr="007D2D09">
        <w:rPr>
          <w:rFonts w:cs="Arial"/>
          <w:b/>
          <w:bCs/>
          <w:color w:val="0070C0"/>
          <w:szCs w:val="20"/>
        </w:rPr>
      </w:r>
      <w:r w:rsidR="003A129C" w:rsidRPr="007D2D09">
        <w:rPr>
          <w:rFonts w:cs="Arial"/>
          <w:b/>
          <w:bCs/>
          <w:color w:val="0070C0"/>
          <w:szCs w:val="20"/>
        </w:rPr>
        <w:fldChar w:fldCharType="separate"/>
      </w:r>
      <w:r w:rsidR="003A129C" w:rsidRPr="007D2D09">
        <w:rPr>
          <w:b/>
          <w:bCs/>
          <w:color w:val="0070C0"/>
        </w:rPr>
        <w:t>Withdrawal from the Waiting List</w:t>
      </w:r>
      <w:r w:rsidR="003A129C" w:rsidRPr="007D2D09">
        <w:rPr>
          <w:rFonts w:cs="Arial"/>
          <w:b/>
          <w:bCs/>
          <w:color w:val="0070C0"/>
          <w:szCs w:val="20"/>
        </w:rPr>
        <w:fldChar w:fldCharType="end"/>
      </w:r>
      <w:r w:rsidR="003A129C">
        <w:rPr>
          <w:rFonts w:cs="Arial"/>
          <w:szCs w:val="20"/>
        </w:rPr>
        <w:t>.</w:t>
      </w:r>
    </w:p>
    <w:p w14:paraId="212883F6" w14:textId="77777777" w:rsidR="00A95B1E" w:rsidRDefault="00A95B1E" w:rsidP="00271490">
      <w:pPr>
        <w:pStyle w:val="Heading1"/>
        <w:numPr>
          <w:ilvl w:val="0"/>
          <w:numId w:val="0"/>
        </w:numPr>
        <w:ind w:left="72" w:hanging="72"/>
        <w:sectPr w:rsidR="00A95B1E" w:rsidSect="00EE2233">
          <w:pgSz w:w="12240" w:h="15840"/>
          <w:pgMar w:top="1440" w:right="1440" w:bottom="1440" w:left="1440" w:header="720" w:footer="720" w:gutter="0"/>
          <w:cols w:space="720"/>
          <w:docGrid w:linePitch="360"/>
        </w:sectPr>
      </w:pPr>
    </w:p>
    <w:p w14:paraId="2A5B30C3" w14:textId="77777777" w:rsidR="00A95B1E" w:rsidRPr="005315DA" w:rsidRDefault="00271490" w:rsidP="00A95B1E">
      <w:pPr>
        <w:pStyle w:val="Heading1"/>
        <w:ind w:left="0" w:firstLine="0"/>
      </w:pPr>
      <w:bookmarkStart w:id="156" w:name="_Ref145412251"/>
      <w:bookmarkStart w:id="157" w:name="_Ref146114496"/>
      <w:bookmarkStart w:id="158" w:name="_Toc173222648"/>
      <w:bookmarkStart w:id="159" w:name="_Toc200375514"/>
      <w:bookmarkStart w:id="160" w:name="_Toc200376914"/>
      <w:r w:rsidRPr="005315DA">
        <w:t>ELIGIBILITY</w:t>
      </w:r>
      <w:bookmarkEnd w:id="156"/>
      <w:bookmarkEnd w:id="157"/>
      <w:bookmarkEnd w:id="158"/>
      <w:bookmarkEnd w:id="159"/>
      <w:bookmarkEnd w:id="160"/>
    </w:p>
    <w:p w14:paraId="076A6BC1" w14:textId="77777777" w:rsidR="00B131EC" w:rsidRDefault="004708AC" w:rsidP="00BB64BD">
      <w:pPr>
        <w:pStyle w:val="Heading2"/>
      </w:pPr>
      <w:bookmarkStart w:id="161" w:name="_Toc173222649"/>
      <w:bookmarkStart w:id="162" w:name="_Toc200375515"/>
      <w:bookmarkStart w:id="163" w:name="_Toc200376915"/>
      <w:r>
        <w:t>Overview</w:t>
      </w:r>
      <w:bookmarkEnd w:id="161"/>
      <w:bookmarkEnd w:id="162"/>
      <w:bookmarkEnd w:id="163"/>
    </w:p>
    <w:p w14:paraId="18B48676" w14:textId="77777777" w:rsidR="00732E95" w:rsidRDefault="00732E95" w:rsidP="00732E95">
      <w:pPr>
        <w:rPr>
          <w:rFonts w:cs="Arial"/>
          <w:szCs w:val="20"/>
        </w:rPr>
      </w:pPr>
      <w:r w:rsidRPr="00122C89">
        <w:rPr>
          <w:rFonts w:cs="Arial"/>
          <w:szCs w:val="20"/>
        </w:rPr>
        <w:t xml:space="preserve">Every individual and family admitted to the </w:t>
      </w:r>
      <w:r>
        <w:rPr>
          <w:rFonts w:cs="Arial"/>
          <w:szCs w:val="20"/>
        </w:rPr>
        <w:t>public housing</w:t>
      </w:r>
      <w:r w:rsidRPr="00122C89">
        <w:rPr>
          <w:rFonts w:cs="Arial"/>
          <w:szCs w:val="20"/>
        </w:rPr>
        <w:t xml:space="preserve"> program must meet all program eligibility requirements. This includes any individual approved to join a family after the family has been admitted to the program. Families must provide any information needed by </w:t>
      </w:r>
      <w:r w:rsidR="00E6140F">
        <w:rPr>
          <w:rFonts w:cs="Arial"/>
          <w:szCs w:val="20"/>
        </w:rPr>
        <w:t>H</w:t>
      </w:r>
      <w:r w:rsidRPr="00122C89">
        <w:rPr>
          <w:rFonts w:cs="Arial"/>
          <w:szCs w:val="20"/>
        </w:rPr>
        <w:t>HA to confirm eligibility and determine the level of the family</w:t>
      </w:r>
      <w:r>
        <w:rPr>
          <w:rFonts w:cs="Arial"/>
          <w:szCs w:val="20"/>
        </w:rPr>
        <w:t>’</w:t>
      </w:r>
      <w:r w:rsidRPr="00122C89">
        <w:rPr>
          <w:rFonts w:cs="Arial"/>
          <w:szCs w:val="20"/>
        </w:rPr>
        <w:t>s assistance.</w:t>
      </w:r>
    </w:p>
    <w:p w14:paraId="60970AF2" w14:textId="77777777" w:rsidR="00E6140F" w:rsidRPr="006E7149" w:rsidRDefault="00F63A34" w:rsidP="00BB64BD">
      <w:pPr>
        <w:pStyle w:val="Heading2"/>
      </w:pPr>
      <w:bookmarkStart w:id="164" w:name="_Toc173222650"/>
      <w:bookmarkStart w:id="165" w:name="_Toc200375516"/>
      <w:bookmarkStart w:id="166" w:name="_Toc200376916"/>
      <w:r w:rsidRPr="006E7149">
        <w:t>Qualifying for Admission</w:t>
      </w:r>
      <w:bookmarkEnd w:id="164"/>
      <w:bookmarkEnd w:id="165"/>
      <w:bookmarkEnd w:id="166"/>
    </w:p>
    <w:p w14:paraId="1D8BDAF4" w14:textId="77777777" w:rsidR="006D1709" w:rsidRPr="006D1709" w:rsidRDefault="006D1709" w:rsidP="006D1709">
      <w:pPr>
        <w:tabs>
          <w:tab w:val="left" w:pos="881"/>
        </w:tabs>
        <w:rPr>
          <w:rFonts w:cs="Arial"/>
        </w:rPr>
      </w:pPr>
      <w:r w:rsidRPr="006D1709">
        <w:rPr>
          <w:rFonts w:cs="Arial"/>
        </w:rPr>
        <w:t xml:space="preserve">HHA policy will admit </w:t>
      </w:r>
      <w:r w:rsidRPr="006D1709">
        <w:rPr>
          <w:rFonts w:cs="Arial"/>
          <w:b/>
        </w:rPr>
        <w:t xml:space="preserve">only </w:t>
      </w:r>
      <w:r w:rsidRPr="006D1709">
        <w:rPr>
          <w:rFonts w:cs="Arial"/>
        </w:rPr>
        <w:t>applicants who:</w:t>
      </w:r>
    </w:p>
    <w:p w14:paraId="195B91D8" w14:textId="77777777" w:rsidR="006D1709" w:rsidRPr="006D1709" w:rsidRDefault="00A63B7F" w:rsidP="00CB52D8">
      <w:pPr>
        <w:pStyle w:val="ListParagraph"/>
        <w:widowControl w:val="0"/>
        <w:numPr>
          <w:ilvl w:val="0"/>
          <w:numId w:val="24"/>
        </w:numPr>
        <w:tabs>
          <w:tab w:val="left" w:pos="1241"/>
        </w:tabs>
        <w:autoSpaceDE w:val="0"/>
        <w:autoSpaceDN w:val="0"/>
        <w:contextualSpacing w:val="0"/>
        <w:rPr>
          <w:rFonts w:cs="Arial"/>
        </w:rPr>
      </w:pPr>
      <w:r>
        <w:rPr>
          <w:rFonts w:cs="Arial"/>
        </w:rPr>
        <w:t xml:space="preserve">Qualify as a </w:t>
      </w:r>
      <w:r w:rsidR="006D1709" w:rsidRPr="006D1709">
        <w:rPr>
          <w:rFonts w:cs="Arial"/>
        </w:rPr>
        <w:t xml:space="preserve">family as defined </w:t>
      </w:r>
      <w:r w:rsidR="006D1709">
        <w:rPr>
          <w:rFonts w:cs="Arial"/>
        </w:rPr>
        <w:t xml:space="preserve">by </w:t>
      </w:r>
      <w:r w:rsidR="00623978">
        <w:rPr>
          <w:rFonts w:cs="Arial"/>
        </w:rPr>
        <w:t xml:space="preserve">HUD and in </w:t>
      </w:r>
      <w:r w:rsidR="00931BF5">
        <w:rPr>
          <w:rFonts w:cs="Arial"/>
        </w:rPr>
        <w:t>24 CFR 5.403</w:t>
      </w:r>
      <w:r w:rsidR="006D1709">
        <w:rPr>
          <w:rFonts w:cs="Arial"/>
        </w:rPr>
        <w:t>;</w:t>
      </w:r>
    </w:p>
    <w:p w14:paraId="68F6BEB8" w14:textId="77777777" w:rsidR="006D1709" w:rsidRPr="006D1709" w:rsidRDefault="006D1709" w:rsidP="00CB52D8">
      <w:pPr>
        <w:pStyle w:val="ListParagraph"/>
        <w:widowControl w:val="0"/>
        <w:numPr>
          <w:ilvl w:val="0"/>
          <w:numId w:val="24"/>
        </w:numPr>
        <w:tabs>
          <w:tab w:val="left" w:pos="1240"/>
          <w:tab w:val="left" w:pos="1241"/>
        </w:tabs>
        <w:autoSpaceDE w:val="0"/>
        <w:autoSpaceDN w:val="0"/>
        <w:contextualSpacing w:val="0"/>
        <w:rPr>
          <w:rFonts w:cs="Arial"/>
        </w:rPr>
      </w:pPr>
      <w:r w:rsidRPr="006D1709">
        <w:rPr>
          <w:rFonts w:cs="Arial"/>
        </w:rPr>
        <w:t xml:space="preserve">Have an </w:t>
      </w:r>
      <w:r>
        <w:rPr>
          <w:rFonts w:cs="Arial"/>
        </w:rPr>
        <w:t>a</w:t>
      </w:r>
      <w:r w:rsidRPr="006D1709">
        <w:rPr>
          <w:rFonts w:cs="Arial"/>
        </w:rPr>
        <w:t xml:space="preserve">nnual </w:t>
      </w:r>
      <w:r>
        <w:rPr>
          <w:rFonts w:cs="Arial"/>
        </w:rPr>
        <w:t>i</w:t>
      </w:r>
      <w:r w:rsidRPr="006D1709">
        <w:rPr>
          <w:rFonts w:cs="Arial"/>
        </w:rPr>
        <w:t xml:space="preserve">ncome </w:t>
      </w:r>
      <w:r w:rsidR="00F91185">
        <w:rPr>
          <w:rFonts w:cs="Arial"/>
        </w:rPr>
        <w:t xml:space="preserve">at or below </w:t>
      </w:r>
      <w:r w:rsidR="00931BF5">
        <w:rPr>
          <w:rFonts w:cs="Arial"/>
        </w:rPr>
        <w:t>HUD-</w:t>
      </w:r>
      <w:r w:rsidR="00F91185">
        <w:rPr>
          <w:rFonts w:cs="Arial"/>
        </w:rPr>
        <w:t>specified income limits;</w:t>
      </w:r>
    </w:p>
    <w:p w14:paraId="57BD15B8" w14:textId="77777777" w:rsidR="00931BF5" w:rsidRPr="006D1709" w:rsidRDefault="00931BF5" w:rsidP="00CB52D8">
      <w:pPr>
        <w:pStyle w:val="ListParagraph"/>
        <w:widowControl w:val="0"/>
        <w:numPr>
          <w:ilvl w:val="0"/>
          <w:numId w:val="24"/>
        </w:numPr>
        <w:tabs>
          <w:tab w:val="left" w:pos="1241"/>
        </w:tabs>
        <w:autoSpaceDE w:val="0"/>
        <w:autoSpaceDN w:val="0"/>
        <w:contextualSpacing w:val="0"/>
        <w:rPr>
          <w:rFonts w:cs="Arial"/>
        </w:rPr>
      </w:pPr>
      <w:r>
        <w:rPr>
          <w:rFonts w:cs="Arial"/>
        </w:rPr>
        <w:t>Qualify on the basis of citizenship or the eligible immigrant status of family members;</w:t>
      </w:r>
    </w:p>
    <w:p w14:paraId="0BF70A2A" w14:textId="77777777" w:rsidR="006D1709" w:rsidRPr="00A63B7F" w:rsidRDefault="006D1709" w:rsidP="00CB52D8">
      <w:pPr>
        <w:pStyle w:val="ListParagraph"/>
        <w:widowControl w:val="0"/>
        <w:numPr>
          <w:ilvl w:val="0"/>
          <w:numId w:val="24"/>
        </w:numPr>
        <w:tabs>
          <w:tab w:val="left" w:pos="1241"/>
        </w:tabs>
        <w:autoSpaceDE w:val="0"/>
        <w:autoSpaceDN w:val="0"/>
        <w:contextualSpacing w:val="0"/>
        <w:rPr>
          <w:rFonts w:cs="Arial"/>
          <w:strike/>
          <w:color w:val="FF0000"/>
        </w:rPr>
      </w:pPr>
      <w:r w:rsidRPr="006D1709">
        <w:rPr>
          <w:rFonts w:cs="Arial"/>
        </w:rPr>
        <w:t>Disclose and provide</w:t>
      </w:r>
      <w:r w:rsidRPr="006D1709">
        <w:rPr>
          <w:rFonts w:cs="Arial"/>
          <w:spacing w:val="-3"/>
        </w:rPr>
        <w:t xml:space="preserve"> </w:t>
      </w:r>
      <w:r w:rsidRPr="006D1709">
        <w:rPr>
          <w:rFonts w:cs="Arial"/>
        </w:rPr>
        <w:t>documentation</w:t>
      </w:r>
      <w:r w:rsidRPr="006D1709">
        <w:rPr>
          <w:rFonts w:cs="Arial"/>
          <w:spacing w:val="-6"/>
        </w:rPr>
        <w:t xml:space="preserve"> </w:t>
      </w:r>
      <w:r w:rsidRPr="006D1709">
        <w:rPr>
          <w:rFonts w:cs="Arial"/>
        </w:rPr>
        <w:t>of</w:t>
      </w:r>
      <w:r w:rsidRPr="006D1709">
        <w:rPr>
          <w:rFonts w:cs="Arial"/>
          <w:spacing w:val="-5"/>
        </w:rPr>
        <w:t xml:space="preserve"> </w:t>
      </w:r>
      <w:r w:rsidRPr="006D1709">
        <w:rPr>
          <w:rFonts w:cs="Arial"/>
        </w:rPr>
        <w:t>Social</w:t>
      </w:r>
      <w:r w:rsidRPr="006D1709">
        <w:rPr>
          <w:rFonts w:cs="Arial"/>
          <w:spacing w:val="-4"/>
        </w:rPr>
        <w:t xml:space="preserve"> </w:t>
      </w:r>
      <w:r w:rsidRPr="006D1709">
        <w:rPr>
          <w:rFonts w:cs="Arial"/>
        </w:rPr>
        <w:t>Security</w:t>
      </w:r>
      <w:r w:rsidRPr="006D1709">
        <w:rPr>
          <w:rFonts w:cs="Arial"/>
          <w:spacing w:val="-5"/>
        </w:rPr>
        <w:t xml:space="preserve"> </w:t>
      </w:r>
      <w:r w:rsidRPr="006D1709">
        <w:rPr>
          <w:rFonts w:cs="Arial"/>
        </w:rPr>
        <w:t>numbers</w:t>
      </w:r>
      <w:r w:rsidRPr="006D1709">
        <w:rPr>
          <w:rFonts w:cs="Arial"/>
          <w:spacing w:val="-4"/>
        </w:rPr>
        <w:t xml:space="preserve"> </w:t>
      </w:r>
      <w:r w:rsidRPr="006D1709">
        <w:rPr>
          <w:rFonts w:cs="Arial"/>
        </w:rPr>
        <w:t>for</w:t>
      </w:r>
      <w:r w:rsidRPr="006D1709">
        <w:rPr>
          <w:rFonts w:cs="Arial"/>
          <w:spacing w:val="-4"/>
        </w:rPr>
        <w:t xml:space="preserve"> </w:t>
      </w:r>
      <w:r w:rsidRPr="006D1709">
        <w:rPr>
          <w:rFonts w:cs="Arial"/>
        </w:rPr>
        <w:t>all</w:t>
      </w:r>
      <w:r w:rsidRPr="006D1709">
        <w:rPr>
          <w:rFonts w:cs="Arial"/>
          <w:spacing w:val="-4"/>
        </w:rPr>
        <w:t xml:space="preserve"> </w:t>
      </w:r>
      <w:r w:rsidRPr="006D1709">
        <w:rPr>
          <w:rFonts w:cs="Arial"/>
        </w:rPr>
        <w:t>household</w:t>
      </w:r>
      <w:r w:rsidRPr="006D1709">
        <w:rPr>
          <w:rFonts w:cs="Arial"/>
          <w:spacing w:val="-5"/>
        </w:rPr>
        <w:t xml:space="preserve"> </w:t>
      </w:r>
      <w:r w:rsidRPr="006D1709">
        <w:rPr>
          <w:rFonts w:cs="Arial"/>
        </w:rPr>
        <w:t xml:space="preserve">members </w:t>
      </w:r>
      <w:r w:rsidR="00707909">
        <w:rPr>
          <w:rFonts w:cs="Arial"/>
        </w:rPr>
        <w:t>as required</w:t>
      </w:r>
      <w:r w:rsidR="00926912">
        <w:rPr>
          <w:rFonts w:cs="Arial"/>
        </w:rPr>
        <w:t>;</w:t>
      </w:r>
    </w:p>
    <w:p w14:paraId="1F4DAA54" w14:textId="38946A5B" w:rsidR="006D1709" w:rsidRPr="006D1709" w:rsidRDefault="006D1709" w:rsidP="00CB52D8">
      <w:pPr>
        <w:pStyle w:val="ListParagraph"/>
        <w:widowControl w:val="0"/>
        <w:numPr>
          <w:ilvl w:val="0"/>
          <w:numId w:val="24"/>
        </w:numPr>
        <w:tabs>
          <w:tab w:val="left" w:pos="1241"/>
        </w:tabs>
        <w:autoSpaceDE w:val="0"/>
        <w:autoSpaceDN w:val="0"/>
        <w:contextualSpacing w:val="0"/>
        <w:rPr>
          <w:rFonts w:cs="Arial"/>
        </w:rPr>
      </w:pPr>
      <w:r w:rsidRPr="006D1709">
        <w:rPr>
          <w:rFonts w:cs="Arial"/>
        </w:rPr>
        <w:t>Consent to HHA’s collection and use of family information as provided for in HHA-provided consent forms</w:t>
      </w:r>
      <w:r w:rsidR="00926912">
        <w:rPr>
          <w:rFonts w:cs="Arial"/>
        </w:rPr>
        <w:t>;</w:t>
      </w:r>
      <w:r w:rsidR="001B2439">
        <w:rPr>
          <w:rFonts w:cs="Arial"/>
        </w:rPr>
        <w:t xml:space="preserve"> </w:t>
      </w:r>
    </w:p>
    <w:p w14:paraId="30234102" w14:textId="77777777" w:rsidR="00986B7A" w:rsidRDefault="006D1709" w:rsidP="00986B7A">
      <w:pPr>
        <w:pStyle w:val="ListParagraph"/>
        <w:widowControl w:val="0"/>
        <w:numPr>
          <w:ilvl w:val="0"/>
          <w:numId w:val="24"/>
        </w:numPr>
        <w:tabs>
          <w:tab w:val="left" w:pos="1241"/>
        </w:tabs>
        <w:autoSpaceDE w:val="0"/>
        <w:autoSpaceDN w:val="0"/>
        <w:contextualSpacing w:val="0"/>
        <w:rPr>
          <w:rFonts w:cs="Arial"/>
        </w:rPr>
      </w:pPr>
      <w:r w:rsidRPr="006D1709">
        <w:rPr>
          <w:rFonts w:cs="Arial"/>
        </w:rPr>
        <w:t>Not currently be receiving a duplicative subsidy</w:t>
      </w:r>
      <w:r w:rsidR="00986B7A">
        <w:rPr>
          <w:rFonts w:cs="Arial"/>
        </w:rPr>
        <w:t>; and</w:t>
      </w:r>
    </w:p>
    <w:p w14:paraId="74EB7E7C" w14:textId="412128B3" w:rsidR="00AC0439" w:rsidRPr="00FF70EF" w:rsidRDefault="00AC0439" w:rsidP="00986B7A">
      <w:pPr>
        <w:pStyle w:val="ListParagraph"/>
        <w:widowControl w:val="0"/>
        <w:numPr>
          <w:ilvl w:val="0"/>
          <w:numId w:val="24"/>
        </w:numPr>
        <w:tabs>
          <w:tab w:val="left" w:pos="1241"/>
        </w:tabs>
        <w:autoSpaceDE w:val="0"/>
        <w:autoSpaceDN w:val="0"/>
        <w:contextualSpacing w:val="0"/>
        <w:rPr>
          <w:rFonts w:cs="Arial"/>
        </w:rPr>
      </w:pPr>
      <w:r w:rsidRPr="00986B7A">
        <w:rPr>
          <w:rFonts w:cs="Arial"/>
        </w:rPr>
        <w:t>Meet</w:t>
      </w:r>
      <w:r w:rsidRPr="00986B7A">
        <w:rPr>
          <w:rFonts w:cs="Arial"/>
          <w:spacing w:val="-3"/>
        </w:rPr>
        <w:t xml:space="preserve"> </w:t>
      </w:r>
      <w:r w:rsidRPr="00986B7A">
        <w:rPr>
          <w:rFonts w:cs="Arial"/>
        </w:rPr>
        <w:t>the</w:t>
      </w:r>
      <w:r w:rsidRPr="00986B7A">
        <w:rPr>
          <w:rFonts w:cs="Arial"/>
          <w:spacing w:val="-6"/>
        </w:rPr>
        <w:t xml:space="preserve"> </w:t>
      </w:r>
      <w:r w:rsidRPr="00986B7A">
        <w:rPr>
          <w:rFonts w:cs="Arial"/>
        </w:rPr>
        <w:t>eligibility criteria outlined in this ACOP,</w:t>
      </w:r>
      <w:r w:rsidRPr="00986B7A">
        <w:rPr>
          <w:rFonts w:cs="Arial"/>
          <w:spacing w:val="-5"/>
        </w:rPr>
        <w:t xml:space="preserve"> </w:t>
      </w:r>
      <w:r w:rsidRPr="00986B7A">
        <w:rPr>
          <w:rFonts w:cs="Arial"/>
        </w:rPr>
        <w:t>including</w:t>
      </w:r>
      <w:r w:rsidRPr="00986B7A">
        <w:rPr>
          <w:rFonts w:cs="Arial"/>
          <w:spacing w:val="-4"/>
        </w:rPr>
        <w:t xml:space="preserve"> </w:t>
      </w:r>
      <w:r w:rsidRPr="00986B7A">
        <w:rPr>
          <w:rFonts w:cs="Arial"/>
        </w:rPr>
        <w:t>completing</w:t>
      </w:r>
      <w:r w:rsidRPr="00986B7A">
        <w:rPr>
          <w:rFonts w:cs="Arial"/>
          <w:spacing w:val="-6"/>
        </w:rPr>
        <w:t xml:space="preserve"> </w:t>
      </w:r>
      <w:r w:rsidRPr="00986B7A">
        <w:rPr>
          <w:rFonts w:cs="Arial"/>
        </w:rPr>
        <w:t>a HHA approved pre-occupancy orientation</w:t>
      </w:r>
      <w:r w:rsidRPr="00986B7A">
        <w:rPr>
          <w:rFonts w:cs="Arial"/>
          <w:spacing w:val="-7"/>
        </w:rPr>
        <w:t xml:space="preserve"> </w:t>
      </w:r>
      <w:r w:rsidRPr="00986B7A">
        <w:rPr>
          <w:rFonts w:cs="Arial"/>
        </w:rPr>
        <w:t>session</w:t>
      </w:r>
      <w:r>
        <w:t>.</w:t>
      </w:r>
    </w:p>
    <w:p w14:paraId="0FFBC34C" w14:textId="77777777" w:rsidR="00FF70EF" w:rsidRPr="00FF70EF" w:rsidRDefault="00FF70EF" w:rsidP="00FF70EF">
      <w:r w:rsidRPr="00FF70EF">
        <w:t>And, upon implementation of HOTMA:</w:t>
      </w:r>
    </w:p>
    <w:tbl>
      <w:tblPr>
        <w:tblStyle w:val="TableGrid"/>
        <w:tblW w:w="0" w:type="auto"/>
        <w:tblLook w:val="04A0" w:firstRow="1" w:lastRow="0" w:firstColumn="1" w:lastColumn="0" w:noHBand="0" w:noVBand="1"/>
      </w:tblPr>
      <w:tblGrid>
        <w:gridCol w:w="9350"/>
      </w:tblGrid>
      <w:tr w:rsidR="00FF70EF" w14:paraId="70F9FB59" w14:textId="77777777" w:rsidTr="00C4049D">
        <w:tc>
          <w:tcPr>
            <w:tcW w:w="9350" w:type="dxa"/>
          </w:tcPr>
          <w:p w14:paraId="487FFC2C" w14:textId="77777777" w:rsidR="00FF70EF" w:rsidRPr="00FF70EF" w:rsidRDefault="00FF70EF" w:rsidP="00D11B26">
            <w:pPr>
              <w:rPr>
                <w:b/>
                <w:bCs/>
                <w:i/>
                <w:iCs/>
              </w:rPr>
            </w:pPr>
            <w:r w:rsidRPr="00FF70EF">
              <w:rPr>
                <w:b/>
                <w:bCs/>
                <w:i/>
                <w:iCs/>
              </w:rPr>
              <w:t>Note: the following two bullets are only applicable upon implementation of the HOTMA Final Rule (Sections 102 and 104). Prior to implementation, the following restrictions do not apply.</w:t>
            </w:r>
          </w:p>
        </w:tc>
      </w:tr>
    </w:tbl>
    <w:p w14:paraId="2878D7DB" w14:textId="77777777" w:rsidR="00FF70EF" w:rsidRPr="00AD5464" w:rsidRDefault="00FF70EF" w:rsidP="00FF70EF">
      <w:pPr>
        <w:pStyle w:val="ListParagraph"/>
        <w:numPr>
          <w:ilvl w:val="0"/>
          <w:numId w:val="299"/>
        </w:numPr>
        <w:autoSpaceDE w:val="0"/>
        <w:autoSpaceDN w:val="0"/>
        <w:adjustRightInd w:val="0"/>
        <w:contextualSpacing w:val="0"/>
        <w:rPr>
          <w:rFonts w:cs="Arial"/>
          <w:szCs w:val="20"/>
        </w:rPr>
      </w:pPr>
      <w:r w:rsidRPr="00AD5464">
        <w:rPr>
          <w:rFonts w:cs="Arial"/>
          <w:szCs w:val="20"/>
        </w:rPr>
        <w:t xml:space="preserve">Not own real property that is suitable for occupancy by the family as a residence, as described in </w:t>
      </w:r>
      <w:r w:rsidRPr="00A12036">
        <w:rPr>
          <w:rFonts w:cs="Arial"/>
          <w:b/>
          <w:bCs/>
          <w:color w:val="0070C0"/>
        </w:rPr>
        <w:fldChar w:fldCharType="begin"/>
      </w:r>
      <w:r w:rsidRPr="00A12036">
        <w:rPr>
          <w:rFonts w:cs="Arial"/>
          <w:b/>
          <w:bCs/>
          <w:color w:val="0070C0"/>
          <w:szCs w:val="20"/>
        </w:rPr>
        <w:instrText xml:space="preserve"> REF _Ref144892635 \h </w:instrText>
      </w:r>
      <w:r w:rsidRPr="00A12036">
        <w:rPr>
          <w:rFonts w:cs="Arial"/>
          <w:b/>
          <w:bCs/>
          <w:color w:val="0070C0"/>
        </w:rPr>
        <w:instrText xml:space="preserve"> \* MERGEFORMAT </w:instrText>
      </w:r>
      <w:r w:rsidRPr="00A12036">
        <w:rPr>
          <w:rFonts w:cs="Arial"/>
          <w:b/>
          <w:bCs/>
          <w:color w:val="0070C0"/>
        </w:rPr>
      </w:r>
      <w:r w:rsidRPr="00A12036">
        <w:rPr>
          <w:rFonts w:cs="Arial"/>
          <w:b/>
          <w:bCs/>
          <w:color w:val="0070C0"/>
        </w:rPr>
        <w:fldChar w:fldCharType="separate"/>
      </w:r>
      <w:r w:rsidRPr="00A12036">
        <w:rPr>
          <w:b/>
          <w:bCs/>
          <w:color w:val="0070C0"/>
        </w:rPr>
        <w:t>Asset Restrictions</w:t>
      </w:r>
      <w:r w:rsidRPr="00A12036">
        <w:rPr>
          <w:rFonts w:cs="Arial"/>
          <w:b/>
          <w:bCs/>
          <w:color w:val="0070C0"/>
        </w:rPr>
        <w:fldChar w:fldCharType="end"/>
      </w:r>
      <w:r w:rsidRPr="00AD5464">
        <w:rPr>
          <w:rFonts w:cs="Arial"/>
          <w:szCs w:val="20"/>
        </w:rPr>
        <w:t>;</w:t>
      </w:r>
      <w:r>
        <w:rPr>
          <w:rFonts w:cs="Arial"/>
          <w:szCs w:val="20"/>
        </w:rPr>
        <w:t xml:space="preserve"> </w:t>
      </w:r>
    </w:p>
    <w:p w14:paraId="3EFDB337" w14:textId="233403A4" w:rsidR="00FF70EF" w:rsidRPr="00AD5464" w:rsidRDefault="00FF70EF" w:rsidP="00FF70EF">
      <w:pPr>
        <w:pStyle w:val="ListParagraph"/>
        <w:numPr>
          <w:ilvl w:val="0"/>
          <w:numId w:val="299"/>
        </w:numPr>
        <w:autoSpaceDE w:val="0"/>
        <w:autoSpaceDN w:val="0"/>
        <w:adjustRightInd w:val="0"/>
        <w:contextualSpacing w:val="0"/>
        <w:rPr>
          <w:rFonts w:cs="Arial"/>
          <w:szCs w:val="20"/>
        </w:rPr>
      </w:pPr>
      <w:r w:rsidRPr="00AD5464">
        <w:rPr>
          <w:rFonts w:cs="Arial"/>
          <w:szCs w:val="20"/>
        </w:rPr>
        <w:t xml:space="preserve">Not have assets in excess of the HUD-established asset limit, as described in </w:t>
      </w:r>
      <w:r w:rsidRPr="00A12036">
        <w:rPr>
          <w:rFonts w:cs="Arial"/>
          <w:b/>
          <w:bCs/>
          <w:color w:val="0070C0"/>
        </w:rPr>
        <w:fldChar w:fldCharType="begin"/>
      </w:r>
      <w:r w:rsidRPr="00A12036">
        <w:rPr>
          <w:rFonts w:cs="Arial"/>
          <w:b/>
          <w:bCs/>
          <w:color w:val="0070C0"/>
          <w:szCs w:val="20"/>
        </w:rPr>
        <w:instrText xml:space="preserve"> REF _Ref144892635 \h </w:instrText>
      </w:r>
      <w:r w:rsidRPr="00A12036">
        <w:rPr>
          <w:rFonts w:cs="Arial"/>
          <w:b/>
          <w:bCs/>
          <w:color w:val="0070C0"/>
        </w:rPr>
        <w:instrText xml:space="preserve"> \* MERGEFORMAT </w:instrText>
      </w:r>
      <w:r w:rsidRPr="00A12036">
        <w:rPr>
          <w:rFonts w:cs="Arial"/>
          <w:b/>
          <w:bCs/>
          <w:color w:val="0070C0"/>
        </w:rPr>
      </w:r>
      <w:r w:rsidRPr="00A12036">
        <w:rPr>
          <w:rFonts w:cs="Arial"/>
          <w:b/>
          <w:bCs/>
          <w:color w:val="0070C0"/>
        </w:rPr>
        <w:fldChar w:fldCharType="separate"/>
      </w:r>
      <w:r w:rsidRPr="00A12036">
        <w:rPr>
          <w:b/>
          <w:bCs/>
          <w:color w:val="0070C0"/>
        </w:rPr>
        <w:t>Asset Restrictions</w:t>
      </w:r>
      <w:r w:rsidRPr="00A12036">
        <w:rPr>
          <w:rFonts w:cs="Arial"/>
          <w:b/>
          <w:bCs/>
          <w:color w:val="0070C0"/>
        </w:rPr>
        <w:fldChar w:fldCharType="end"/>
      </w:r>
      <w:r w:rsidR="002B325C">
        <w:rPr>
          <w:rFonts w:cs="Arial"/>
          <w:szCs w:val="20"/>
        </w:rPr>
        <w:t>.</w:t>
      </w:r>
    </w:p>
    <w:p w14:paraId="0960593B" w14:textId="77777777" w:rsidR="00D819AF" w:rsidRPr="00122C89" w:rsidRDefault="00D819AF" w:rsidP="00D819AF">
      <w:pPr>
        <w:rPr>
          <w:rFonts w:cs="Arial"/>
          <w:szCs w:val="20"/>
        </w:rPr>
      </w:pPr>
      <w:r>
        <w:rPr>
          <w:rFonts w:cs="Arial"/>
          <w:szCs w:val="20"/>
        </w:rPr>
        <w:t>H</w:t>
      </w:r>
      <w:r w:rsidRPr="00122C89">
        <w:rPr>
          <w:rFonts w:cs="Arial"/>
          <w:szCs w:val="20"/>
        </w:rPr>
        <w:t xml:space="preserve">HA will determine that the current or past behavior of household members does not include activities that are prohibited by </w:t>
      </w:r>
      <w:r>
        <w:rPr>
          <w:rFonts w:cs="Arial"/>
          <w:szCs w:val="20"/>
        </w:rPr>
        <w:t>H</w:t>
      </w:r>
      <w:r w:rsidRPr="00122C89">
        <w:rPr>
          <w:rFonts w:cs="Arial"/>
          <w:szCs w:val="20"/>
        </w:rPr>
        <w:t xml:space="preserve">HA. </w:t>
      </w:r>
    </w:p>
    <w:p w14:paraId="504BE6F4" w14:textId="77777777" w:rsidR="00D819AF" w:rsidRDefault="00D819AF" w:rsidP="00D819AF">
      <w:pPr>
        <w:rPr>
          <w:rFonts w:cs="Arial"/>
          <w:szCs w:val="20"/>
        </w:rPr>
      </w:pPr>
      <w:r w:rsidRPr="00122C89">
        <w:rPr>
          <w:rFonts w:cs="Arial"/>
          <w:szCs w:val="20"/>
        </w:rPr>
        <w:t>If a family is deemed ineligible or unsuitable for admission, the family will be removed from the waiting list.</w:t>
      </w:r>
    </w:p>
    <w:p w14:paraId="0AE7F32A" w14:textId="77777777" w:rsidR="00871C6F" w:rsidRPr="00871C6F" w:rsidRDefault="00871C6F" w:rsidP="00871C6F">
      <w:pPr>
        <w:rPr>
          <w:rFonts w:cs="Arial"/>
          <w:szCs w:val="20"/>
        </w:rPr>
      </w:pPr>
      <w:r w:rsidRPr="00871C6F">
        <w:rPr>
          <w:rFonts w:cs="Arial"/>
          <w:szCs w:val="20"/>
        </w:rPr>
        <w:t>An applicant’s misrepresentation of information</w:t>
      </w:r>
      <w:r w:rsidR="008C393A">
        <w:rPr>
          <w:rFonts w:cs="Arial"/>
          <w:szCs w:val="20"/>
        </w:rPr>
        <w:t>, including but not limited to those</w:t>
      </w:r>
      <w:r w:rsidRPr="00871C6F">
        <w:rPr>
          <w:rFonts w:cs="Arial"/>
          <w:szCs w:val="20"/>
        </w:rPr>
        <w:t xml:space="preserve"> related to eligibility, preference for admission, housing history, assets, allowances, household composition, criminal history or rent</w:t>
      </w:r>
      <w:r w:rsidR="00F95F97">
        <w:rPr>
          <w:rFonts w:cs="Arial"/>
          <w:szCs w:val="20"/>
        </w:rPr>
        <w:t>,</w:t>
      </w:r>
      <w:r w:rsidRPr="00871C6F">
        <w:rPr>
          <w:rFonts w:cs="Arial"/>
          <w:szCs w:val="20"/>
        </w:rPr>
        <w:t xml:space="preserve"> will result in rejection.</w:t>
      </w:r>
    </w:p>
    <w:p w14:paraId="7F684189" w14:textId="77777777" w:rsidR="00F63A34" w:rsidRPr="00CC15A7" w:rsidRDefault="00D93694" w:rsidP="00BB64BD">
      <w:pPr>
        <w:pStyle w:val="Heading2"/>
      </w:pPr>
      <w:bookmarkStart w:id="167" w:name="_Toc173222651"/>
      <w:bookmarkStart w:id="168" w:name="_Toc200375517"/>
      <w:bookmarkStart w:id="169" w:name="_Toc200376917"/>
      <w:r w:rsidRPr="00CC15A7">
        <w:t>Definitions</w:t>
      </w:r>
      <w:bookmarkEnd w:id="167"/>
      <w:bookmarkEnd w:id="168"/>
      <w:bookmarkEnd w:id="169"/>
    </w:p>
    <w:p w14:paraId="5DA71636" w14:textId="77777777" w:rsidR="00A94140" w:rsidRDefault="00A94140" w:rsidP="00677451">
      <w:pPr>
        <w:pStyle w:val="Heading3"/>
      </w:pPr>
      <w:bookmarkStart w:id="170" w:name="_Toc200375518"/>
      <w:r>
        <w:t>Family</w:t>
      </w:r>
      <w:bookmarkEnd w:id="170"/>
    </w:p>
    <w:p w14:paraId="6E0BEFC1" w14:textId="77777777" w:rsidR="009706F6" w:rsidRPr="009A1FE4" w:rsidRDefault="009706F6" w:rsidP="009A1FE4">
      <w:pPr>
        <w:contextualSpacing/>
        <w:rPr>
          <w:rFonts w:cs="Arial"/>
        </w:rPr>
      </w:pPr>
      <w:r w:rsidRPr="009A1FE4">
        <w:rPr>
          <w:rFonts w:cs="Arial"/>
        </w:rPr>
        <w:t xml:space="preserve">Applicants must qualify as a </w:t>
      </w:r>
      <w:r w:rsidRPr="009A1FE4">
        <w:rPr>
          <w:rFonts w:cs="Arial"/>
          <w:i/>
          <w:iCs/>
        </w:rPr>
        <w:t>family</w:t>
      </w:r>
      <w:r w:rsidRPr="009A1FE4">
        <w:rPr>
          <w:rFonts w:cs="Arial"/>
        </w:rPr>
        <w:t xml:space="preserve"> as defined in 24 CFR 5.403. </w:t>
      </w:r>
      <w:r w:rsidRPr="009A1FE4">
        <w:rPr>
          <w:rFonts w:cs="Arial"/>
          <w:i/>
        </w:rPr>
        <w:t>Family</w:t>
      </w:r>
      <w:r w:rsidRPr="009A1FE4">
        <w:rPr>
          <w:rFonts w:cs="Arial"/>
        </w:rPr>
        <w:t xml:space="preserve"> includes, but is not limited to, the following, regardless of actual or perceived sexual orientation, gender identity, or marital status:</w:t>
      </w:r>
    </w:p>
    <w:p w14:paraId="5AF9ACA8" w14:textId="77777777" w:rsidR="009A1FE4" w:rsidRPr="009A1FE4" w:rsidRDefault="009A1FE4" w:rsidP="007F177E">
      <w:pPr>
        <w:pStyle w:val="NormalWeb"/>
        <w:numPr>
          <w:ilvl w:val="0"/>
          <w:numId w:val="217"/>
        </w:numPr>
        <w:spacing w:before="0" w:beforeAutospacing="0" w:after="160" w:afterAutospacing="0" w:line="259" w:lineRule="auto"/>
        <w:jc w:val="both"/>
        <w:rPr>
          <w:rFonts w:ascii="Arial" w:hAnsi="Arial"/>
          <w:sz w:val="22"/>
          <w:szCs w:val="22"/>
        </w:rPr>
      </w:pPr>
      <w:r w:rsidRPr="009A1FE4">
        <w:rPr>
          <w:rFonts w:ascii="Arial" w:hAnsi="Arial"/>
          <w:sz w:val="22"/>
          <w:szCs w:val="22"/>
        </w:rPr>
        <w:t>A single person, who may be:</w:t>
      </w:r>
    </w:p>
    <w:p w14:paraId="37619873" w14:textId="77777777" w:rsidR="009A1FE4" w:rsidRPr="009A1FE4" w:rsidRDefault="009A1FE4" w:rsidP="007F177E">
      <w:pPr>
        <w:pStyle w:val="NormalWeb"/>
        <w:numPr>
          <w:ilvl w:val="1"/>
          <w:numId w:val="218"/>
        </w:numPr>
        <w:spacing w:before="0" w:beforeAutospacing="0" w:after="160" w:afterAutospacing="0" w:line="259" w:lineRule="auto"/>
        <w:jc w:val="both"/>
        <w:rPr>
          <w:rFonts w:ascii="Arial" w:hAnsi="Arial"/>
          <w:sz w:val="22"/>
          <w:szCs w:val="22"/>
        </w:rPr>
      </w:pPr>
      <w:r>
        <w:rPr>
          <w:rFonts w:ascii="Arial" w:hAnsi="Arial"/>
          <w:sz w:val="22"/>
          <w:szCs w:val="22"/>
        </w:rPr>
        <w:t>A</w:t>
      </w:r>
      <w:r w:rsidRPr="009A1FE4">
        <w:rPr>
          <w:rFonts w:ascii="Arial" w:hAnsi="Arial"/>
          <w:sz w:val="22"/>
          <w:szCs w:val="22"/>
        </w:rPr>
        <w:t xml:space="preserve">n elderly person, displaced person, disabled person, near-elderly person, or any other single person; or </w:t>
      </w:r>
    </w:p>
    <w:p w14:paraId="36225170" w14:textId="77777777" w:rsidR="009A1FE4" w:rsidRPr="009A1FE4" w:rsidRDefault="009A1FE4" w:rsidP="007F177E">
      <w:pPr>
        <w:pStyle w:val="NormalWeb"/>
        <w:numPr>
          <w:ilvl w:val="1"/>
          <w:numId w:val="218"/>
        </w:numPr>
        <w:spacing w:before="0" w:beforeAutospacing="0" w:after="160" w:afterAutospacing="0" w:line="259" w:lineRule="auto"/>
        <w:jc w:val="both"/>
        <w:rPr>
          <w:rFonts w:ascii="Arial" w:hAnsi="Arial"/>
          <w:sz w:val="22"/>
          <w:szCs w:val="22"/>
        </w:rPr>
      </w:pPr>
      <w:r>
        <w:rPr>
          <w:rFonts w:ascii="Arial" w:hAnsi="Arial"/>
          <w:sz w:val="22"/>
          <w:szCs w:val="22"/>
        </w:rPr>
        <w:t>A</w:t>
      </w:r>
      <w:r w:rsidRPr="009A1FE4">
        <w:rPr>
          <w:rFonts w:ascii="Arial" w:hAnsi="Arial"/>
          <w:sz w:val="22"/>
          <w:szCs w:val="22"/>
        </w:rPr>
        <w:t>n otherwise eligible youth who has attained at least 18 years of age and not more than 24 years of age and who has left foster care, or will leave foster care within 90 days, in accordance with a transition plan described in section 475(5)(H) of the Social Security Act and is homeless at age 16 or older; or</w:t>
      </w:r>
    </w:p>
    <w:p w14:paraId="5D9B1179" w14:textId="77777777" w:rsidR="009A1FE4" w:rsidRPr="009A1FE4" w:rsidRDefault="009A1FE4" w:rsidP="007F177E">
      <w:pPr>
        <w:pStyle w:val="NormalWeb"/>
        <w:numPr>
          <w:ilvl w:val="0"/>
          <w:numId w:val="217"/>
        </w:numPr>
        <w:spacing w:before="0" w:beforeAutospacing="0" w:after="160" w:afterAutospacing="0" w:line="259" w:lineRule="auto"/>
        <w:jc w:val="both"/>
        <w:rPr>
          <w:rFonts w:ascii="Arial" w:hAnsi="Arial"/>
          <w:sz w:val="22"/>
          <w:szCs w:val="22"/>
        </w:rPr>
      </w:pPr>
      <w:r w:rsidRPr="009A1FE4">
        <w:rPr>
          <w:rFonts w:ascii="Arial" w:hAnsi="Arial"/>
          <w:sz w:val="22"/>
          <w:szCs w:val="22"/>
        </w:rPr>
        <w:t>A group of persons residing together, and such group includes, but is not limited to:</w:t>
      </w:r>
    </w:p>
    <w:p w14:paraId="20FA3C5B" w14:textId="77777777" w:rsidR="009A1FE4" w:rsidRPr="009A1FE4" w:rsidRDefault="009A1FE4" w:rsidP="007F177E">
      <w:pPr>
        <w:pStyle w:val="NormalWeb"/>
        <w:numPr>
          <w:ilvl w:val="1"/>
          <w:numId w:val="219"/>
        </w:numPr>
        <w:spacing w:before="0" w:beforeAutospacing="0" w:after="160" w:afterAutospacing="0" w:line="259" w:lineRule="auto"/>
        <w:jc w:val="both"/>
        <w:rPr>
          <w:rFonts w:ascii="Arial" w:hAnsi="Arial"/>
          <w:sz w:val="22"/>
          <w:szCs w:val="22"/>
        </w:rPr>
      </w:pPr>
      <w:r w:rsidRPr="009A1FE4">
        <w:rPr>
          <w:rFonts w:ascii="Arial" w:hAnsi="Arial"/>
          <w:sz w:val="22"/>
          <w:szCs w:val="22"/>
        </w:rPr>
        <w:t>A family with or without children (a child who is temporarily away from the home because of placement in foster care is considered a member of the family);</w:t>
      </w:r>
    </w:p>
    <w:p w14:paraId="3AEA2A07" w14:textId="77777777" w:rsidR="009A1FE4" w:rsidRPr="009A1FE4" w:rsidRDefault="009A1FE4" w:rsidP="007F177E">
      <w:pPr>
        <w:pStyle w:val="NormalWeb"/>
        <w:numPr>
          <w:ilvl w:val="1"/>
          <w:numId w:val="219"/>
        </w:numPr>
        <w:spacing w:before="0" w:beforeAutospacing="0" w:after="160" w:afterAutospacing="0" w:line="259" w:lineRule="auto"/>
        <w:jc w:val="both"/>
        <w:rPr>
          <w:rFonts w:ascii="Arial" w:hAnsi="Arial"/>
          <w:sz w:val="22"/>
          <w:szCs w:val="22"/>
        </w:rPr>
      </w:pPr>
      <w:r w:rsidRPr="009A1FE4">
        <w:rPr>
          <w:rFonts w:ascii="Arial" w:hAnsi="Arial"/>
          <w:sz w:val="22"/>
          <w:szCs w:val="22"/>
        </w:rPr>
        <w:t>An elderly family;</w:t>
      </w:r>
    </w:p>
    <w:p w14:paraId="445B2682" w14:textId="77777777" w:rsidR="009A1FE4" w:rsidRPr="009A1FE4" w:rsidRDefault="009A1FE4" w:rsidP="007F177E">
      <w:pPr>
        <w:pStyle w:val="NormalWeb"/>
        <w:numPr>
          <w:ilvl w:val="1"/>
          <w:numId w:val="219"/>
        </w:numPr>
        <w:spacing w:before="0" w:beforeAutospacing="0" w:after="160" w:afterAutospacing="0" w:line="259" w:lineRule="auto"/>
        <w:jc w:val="both"/>
        <w:rPr>
          <w:rFonts w:ascii="Arial" w:hAnsi="Arial"/>
          <w:sz w:val="22"/>
          <w:szCs w:val="22"/>
        </w:rPr>
      </w:pPr>
      <w:r w:rsidRPr="009A1FE4">
        <w:rPr>
          <w:rFonts w:ascii="Arial" w:hAnsi="Arial"/>
          <w:sz w:val="22"/>
          <w:szCs w:val="22"/>
        </w:rPr>
        <w:t>A near-elderly family;</w:t>
      </w:r>
    </w:p>
    <w:p w14:paraId="77E12C81" w14:textId="77777777" w:rsidR="009A1FE4" w:rsidRPr="009A1FE4" w:rsidRDefault="009A1FE4" w:rsidP="007F177E">
      <w:pPr>
        <w:pStyle w:val="NormalWeb"/>
        <w:numPr>
          <w:ilvl w:val="1"/>
          <w:numId w:val="219"/>
        </w:numPr>
        <w:spacing w:before="0" w:beforeAutospacing="0" w:after="160" w:afterAutospacing="0" w:line="259" w:lineRule="auto"/>
        <w:jc w:val="both"/>
        <w:rPr>
          <w:rFonts w:ascii="Arial" w:hAnsi="Arial"/>
          <w:sz w:val="22"/>
          <w:szCs w:val="22"/>
        </w:rPr>
      </w:pPr>
      <w:r w:rsidRPr="009A1FE4">
        <w:rPr>
          <w:rFonts w:ascii="Arial" w:hAnsi="Arial"/>
          <w:sz w:val="22"/>
          <w:szCs w:val="22"/>
        </w:rPr>
        <w:t>A disabled family;</w:t>
      </w:r>
    </w:p>
    <w:p w14:paraId="1475448E" w14:textId="77777777" w:rsidR="009A1FE4" w:rsidRPr="009A1FE4" w:rsidRDefault="009A1FE4" w:rsidP="007F177E">
      <w:pPr>
        <w:pStyle w:val="NormalWeb"/>
        <w:numPr>
          <w:ilvl w:val="1"/>
          <w:numId w:val="219"/>
        </w:numPr>
        <w:spacing w:before="0" w:beforeAutospacing="0" w:after="160" w:afterAutospacing="0" w:line="259" w:lineRule="auto"/>
        <w:jc w:val="both"/>
        <w:rPr>
          <w:rFonts w:ascii="Arial" w:hAnsi="Arial"/>
          <w:sz w:val="22"/>
          <w:szCs w:val="22"/>
        </w:rPr>
      </w:pPr>
      <w:r w:rsidRPr="009A1FE4">
        <w:rPr>
          <w:rFonts w:ascii="Arial" w:hAnsi="Arial"/>
          <w:sz w:val="22"/>
          <w:szCs w:val="22"/>
        </w:rPr>
        <w:t>A displaced family; and</w:t>
      </w:r>
    </w:p>
    <w:p w14:paraId="71D3C071" w14:textId="77777777" w:rsidR="009A1FE4" w:rsidRPr="009A1FE4" w:rsidRDefault="009A1FE4" w:rsidP="007F177E">
      <w:pPr>
        <w:pStyle w:val="NormalWeb"/>
        <w:numPr>
          <w:ilvl w:val="1"/>
          <w:numId w:val="219"/>
        </w:numPr>
        <w:spacing w:before="0" w:beforeAutospacing="0" w:after="160" w:afterAutospacing="0" w:line="259" w:lineRule="auto"/>
        <w:jc w:val="both"/>
        <w:rPr>
          <w:rFonts w:ascii="Arial" w:hAnsi="Arial"/>
          <w:sz w:val="22"/>
          <w:szCs w:val="22"/>
        </w:rPr>
      </w:pPr>
      <w:r w:rsidRPr="009A1FE4">
        <w:rPr>
          <w:rFonts w:ascii="Arial" w:hAnsi="Arial"/>
          <w:sz w:val="22"/>
          <w:szCs w:val="22"/>
        </w:rPr>
        <w:t>The remaining member of a tenant family.</w:t>
      </w:r>
    </w:p>
    <w:p w14:paraId="638AAC7B" w14:textId="77777777" w:rsidR="00B22484" w:rsidRPr="0037368E" w:rsidRDefault="00B22484" w:rsidP="007F177E">
      <w:pPr>
        <w:pStyle w:val="NormalWeb"/>
        <w:numPr>
          <w:ilvl w:val="0"/>
          <w:numId w:val="217"/>
        </w:numPr>
        <w:spacing w:before="0" w:beforeAutospacing="0" w:after="160" w:afterAutospacing="0" w:line="259" w:lineRule="auto"/>
        <w:jc w:val="both"/>
        <w:rPr>
          <w:rFonts w:ascii="Arial" w:hAnsi="Arial"/>
          <w:sz w:val="22"/>
          <w:szCs w:val="22"/>
        </w:rPr>
      </w:pPr>
      <w:r w:rsidRPr="0037368E">
        <w:rPr>
          <w:rFonts w:ascii="Arial" w:hAnsi="Arial"/>
          <w:sz w:val="22"/>
          <w:szCs w:val="22"/>
        </w:rPr>
        <w:t>A family also includes two or more individuals who are not related by blood, marriage, adoption, or other operation of law, but who either can demonstrate that they have lived together previously or certify that each individual’s income and other resources will be available to meet the needs of the family.</w:t>
      </w:r>
    </w:p>
    <w:p w14:paraId="5A07C738" w14:textId="77777777" w:rsidR="00B22484" w:rsidRPr="00122C89" w:rsidRDefault="00B22484" w:rsidP="00B22484">
      <w:pPr>
        <w:rPr>
          <w:rFonts w:cs="Arial"/>
          <w:szCs w:val="20"/>
        </w:rPr>
      </w:pPr>
      <w:r w:rsidRPr="00122C89">
        <w:rPr>
          <w:rFonts w:cs="Arial"/>
          <w:i/>
          <w:iCs/>
          <w:szCs w:val="20"/>
        </w:rPr>
        <w:t xml:space="preserve">Gender </w:t>
      </w:r>
      <w:r>
        <w:rPr>
          <w:rFonts w:cs="Arial"/>
          <w:i/>
          <w:iCs/>
          <w:szCs w:val="20"/>
        </w:rPr>
        <w:t>i</w:t>
      </w:r>
      <w:r w:rsidRPr="00122C89">
        <w:rPr>
          <w:rFonts w:cs="Arial"/>
          <w:i/>
          <w:iCs/>
          <w:szCs w:val="20"/>
        </w:rPr>
        <w:t>dentity</w:t>
      </w:r>
      <w:r w:rsidRPr="00122C89">
        <w:rPr>
          <w:rFonts w:cs="Arial"/>
          <w:szCs w:val="20"/>
        </w:rPr>
        <w:t xml:space="preserve"> means actual or perceived gender characteristics.</w:t>
      </w:r>
    </w:p>
    <w:p w14:paraId="777295B1" w14:textId="77777777" w:rsidR="00B22484" w:rsidRPr="00122C89" w:rsidRDefault="00B22484" w:rsidP="00B22484">
      <w:pPr>
        <w:rPr>
          <w:rFonts w:cs="Arial"/>
          <w:szCs w:val="20"/>
        </w:rPr>
      </w:pPr>
      <w:r w:rsidRPr="00122C89">
        <w:rPr>
          <w:rFonts w:cs="Arial"/>
          <w:i/>
          <w:iCs/>
          <w:szCs w:val="20"/>
        </w:rPr>
        <w:t xml:space="preserve">Sexual </w:t>
      </w:r>
      <w:r>
        <w:rPr>
          <w:rFonts w:cs="Arial"/>
          <w:i/>
          <w:iCs/>
          <w:szCs w:val="20"/>
        </w:rPr>
        <w:t>o</w:t>
      </w:r>
      <w:r w:rsidRPr="00122C89">
        <w:rPr>
          <w:rFonts w:cs="Arial"/>
          <w:i/>
          <w:iCs/>
          <w:szCs w:val="20"/>
        </w:rPr>
        <w:t>rientation</w:t>
      </w:r>
      <w:r w:rsidRPr="00122C89">
        <w:rPr>
          <w:rFonts w:cs="Arial"/>
          <w:szCs w:val="20"/>
        </w:rPr>
        <w:t xml:space="preserve"> means homosexuality, heterosexuality, or bisexuality.</w:t>
      </w:r>
    </w:p>
    <w:p w14:paraId="01E5AC27" w14:textId="77777777" w:rsidR="00B22484" w:rsidRPr="00122C89" w:rsidRDefault="00B22484" w:rsidP="00B22484">
      <w:pPr>
        <w:rPr>
          <w:rFonts w:cs="Arial"/>
          <w:szCs w:val="20"/>
        </w:rPr>
      </w:pPr>
      <w:r w:rsidRPr="00122C89">
        <w:rPr>
          <w:rFonts w:cs="Arial"/>
          <w:szCs w:val="20"/>
        </w:rPr>
        <w:t>Each family must identify the individuals to be included in the household at the time of application, and must update this information if the family</w:t>
      </w:r>
      <w:r>
        <w:rPr>
          <w:rFonts w:cs="Arial"/>
          <w:szCs w:val="20"/>
        </w:rPr>
        <w:t>’</w:t>
      </w:r>
      <w:r w:rsidRPr="00122C89">
        <w:rPr>
          <w:rFonts w:cs="Arial"/>
          <w:szCs w:val="20"/>
        </w:rPr>
        <w:t>s composition changes.</w:t>
      </w:r>
    </w:p>
    <w:p w14:paraId="630A0997" w14:textId="77777777" w:rsidR="00C1583F" w:rsidRPr="00122C89" w:rsidRDefault="00C1583F" w:rsidP="00677451">
      <w:pPr>
        <w:pStyle w:val="Heading3"/>
      </w:pPr>
      <w:bookmarkStart w:id="171" w:name="_Toc200375519"/>
      <w:r w:rsidRPr="00122C89">
        <w:t>Household</w:t>
      </w:r>
      <w:bookmarkEnd w:id="171"/>
    </w:p>
    <w:p w14:paraId="131ED342" w14:textId="77777777" w:rsidR="00C1583F" w:rsidRPr="00122C89" w:rsidRDefault="00C1583F" w:rsidP="00C1583F">
      <w:pPr>
        <w:rPr>
          <w:rFonts w:cs="Arial"/>
          <w:szCs w:val="20"/>
        </w:rPr>
      </w:pPr>
      <w:r w:rsidRPr="00122C89">
        <w:rPr>
          <w:rFonts w:cs="Arial"/>
          <w:i/>
          <w:iCs/>
          <w:szCs w:val="20"/>
        </w:rPr>
        <w:t>Household</w:t>
      </w:r>
      <w:r w:rsidRPr="00122C89">
        <w:rPr>
          <w:rFonts w:cs="Arial"/>
          <w:szCs w:val="20"/>
        </w:rPr>
        <w:t xml:space="preserve"> is a broader term that includes additional people who, with </w:t>
      </w:r>
      <w:r w:rsidR="00A94140">
        <w:rPr>
          <w:rFonts w:cs="Arial"/>
          <w:szCs w:val="20"/>
        </w:rPr>
        <w:t>H</w:t>
      </w:r>
      <w:r w:rsidRPr="00122C89">
        <w:rPr>
          <w:rFonts w:cs="Arial"/>
          <w:szCs w:val="20"/>
        </w:rPr>
        <w:t>HA</w:t>
      </w:r>
      <w:r>
        <w:rPr>
          <w:rFonts w:cs="Arial"/>
          <w:szCs w:val="20"/>
        </w:rPr>
        <w:t>’</w:t>
      </w:r>
      <w:r w:rsidRPr="00122C89">
        <w:rPr>
          <w:rFonts w:cs="Arial"/>
          <w:szCs w:val="20"/>
        </w:rPr>
        <w:t>s permission, live in an assisted unit, such as live-in aides, foster children, and foster adults.</w:t>
      </w:r>
    </w:p>
    <w:p w14:paraId="209B3696" w14:textId="77777777" w:rsidR="00C87CBD" w:rsidRPr="00122C89" w:rsidRDefault="00C87CBD" w:rsidP="00677451">
      <w:pPr>
        <w:pStyle w:val="Heading3"/>
      </w:pPr>
      <w:bookmarkStart w:id="172" w:name="_Toc521054784"/>
      <w:bookmarkStart w:id="173" w:name="_Toc527019310"/>
      <w:bookmarkStart w:id="174" w:name="_Toc534706845"/>
      <w:bookmarkStart w:id="175" w:name="_Toc534707523"/>
      <w:bookmarkStart w:id="176" w:name="_Toc534708331"/>
      <w:bookmarkStart w:id="177" w:name="_Toc106037711"/>
      <w:bookmarkStart w:id="178" w:name="_Toc106201351"/>
      <w:bookmarkStart w:id="179" w:name="_Toc106201870"/>
      <w:bookmarkStart w:id="180" w:name="_Toc106202396"/>
      <w:bookmarkStart w:id="181" w:name="_Toc113344851"/>
      <w:bookmarkStart w:id="182" w:name="_Toc137461592"/>
      <w:bookmarkStart w:id="183" w:name="_Toc137471183"/>
      <w:bookmarkStart w:id="184" w:name="_Toc137471692"/>
      <w:bookmarkStart w:id="185" w:name="_Toc200375520"/>
      <w:r w:rsidRPr="00122C89">
        <w:t>Head of Household</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7D89E763" w14:textId="77777777" w:rsidR="00C87CBD" w:rsidRPr="00122C89" w:rsidRDefault="00C87CBD" w:rsidP="00C87CBD">
      <w:pPr>
        <w:rPr>
          <w:rFonts w:cs="Arial"/>
          <w:szCs w:val="20"/>
        </w:rPr>
      </w:pPr>
      <w:r w:rsidRPr="00122C89">
        <w:rPr>
          <w:rFonts w:cs="Arial"/>
          <w:i/>
          <w:iCs/>
          <w:szCs w:val="20"/>
        </w:rPr>
        <w:t>Head of household</w:t>
      </w:r>
      <w:r w:rsidRPr="00122C89">
        <w:rPr>
          <w:rFonts w:cs="Arial"/>
          <w:szCs w:val="20"/>
        </w:rPr>
        <w:t xml:space="preserve"> means the adult member of the family who is considered the head for purposes of determining income eligibility and rent. The head of household is responsible for ensuring that the family fulfills all of its responsibilities under the program alone</w:t>
      </w:r>
      <w:r>
        <w:rPr>
          <w:rFonts w:cs="Arial"/>
          <w:szCs w:val="20"/>
        </w:rPr>
        <w:t>,</w:t>
      </w:r>
      <w:r w:rsidRPr="00122C89">
        <w:rPr>
          <w:rFonts w:cs="Arial"/>
          <w:szCs w:val="20"/>
        </w:rPr>
        <w:t xml:space="preserve"> or in conjunction with a co-head.</w:t>
      </w:r>
    </w:p>
    <w:p w14:paraId="2E7ECB6F" w14:textId="77777777" w:rsidR="00C87CBD" w:rsidRPr="00122C89" w:rsidRDefault="00C87CBD" w:rsidP="00C87CBD">
      <w:pPr>
        <w:rPr>
          <w:rFonts w:cs="Arial"/>
          <w:szCs w:val="20"/>
        </w:rPr>
      </w:pPr>
      <w:r w:rsidRPr="00122C89">
        <w:rPr>
          <w:rFonts w:cs="Arial"/>
          <w:szCs w:val="20"/>
        </w:rPr>
        <w:t>The family may designate any qualified family member as the head of household. The head of household must have the legal capacity to enter into a lease under state and local law. A minor who is emancipated under state law may be designated as head of household.</w:t>
      </w:r>
    </w:p>
    <w:p w14:paraId="514F2E93" w14:textId="77777777" w:rsidR="00C87CBD" w:rsidRPr="00122C89" w:rsidRDefault="00C87CBD" w:rsidP="00677451">
      <w:pPr>
        <w:pStyle w:val="Heading3"/>
      </w:pPr>
      <w:bookmarkStart w:id="186" w:name="_Toc521054785"/>
      <w:bookmarkStart w:id="187" w:name="_Toc527019311"/>
      <w:bookmarkStart w:id="188" w:name="_Toc534706846"/>
      <w:bookmarkStart w:id="189" w:name="_Toc534707524"/>
      <w:bookmarkStart w:id="190" w:name="_Toc534708332"/>
      <w:bookmarkStart w:id="191" w:name="_Toc106037712"/>
      <w:bookmarkStart w:id="192" w:name="_Toc106201352"/>
      <w:bookmarkStart w:id="193" w:name="_Toc106201871"/>
      <w:bookmarkStart w:id="194" w:name="_Toc106202397"/>
      <w:bookmarkStart w:id="195" w:name="_Toc113344852"/>
      <w:bookmarkStart w:id="196" w:name="_Toc137461593"/>
      <w:bookmarkStart w:id="197" w:name="_Toc137471184"/>
      <w:bookmarkStart w:id="198" w:name="_Toc137471693"/>
      <w:bookmarkStart w:id="199" w:name="_Toc200375521"/>
      <w:r w:rsidRPr="00122C89">
        <w:t>Spouse, Co-Head and Other Adult</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r w:rsidRPr="00122C89">
        <w:t xml:space="preserve"> </w:t>
      </w:r>
    </w:p>
    <w:p w14:paraId="65BAA1A8" w14:textId="77777777" w:rsidR="00C87CBD" w:rsidRPr="00122C89" w:rsidRDefault="00C87CBD" w:rsidP="006161DA">
      <w:pPr>
        <w:rPr>
          <w:rFonts w:cs="Arial"/>
          <w:szCs w:val="20"/>
        </w:rPr>
      </w:pPr>
      <w:r w:rsidRPr="00122C89">
        <w:rPr>
          <w:rFonts w:cs="Arial"/>
          <w:szCs w:val="20"/>
        </w:rPr>
        <w:t xml:space="preserve">A family may have a spouse or co-head, but not both.  </w:t>
      </w:r>
    </w:p>
    <w:p w14:paraId="43D88538" w14:textId="77777777" w:rsidR="00C87CBD" w:rsidRPr="00BE6E8F" w:rsidRDefault="00C87CBD" w:rsidP="006161DA">
      <w:pPr>
        <w:rPr>
          <w:rFonts w:cs="Arial"/>
          <w:szCs w:val="20"/>
        </w:rPr>
      </w:pPr>
      <w:r w:rsidRPr="00122C89">
        <w:rPr>
          <w:rFonts w:cs="Arial"/>
          <w:i/>
          <w:iCs/>
          <w:szCs w:val="20"/>
        </w:rPr>
        <w:t>Spouse</w:t>
      </w:r>
      <w:r w:rsidRPr="00122C89">
        <w:rPr>
          <w:rFonts w:cs="Arial"/>
          <w:szCs w:val="20"/>
        </w:rPr>
        <w:t xml:space="preserve"> means the marriage partner of the head of household.</w:t>
      </w:r>
      <w:r w:rsidR="00BE6E8F">
        <w:rPr>
          <w:rFonts w:cs="Arial"/>
          <w:szCs w:val="20"/>
        </w:rPr>
        <w:t xml:space="preserve"> </w:t>
      </w:r>
      <w:r w:rsidRPr="00BE6E8F">
        <w:rPr>
          <w:rFonts w:cs="Arial"/>
          <w:szCs w:val="20"/>
        </w:rPr>
        <w:t xml:space="preserve">A marriage partner includes the partner in a </w:t>
      </w:r>
      <w:r w:rsidRPr="00BE6E8F">
        <w:rPr>
          <w:rFonts w:cs="Arial"/>
          <w:i/>
          <w:iCs/>
          <w:szCs w:val="20"/>
        </w:rPr>
        <w:t>common law</w:t>
      </w:r>
      <w:r w:rsidRPr="00BE6E8F">
        <w:rPr>
          <w:rFonts w:cs="Arial"/>
          <w:szCs w:val="20"/>
        </w:rPr>
        <w:t xml:space="preserve"> marriage as defined in state law. The term </w:t>
      </w:r>
      <w:r w:rsidRPr="00BE6E8F">
        <w:rPr>
          <w:rFonts w:cs="Arial"/>
          <w:i/>
          <w:iCs/>
          <w:szCs w:val="20"/>
        </w:rPr>
        <w:t>spouse</w:t>
      </w:r>
      <w:r w:rsidRPr="00BE6E8F">
        <w:rPr>
          <w:rFonts w:cs="Arial"/>
          <w:szCs w:val="20"/>
        </w:rPr>
        <w:t xml:space="preserve"> does not apply to friends, roommates, or significant others who are not marriage partners. A minor who is emancipated under state law may be designated as a spouse.</w:t>
      </w:r>
    </w:p>
    <w:p w14:paraId="647B915B" w14:textId="77777777" w:rsidR="00C87CBD" w:rsidRPr="00BE6E8F" w:rsidRDefault="00C87CBD" w:rsidP="006161DA">
      <w:pPr>
        <w:rPr>
          <w:rFonts w:cs="Arial"/>
          <w:szCs w:val="20"/>
        </w:rPr>
      </w:pPr>
      <w:r w:rsidRPr="00BE6E8F">
        <w:rPr>
          <w:rFonts w:cs="Arial"/>
          <w:szCs w:val="20"/>
        </w:rPr>
        <w:t xml:space="preserve">A </w:t>
      </w:r>
      <w:r w:rsidRPr="00BE6E8F">
        <w:rPr>
          <w:rFonts w:cs="Arial"/>
          <w:i/>
          <w:iCs/>
          <w:szCs w:val="20"/>
        </w:rPr>
        <w:t>co-head</w:t>
      </w:r>
      <w:r w:rsidRPr="00BE6E8F">
        <w:rPr>
          <w:rFonts w:cs="Arial"/>
          <w:szCs w:val="20"/>
        </w:rPr>
        <w:t xml:space="preserve"> is an individual in the household who is equally responsible with the head of household for ensuring that the family fulfills all of its responsibilities under the program, but who is not a spouse. A family can have only one co-head. Minors who are emancipated under state law may be designated as a co-head.</w:t>
      </w:r>
    </w:p>
    <w:p w14:paraId="73842BFE" w14:textId="77777777" w:rsidR="00C87CBD" w:rsidRPr="006161DA" w:rsidRDefault="00C87CBD" w:rsidP="006161DA">
      <w:pPr>
        <w:rPr>
          <w:rFonts w:cs="Arial"/>
          <w:szCs w:val="20"/>
        </w:rPr>
      </w:pPr>
      <w:r w:rsidRPr="006161DA">
        <w:rPr>
          <w:rFonts w:cs="Arial"/>
          <w:i/>
          <w:iCs/>
          <w:szCs w:val="20"/>
        </w:rPr>
        <w:t>Other adult</w:t>
      </w:r>
      <w:r w:rsidRPr="006161DA">
        <w:rPr>
          <w:rFonts w:cs="Arial"/>
          <w:szCs w:val="20"/>
        </w:rPr>
        <w:t xml:space="preserve"> means a family member, other than the head, spouse, or co-head, who is 18 years of age or older. Foster adults and live-in aides are not considered other adults.</w:t>
      </w:r>
    </w:p>
    <w:p w14:paraId="3098AA9B" w14:textId="77777777" w:rsidR="00C87CBD" w:rsidRPr="00122C89" w:rsidRDefault="00C87CBD" w:rsidP="00677451">
      <w:pPr>
        <w:pStyle w:val="Heading3"/>
      </w:pPr>
      <w:bookmarkStart w:id="200" w:name="_Toc521054786"/>
      <w:bookmarkStart w:id="201" w:name="_Toc527019312"/>
      <w:bookmarkStart w:id="202" w:name="_Toc534706847"/>
      <w:bookmarkStart w:id="203" w:name="_Toc534707525"/>
      <w:bookmarkStart w:id="204" w:name="_Toc534708333"/>
      <w:bookmarkStart w:id="205" w:name="_Toc106037713"/>
      <w:bookmarkStart w:id="206" w:name="_Toc106201353"/>
      <w:bookmarkStart w:id="207" w:name="_Toc106201872"/>
      <w:bookmarkStart w:id="208" w:name="_Toc106202398"/>
      <w:bookmarkStart w:id="209" w:name="_Toc113344853"/>
      <w:bookmarkStart w:id="210" w:name="_Toc137461594"/>
      <w:bookmarkStart w:id="211" w:name="_Toc137471185"/>
      <w:bookmarkStart w:id="212" w:name="_Toc137471694"/>
      <w:bookmarkStart w:id="213" w:name="_Toc200375522"/>
      <w:r w:rsidRPr="00122C89">
        <w:t>Interdependent Relationship or Domestic Partnership</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6BD5D58C" w14:textId="77777777" w:rsidR="00C87CBD" w:rsidRPr="00122C89" w:rsidRDefault="00C87CBD" w:rsidP="00C87CBD">
      <w:pPr>
        <w:rPr>
          <w:rFonts w:cs="Arial"/>
          <w:szCs w:val="20"/>
        </w:rPr>
      </w:pPr>
      <w:r w:rsidRPr="00122C89">
        <w:rPr>
          <w:rFonts w:cs="Arial"/>
          <w:szCs w:val="20"/>
        </w:rPr>
        <w:t>To claim an interdependent relationship or domestic partnership, individuals must demonstrate and certify that each individual</w:t>
      </w:r>
      <w:r>
        <w:rPr>
          <w:rFonts w:cs="Arial"/>
          <w:szCs w:val="20"/>
        </w:rPr>
        <w:t>’</w:t>
      </w:r>
      <w:r w:rsidRPr="00122C89">
        <w:rPr>
          <w:rFonts w:cs="Arial"/>
          <w:szCs w:val="20"/>
        </w:rPr>
        <w:t xml:space="preserve">s income and other resources will be available to meet the needs of the family and that the family otherwise comprises a </w:t>
      </w:r>
      <w:r w:rsidRPr="006161DA">
        <w:rPr>
          <w:rFonts w:cs="Arial"/>
          <w:szCs w:val="20"/>
        </w:rPr>
        <w:t>housekeeping unit,</w:t>
      </w:r>
      <w:r w:rsidRPr="00122C89">
        <w:rPr>
          <w:rFonts w:cs="Arial"/>
          <w:szCs w:val="20"/>
        </w:rPr>
        <w:t xml:space="preserve"> meaning the individuals share expenses, household chores, household shopping responsibilities, and other common household activities. An interdependent relationship/domestic partnership may exist regardless of actual or perceived sexual orientation, gender identity, or marital status.</w:t>
      </w:r>
    </w:p>
    <w:p w14:paraId="056E4284" w14:textId="77777777" w:rsidR="00C87CBD" w:rsidRPr="006161DA" w:rsidRDefault="00C87CBD" w:rsidP="006161DA">
      <w:pPr>
        <w:rPr>
          <w:rFonts w:cs="Arial"/>
          <w:szCs w:val="20"/>
        </w:rPr>
      </w:pPr>
      <w:r w:rsidRPr="006161DA">
        <w:rPr>
          <w:rFonts w:cs="Arial"/>
          <w:szCs w:val="20"/>
        </w:rPr>
        <w:t>An interdependent relationship or domestic partnership is defined as a committed relationship between two adults, in which the partners:</w:t>
      </w:r>
    </w:p>
    <w:p w14:paraId="71FA6FBB" w14:textId="77777777" w:rsidR="00C87CBD" w:rsidRPr="006161DA" w:rsidRDefault="00C87CBD" w:rsidP="007F177E">
      <w:pPr>
        <w:pStyle w:val="ListParagraph"/>
        <w:numPr>
          <w:ilvl w:val="0"/>
          <w:numId w:val="220"/>
        </w:numPr>
        <w:contextualSpacing w:val="0"/>
        <w:rPr>
          <w:rFonts w:cs="Arial"/>
          <w:szCs w:val="20"/>
        </w:rPr>
      </w:pPr>
      <w:r w:rsidRPr="006161DA">
        <w:rPr>
          <w:rFonts w:cs="Arial"/>
          <w:szCs w:val="20"/>
        </w:rPr>
        <w:t>Maintain a common residence, and intend to continue to do so (or would maintain a common residence but for an assignment abroad or other employment-related, financial, or similar obstacle);</w:t>
      </w:r>
    </w:p>
    <w:p w14:paraId="2F9D5876" w14:textId="77777777" w:rsidR="00C87CBD" w:rsidRPr="006161DA" w:rsidRDefault="00C87CBD" w:rsidP="007F177E">
      <w:pPr>
        <w:pStyle w:val="ListParagraph"/>
        <w:numPr>
          <w:ilvl w:val="0"/>
          <w:numId w:val="220"/>
        </w:numPr>
        <w:contextualSpacing w:val="0"/>
        <w:rPr>
          <w:rFonts w:cs="Arial"/>
          <w:szCs w:val="20"/>
        </w:rPr>
      </w:pPr>
      <w:r w:rsidRPr="006161DA">
        <w:rPr>
          <w:rFonts w:cs="Arial"/>
          <w:szCs w:val="20"/>
        </w:rPr>
        <w:t>Are at least 18 years of age and mentally competent to consent to contract;</w:t>
      </w:r>
    </w:p>
    <w:p w14:paraId="425786B3" w14:textId="77777777" w:rsidR="00C87CBD" w:rsidRPr="006161DA" w:rsidRDefault="00C87CBD" w:rsidP="007F177E">
      <w:pPr>
        <w:pStyle w:val="ListParagraph"/>
        <w:numPr>
          <w:ilvl w:val="0"/>
          <w:numId w:val="220"/>
        </w:numPr>
        <w:contextualSpacing w:val="0"/>
        <w:rPr>
          <w:rFonts w:cs="Arial"/>
          <w:szCs w:val="20"/>
        </w:rPr>
      </w:pPr>
      <w:r w:rsidRPr="006161DA">
        <w:rPr>
          <w:rFonts w:cs="Arial"/>
          <w:szCs w:val="20"/>
        </w:rPr>
        <w:t>Share responsibility for a significant measure of each other’s financial obligations;</w:t>
      </w:r>
    </w:p>
    <w:p w14:paraId="32D76715" w14:textId="77777777" w:rsidR="00C87CBD" w:rsidRPr="006161DA" w:rsidRDefault="00C87CBD" w:rsidP="007F177E">
      <w:pPr>
        <w:pStyle w:val="ListParagraph"/>
        <w:numPr>
          <w:ilvl w:val="0"/>
          <w:numId w:val="220"/>
        </w:numPr>
        <w:contextualSpacing w:val="0"/>
        <w:rPr>
          <w:rFonts w:cs="Arial"/>
          <w:szCs w:val="20"/>
        </w:rPr>
      </w:pPr>
      <w:r w:rsidRPr="006161DA">
        <w:rPr>
          <w:rFonts w:cs="Arial"/>
          <w:szCs w:val="20"/>
        </w:rPr>
        <w:t>Are not the domestic partner of anyone else;</w:t>
      </w:r>
    </w:p>
    <w:p w14:paraId="0C9A533E" w14:textId="77777777" w:rsidR="00C87CBD" w:rsidRPr="006161DA" w:rsidRDefault="00C87CBD" w:rsidP="007F177E">
      <w:pPr>
        <w:pStyle w:val="ListParagraph"/>
        <w:numPr>
          <w:ilvl w:val="0"/>
          <w:numId w:val="220"/>
        </w:numPr>
        <w:contextualSpacing w:val="0"/>
        <w:rPr>
          <w:rFonts w:cs="Arial"/>
          <w:szCs w:val="20"/>
        </w:rPr>
      </w:pPr>
      <w:r w:rsidRPr="006161DA">
        <w:rPr>
          <w:rFonts w:cs="Arial"/>
          <w:szCs w:val="20"/>
        </w:rPr>
        <w:t>Are willing to certify, if required by the agency, that they understand that willful falsification of any documentation required to establish that an individual is in a domestic partnership may lead to disciplinary action and the recovery of the cost of benefits received related to such falsification.</w:t>
      </w:r>
    </w:p>
    <w:p w14:paraId="1778375C" w14:textId="77777777" w:rsidR="00C87CBD" w:rsidRPr="00122C89" w:rsidRDefault="00C87CBD" w:rsidP="00677451">
      <w:pPr>
        <w:pStyle w:val="Heading3"/>
      </w:pPr>
      <w:bookmarkStart w:id="214" w:name="_Toc521054787"/>
      <w:bookmarkStart w:id="215" w:name="_Toc527019313"/>
      <w:bookmarkStart w:id="216" w:name="_Toc534706848"/>
      <w:bookmarkStart w:id="217" w:name="_Toc534707526"/>
      <w:bookmarkStart w:id="218" w:name="_Toc534708334"/>
      <w:bookmarkStart w:id="219" w:name="_Toc106037714"/>
      <w:bookmarkStart w:id="220" w:name="_Toc106201354"/>
      <w:bookmarkStart w:id="221" w:name="_Toc106201873"/>
      <w:bookmarkStart w:id="222" w:name="_Toc106202399"/>
      <w:bookmarkStart w:id="223" w:name="_Toc113344854"/>
      <w:bookmarkStart w:id="224" w:name="_Toc137461595"/>
      <w:bookmarkStart w:id="225" w:name="_Toc137471186"/>
      <w:bookmarkStart w:id="226" w:name="_Toc137471695"/>
      <w:bookmarkStart w:id="227" w:name="_Toc200375523"/>
      <w:r w:rsidRPr="00122C89">
        <w:t>Dependent</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14:paraId="79F082FC" w14:textId="77777777" w:rsidR="00C87CBD" w:rsidRPr="00122C89" w:rsidRDefault="00C87CBD" w:rsidP="006E681E">
      <w:pPr>
        <w:rPr>
          <w:rFonts w:cs="Arial"/>
          <w:szCs w:val="20"/>
        </w:rPr>
      </w:pPr>
      <w:r w:rsidRPr="00122C89">
        <w:rPr>
          <w:rFonts w:cs="Arial"/>
          <w:szCs w:val="20"/>
        </w:rPr>
        <w:t xml:space="preserve">A </w:t>
      </w:r>
      <w:r w:rsidRPr="00122C89">
        <w:rPr>
          <w:rFonts w:cs="Arial"/>
          <w:i/>
          <w:iCs/>
          <w:szCs w:val="20"/>
        </w:rPr>
        <w:t>dependent</w:t>
      </w:r>
      <w:r w:rsidRPr="00122C89">
        <w:rPr>
          <w:rFonts w:cs="Arial"/>
          <w:szCs w:val="20"/>
        </w:rPr>
        <w:t xml:space="preserve"> is a family member who is:</w:t>
      </w:r>
    </w:p>
    <w:p w14:paraId="1ADDF117" w14:textId="77777777" w:rsidR="00C87CBD" w:rsidRPr="00122C89" w:rsidRDefault="00C87CBD" w:rsidP="00CB52D8">
      <w:pPr>
        <w:pStyle w:val="ListParagraph"/>
        <w:numPr>
          <w:ilvl w:val="0"/>
          <w:numId w:val="25"/>
        </w:numPr>
        <w:contextualSpacing w:val="0"/>
        <w:rPr>
          <w:rFonts w:cs="Arial"/>
          <w:szCs w:val="20"/>
        </w:rPr>
      </w:pPr>
      <w:r w:rsidRPr="00122C89">
        <w:rPr>
          <w:rFonts w:cs="Arial"/>
          <w:szCs w:val="20"/>
        </w:rPr>
        <w:t>Either under 18 years of age; or</w:t>
      </w:r>
    </w:p>
    <w:p w14:paraId="4F76B66D" w14:textId="77777777" w:rsidR="00C87CBD" w:rsidRPr="00122C89" w:rsidRDefault="00C87CBD" w:rsidP="00CB52D8">
      <w:pPr>
        <w:pStyle w:val="ListParagraph"/>
        <w:numPr>
          <w:ilvl w:val="0"/>
          <w:numId w:val="25"/>
        </w:numPr>
        <w:contextualSpacing w:val="0"/>
        <w:rPr>
          <w:rFonts w:cs="Arial"/>
          <w:szCs w:val="20"/>
        </w:rPr>
      </w:pPr>
      <w:r w:rsidRPr="00122C89">
        <w:rPr>
          <w:rFonts w:cs="Arial"/>
          <w:szCs w:val="20"/>
        </w:rPr>
        <w:t>A person of any age who is a person with a disability; or</w:t>
      </w:r>
    </w:p>
    <w:p w14:paraId="184160D9" w14:textId="77777777" w:rsidR="00C87CBD" w:rsidRPr="00122C89" w:rsidRDefault="00C87CBD" w:rsidP="00CB52D8">
      <w:pPr>
        <w:pStyle w:val="ListParagraph"/>
        <w:numPr>
          <w:ilvl w:val="0"/>
          <w:numId w:val="25"/>
        </w:numPr>
        <w:contextualSpacing w:val="0"/>
        <w:rPr>
          <w:rFonts w:cs="Arial"/>
          <w:szCs w:val="20"/>
        </w:rPr>
      </w:pPr>
      <w:r w:rsidRPr="00122C89">
        <w:rPr>
          <w:rFonts w:cs="Arial"/>
          <w:szCs w:val="20"/>
        </w:rPr>
        <w:t>A full-time student.</w:t>
      </w:r>
    </w:p>
    <w:p w14:paraId="1F2D11DE" w14:textId="77777777" w:rsidR="00C87CBD" w:rsidRPr="00122C89" w:rsidRDefault="00C87CBD" w:rsidP="006E681E">
      <w:pPr>
        <w:rPr>
          <w:rFonts w:cs="Arial"/>
          <w:szCs w:val="20"/>
        </w:rPr>
      </w:pPr>
      <w:r w:rsidRPr="00122C89">
        <w:rPr>
          <w:rFonts w:cs="Arial"/>
          <w:szCs w:val="20"/>
        </w:rPr>
        <w:t xml:space="preserve">The following persons can </w:t>
      </w:r>
      <w:r w:rsidRPr="00122C89">
        <w:rPr>
          <w:rFonts w:cs="Arial"/>
          <w:b/>
          <w:szCs w:val="20"/>
        </w:rPr>
        <w:t>never be dependents</w:t>
      </w:r>
      <w:r w:rsidRPr="00122C89">
        <w:rPr>
          <w:rFonts w:cs="Arial"/>
          <w:szCs w:val="20"/>
        </w:rPr>
        <w:t xml:space="preserve">: </w:t>
      </w:r>
    </w:p>
    <w:p w14:paraId="1F132B7F" w14:textId="77777777" w:rsidR="00C87CBD" w:rsidRPr="00122C89" w:rsidRDefault="00C87CBD" w:rsidP="00CB52D8">
      <w:pPr>
        <w:pStyle w:val="ListParagraph"/>
        <w:numPr>
          <w:ilvl w:val="0"/>
          <w:numId w:val="25"/>
        </w:numPr>
        <w:contextualSpacing w:val="0"/>
        <w:rPr>
          <w:rFonts w:cs="Arial"/>
          <w:szCs w:val="20"/>
        </w:rPr>
      </w:pPr>
      <w:r w:rsidRPr="00122C89">
        <w:rPr>
          <w:rFonts w:cs="Arial"/>
          <w:szCs w:val="20"/>
        </w:rPr>
        <w:t>The head of household;</w:t>
      </w:r>
    </w:p>
    <w:p w14:paraId="3D78634E" w14:textId="77777777" w:rsidR="00C87CBD" w:rsidRPr="00122C89" w:rsidRDefault="00C87CBD" w:rsidP="00CB52D8">
      <w:pPr>
        <w:pStyle w:val="ListParagraph"/>
        <w:numPr>
          <w:ilvl w:val="0"/>
          <w:numId w:val="25"/>
        </w:numPr>
        <w:contextualSpacing w:val="0"/>
        <w:rPr>
          <w:rFonts w:cs="Arial"/>
          <w:szCs w:val="20"/>
        </w:rPr>
      </w:pPr>
      <w:r w:rsidRPr="00122C89">
        <w:rPr>
          <w:rFonts w:cs="Arial"/>
          <w:szCs w:val="20"/>
        </w:rPr>
        <w:t>Spouse;</w:t>
      </w:r>
    </w:p>
    <w:p w14:paraId="4E867BB4" w14:textId="77777777" w:rsidR="00C87CBD" w:rsidRPr="00122C89" w:rsidRDefault="00C87CBD" w:rsidP="00CB52D8">
      <w:pPr>
        <w:pStyle w:val="ListParagraph"/>
        <w:numPr>
          <w:ilvl w:val="0"/>
          <w:numId w:val="25"/>
        </w:numPr>
        <w:contextualSpacing w:val="0"/>
        <w:rPr>
          <w:rFonts w:cs="Arial"/>
          <w:szCs w:val="20"/>
        </w:rPr>
      </w:pPr>
      <w:r w:rsidRPr="00122C89">
        <w:rPr>
          <w:rFonts w:cs="Arial"/>
          <w:szCs w:val="20"/>
        </w:rPr>
        <w:t>Co-head;</w:t>
      </w:r>
    </w:p>
    <w:p w14:paraId="18449677" w14:textId="77777777" w:rsidR="00C87CBD" w:rsidRPr="00122C89" w:rsidRDefault="00C87CBD" w:rsidP="00CB52D8">
      <w:pPr>
        <w:pStyle w:val="ListParagraph"/>
        <w:numPr>
          <w:ilvl w:val="0"/>
          <w:numId w:val="25"/>
        </w:numPr>
        <w:contextualSpacing w:val="0"/>
        <w:rPr>
          <w:rFonts w:cs="Arial"/>
          <w:szCs w:val="20"/>
        </w:rPr>
      </w:pPr>
      <w:r w:rsidRPr="00122C89">
        <w:rPr>
          <w:rFonts w:cs="Arial"/>
          <w:szCs w:val="20"/>
        </w:rPr>
        <w:t>Foster children;</w:t>
      </w:r>
    </w:p>
    <w:p w14:paraId="1A4D0031" w14:textId="77777777" w:rsidR="00C87CBD" w:rsidRPr="00122C89" w:rsidRDefault="00C87CBD" w:rsidP="00CB52D8">
      <w:pPr>
        <w:pStyle w:val="ListParagraph"/>
        <w:numPr>
          <w:ilvl w:val="0"/>
          <w:numId w:val="25"/>
        </w:numPr>
        <w:contextualSpacing w:val="0"/>
        <w:rPr>
          <w:rFonts w:cs="Arial"/>
          <w:szCs w:val="20"/>
        </w:rPr>
      </w:pPr>
      <w:r w:rsidRPr="00122C89">
        <w:rPr>
          <w:rFonts w:cs="Arial"/>
          <w:szCs w:val="20"/>
        </w:rPr>
        <w:t xml:space="preserve">Foster adults; and </w:t>
      </w:r>
    </w:p>
    <w:p w14:paraId="170D0AAE" w14:textId="77777777" w:rsidR="00C87CBD" w:rsidRPr="00122C89" w:rsidRDefault="00C87CBD" w:rsidP="00CB52D8">
      <w:pPr>
        <w:pStyle w:val="ListParagraph"/>
        <w:numPr>
          <w:ilvl w:val="0"/>
          <w:numId w:val="25"/>
        </w:numPr>
        <w:contextualSpacing w:val="0"/>
        <w:rPr>
          <w:rFonts w:cs="Arial"/>
          <w:szCs w:val="20"/>
        </w:rPr>
      </w:pPr>
      <w:r w:rsidRPr="00122C89">
        <w:rPr>
          <w:rFonts w:cs="Arial"/>
          <w:szCs w:val="20"/>
        </w:rPr>
        <w:t>Live-in aides.</w:t>
      </w:r>
    </w:p>
    <w:p w14:paraId="6A5F757F" w14:textId="77777777" w:rsidR="00C87CBD" w:rsidRPr="00236D64" w:rsidRDefault="00C87CBD" w:rsidP="00E64ECA">
      <w:pPr>
        <w:pStyle w:val="Heading4"/>
      </w:pPr>
      <w:bookmarkStart w:id="228" w:name="_Toc106201355"/>
      <w:bookmarkStart w:id="229" w:name="_Toc106201874"/>
      <w:bookmarkStart w:id="230" w:name="_Toc106202400"/>
      <w:bookmarkStart w:id="231" w:name="_Toc113344855"/>
      <w:bookmarkStart w:id="232" w:name="_Toc137461596"/>
      <w:bookmarkStart w:id="233" w:name="_Toc137471187"/>
      <w:bookmarkStart w:id="234" w:name="_Toc137471696"/>
      <w:r w:rsidRPr="00236D64">
        <w:t>Joint Custody of Dependents</w:t>
      </w:r>
      <w:bookmarkEnd w:id="228"/>
      <w:bookmarkEnd w:id="229"/>
      <w:bookmarkEnd w:id="230"/>
      <w:bookmarkEnd w:id="231"/>
      <w:bookmarkEnd w:id="232"/>
      <w:bookmarkEnd w:id="233"/>
      <w:bookmarkEnd w:id="234"/>
    </w:p>
    <w:p w14:paraId="6B2B837E" w14:textId="77777777" w:rsidR="00C87CBD" w:rsidRPr="00122C89" w:rsidRDefault="00C87CBD" w:rsidP="00C87CBD">
      <w:pPr>
        <w:rPr>
          <w:rFonts w:cs="Arial"/>
          <w:szCs w:val="20"/>
        </w:rPr>
      </w:pPr>
      <w:r w:rsidRPr="00122C89">
        <w:rPr>
          <w:rFonts w:cs="Arial"/>
          <w:szCs w:val="20"/>
        </w:rPr>
        <w:t xml:space="preserve">Dependents that are subject to a joint custody arrangement will be considered a member of the family if the dependent lives with the applicant or client family 50 percent (at least 183 days/year) or more of the time. When more than one applicant or assisted family (regardless of program) are claiming the same dependents as family members, the family with primary custody at the time of the admission or reexamination will be able to claim the dependents. </w:t>
      </w:r>
    </w:p>
    <w:p w14:paraId="7F606A5C" w14:textId="77777777" w:rsidR="00C87CBD" w:rsidRPr="00122C89" w:rsidRDefault="00C87CBD" w:rsidP="00C87CBD">
      <w:pPr>
        <w:rPr>
          <w:rFonts w:cs="Arial"/>
          <w:szCs w:val="20"/>
        </w:rPr>
      </w:pPr>
      <w:r w:rsidRPr="00122C89">
        <w:rPr>
          <w:rFonts w:cs="Arial"/>
          <w:szCs w:val="20"/>
        </w:rPr>
        <w:t xml:space="preserve">When more than one applicant or tenant (regardless of program) is claiming the same dependents as family members, the family with primary physical custody at the time of the initial examination or reexamination will be able to claim the dependents. If there is a dispute about which family will be allowed to claim the dependents, </w:t>
      </w:r>
      <w:r w:rsidR="00B95589">
        <w:rPr>
          <w:rFonts w:cs="Arial"/>
          <w:szCs w:val="20"/>
        </w:rPr>
        <w:t>H</w:t>
      </w:r>
      <w:r w:rsidRPr="00122C89">
        <w:rPr>
          <w:rFonts w:cs="Arial"/>
          <w:szCs w:val="20"/>
        </w:rPr>
        <w:t xml:space="preserve">HA will make the determination based on available documents such as court orders and IRS income tax returns showing which family has claimed the child for income tax purposes, school records, and/or other credible documentation.  </w:t>
      </w:r>
    </w:p>
    <w:p w14:paraId="30DD59B6" w14:textId="77777777" w:rsidR="00C87CBD" w:rsidRDefault="00D961B5" w:rsidP="00C87CBD">
      <w:pPr>
        <w:rPr>
          <w:rFonts w:cs="Arial"/>
          <w:szCs w:val="20"/>
        </w:rPr>
      </w:pPr>
      <w:r>
        <w:rPr>
          <w:rFonts w:cs="Arial"/>
          <w:szCs w:val="20"/>
        </w:rPr>
        <w:t>H</w:t>
      </w:r>
      <w:r w:rsidR="00C87CBD" w:rsidRPr="00122C89">
        <w:rPr>
          <w:rFonts w:cs="Arial"/>
          <w:szCs w:val="20"/>
        </w:rPr>
        <w:t xml:space="preserve">HA may make an exception to the </w:t>
      </w:r>
      <w:r>
        <w:rPr>
          <w:rFonts w:cs="Arial"/>
          <w:szCs w:val="20"/>
        </w:rPr>
        <w:t>occupancy standard</w:t>
      </w:r>
      <w:r w:rsidR="00C87CBD" w:rsidRPr="00122C89">
        <w:rPr>
          <w:rFonts w:cs="Arial"/>
          <w:szCs w:val="20"/>
        </w:rPr>
        <w:t xml:space="preserve"> policy set forth in this </w:t>
      </w:r>
      <w:r w:rsidR="00C87CBD">
        <w:rPr>
          <w:rFonts w:cs="Arial"/>
          <w:szCs w:val="20"/>
        </w:rPr>
        <w:t>ACOP</w:t>
      </w:r>
      <w:r w:rsidR="00C87CBD" w:rsidRPr="00122C89">
        <w:rPr>
          <w:rFonts w:cs="Arial"/>
          <w:szCs w:val="20"/>
        </w:rPr>
        <w:t xml:space="preserve"> and allow two assisted households space for the same dependent children where there is joint physical and legal custody; however, </w:t>
      </w:r>
      <w:r>
        <w:rPr>
          <w:rFonts w:cs="Arial"/>
          <w:szCs w:val="20"/>
        </w:rPr>
        <w:t>H</w:t>
      </w:r>
      <w:r w:rsidR="00C87CBD" w:rsidRPr="00122C89">
        <w:rPr>
          <w:rFonts w:cs="Arial"/>
          <w:szCs w:val="20"/>
        </w:rPr>
        <w:t xml:space="preserve">HA will only allow one household to claim the dependent deduction.  Exceptions to the </w:t>
      </w:r>
      <w:r>
        <w:rPr>
          <w:rFonts w:cs="Arial"/>
          <w:szCs w:val="20"/>
        </w:rPr>
        <w:t>occupancy standard</w:t>
      </w:r>
      <w:r w:rsidR="00C87CBD" w:rsidRPr="00122C89">
        <w:rPr>
          <w:rFonts w:cs="Arial"/>
          <w:szCs w:val="20"/>
        </w:rPr>
        <w:t xml:space="preserve"> policy for these instances will be reviewed on a case-by-case basis.</w:t>
      </w:r>
    </w:p>
    <w:p w14:paraId="36C7728F" w14:textId="77777777" w:rsidR="00E91CC1" w:rsidRDefault="000E1213" w:rsidP="00FF7BDA">
      <w:pPr>
        <w:pStyle w:val="Heading4"/>
      </w:pPr>
      <w:r>
        <w:t>Informal</w:t>
      </w:r>
      <w:r w:rsidR="00E91CC1">
        <w:t xml:space="preserve"> Custody </w:t>
      </w:r>
      <w:r w:rsidR="00DE6ED1">
        <w:t>of Dependents</w:t>
      </w:r>
    </w:p>
    <w:p w14:paraId="1C82B0D1" w14:textId="77777777" w:rsidR="00DE6ED1" w:rsidRPr="00122C89" w:rsidRDefault="00975AF0" w:rsidP="00C87CBD">
      <w:pPr>
        <w:rPr>
          <w:rFonts w:cs="Arial"/>
          <w:szCs w:val="20"/>
        </w:rPr>
      </w:pPr>
      <w:r>
        <w:rPr>
          <w:rFonts w:cs="Arial"/>
          <w:szCs w:val="20"/>
        </w:rPr>
        <w:t>In</w:t>
      </w:r>
      <w:r w:rsidR="00DE6ED1">
        <w:rPr>
          <w:rFonts w:cs="Arial"/>
          <w:szCs w:val="20"/>
        </w:rPr>
        <w:t xml:space="preserve">formal custody </w:t>
      </w:r>
      <w:r w:rsidR="00F52DF0">
        <w:rPr>
          <w:rFonts w:cs="Arial"/>
          <w:szCs w:val="20"/>
        </w:rPr>
        <w:t>arrangement</w:t>
      </w:r>
      <w:r>
        <w:rPr>
          <w:rFonts w:cs="Arial"/>
          <w:szCs w:val="20"/>
        </w:rPr>
        <w:t>s where</w:t>
      </w:r>
      <w:r w:rsidR="001679F8">
        <w:rPr>
          <w:rFonts w:cs="Arial"/>
          <w:szCs w:val="20"/>
        </w:rPr>
        <w:t xml:space="preserve"> a minor is living </w:t>
      </w:r>
      <w:r w:rsidR="00264A70">
        <w:rPr>
          <w:rFonts w:cs="Arial"/>
          <w:szCs w:val="20"/>
        </w:rPr>
        <w:t xml:space="preserve">with an adult who is </w:t>
      </w:r>
      <w:r w:rsidR="001679F8">
        <w:rPr>
          <w:rFonts w:cs="Arial"/>
          <w:szCs w:val="20"/>
        </w:rPr>
        <w:t>neither a parent nor a legal guardian</w:t>
      </w:r>
      <w:r>
        <w:rPr>
          <w:rFonts w:cs="Arial"/>
          <w:szCs w:val="20"/>
        </w:rPr>
        <w:t xml:space="preserve"> must be verified</w:t>
      </w:r>
      <w:r w:rsidR="002052F6">
        <w:rPr>
          <w:rFonts w:cs="Arial"/>
          <w:szCs w:val="20"/>
        </w:rPr>
        <w:t xml:space="preserve"> as living with the adult for 50 percent (at least 183 days/year) or more</w:t>
      </w:r>
      <w:r w:rsidR="00E033D1">
        <w:rPr>
          <w:rFonts w:cs="Arial"/>
          <w:szCs w:val="20"/>
        </w:rPr>
        <w:t xml:space="preserve"> of the time</w:t>
      </w:r>
      <w:r>
        <w:rPr>
          <w:rFonts w:cs="Arial"/>
          <w:szCs w:val="20"/>
        </w:rPr>
        <w:t xml:space="preserve"> </w:t>
      </w:r>
      <w:r w:rsidR="000F69F5">
        <w:rPr>
          <w:rFonts w:cs="Arial"/>
          <w:szCs w:val="20"/>
        </w:rPr>
        <w:t xml:space="preserve">and </w:t>
      </w:r>
      <w:r w:rsidR="0049009A">
        <w:rPr>
          <w:rFonts w:cs="Arial"/>
          <w:szCs w:val="20"/>
        </w:rPr>
        <w:t xml:space="preserve">must </w:t>
      </w:r>
      <w:r w:rsidR="00662B6E">
        <w:rPr>
          <w:rFonts w:cs="Arial"/>
          <w:szCs w:val="20"/>
        </w:rPr>
        <w:t xml:space="preserve">be </w:t>
      </w:r>
      <w:r w:rsidR="000F69F5">
        <w:rPr>
          <w:rFonts w:cs="Arial"/>
          <w:szCs w:val="20"/>
        </w:rPr>
        <w:t>approved by HHA on a case-by-case basis. HHA will take into consideration</w:t>
      </w:r>
      <w:r w:rsidR="005C27B3">
        <w:rPr>
          <w:rFonts w:cs="Arial"/>
          <w:szCs w:val="20"/>
        </w:rPr>
        <w:t xml:space="preserve"> available documents such as school records or other credible third-party sources in making a determination</w:t>
      </w:r>
      <w:r w:rsidR="00E033D1">
        <w:rPr>
          <w:rFonts w:cs="Arial"/>
          <w:szCs w:val="20"/>
        </w:rPr>
        <w:t xml:space="preserve"> as to whether the minor can be considered a family member.</w:t>
      </w:r>
      <w:r w:rsidR="00A015FC">
        <w:rPr>
          <w:rFonts w:cs="Arial"/>
          <w:szCs w:val="20"/>
        </w:rPr>
        <w:t xml:space="preserve"> </w:t>
      </w:r>
      <w:r w:rsidR="00EE5A12">
        <w:rPr>
          <w:rFonts w:cs="Arial"/>
          <w:szCs w:val="20"/>
        </w:rPr>
        <w:t>A</w:t>
      </w:r>
      <w:r w:rsidR="00A015FC">
        <w:rPr>
          <w:rFonts w:cs="Arial"/>
          <w:szCs w:val="20"/>
        </w:rPr>
        <w:t xml:space="preserve">pproval must be made at by the </w:t>
      </w:r>
      <w:r w:rsidR="00D6177C">
        <w:rPr>
          <w:rFonts w:cs="Arial"/>
          <w:szCs w:val="20"/>
        </w:rPr>
        <w:t>Vice President for Housing Operations or their designee.</w:t>
      </w:r>
    </w:p>
    <w:p w14:paraId="5CC605BC" w14:textId="77777777" w:rsidR="00C87CBD" w:rsidRPr="00122C89" w:rsidRDefault="00C87CBD" w:rsidP="00677451">
      <w:pPr>
        <w:pStyle w:val="Heading3"/>
      </w:pPr>
      <w:bookmarkStart w:id="235" w:name="_Toc521054788"/>
      <w:bookmarkStart w:id="236" w:name="_Toc527019314"/>
      <w:bookmarkStart w:id="237" w:name="_Toc534706849"/>
      <w:bookmarkStart w:id="238" w:name="_Toc534707527"/>
      <w:bookmarkStart w:id="239" w:name="_Toc534708335"/>
      <w:bookmarkStart w:id="240" w:name="_Toc106037716"/>
      <w:bookmarkStart w:id="241" w:name="_Toc106201357"/>
      <w:bookmarkStart w:id="242" w:name="_Toc106201876"/>
      <w:bookmarkStart w:id="243" w:name="_Toc106202402"/>
      <w:bookmarkStart w:id="244" w:name="_Toc113344857"/>
      <w:bookmarkStart w:id="245" w:name="_Toc137461598"/>
      <w:bookmarkStart w:id="246" w:name="_Toc137471189"/>
      <w:bookmarkStart w:id="247" w:name="_Toc137471698"/>
      <w:bookmarkStart w:id="248" w:name="_Toc200375524"/>
      <w:r w:rsidRPr="00122C89">
        <w:t>Full-Time Student</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33D6E5E6" w14:textId="77777777" w:rsidR="00C87CBD" w:rsidRPr="00122C89" w:rsidRDefault="00C87CBD" w:rsidP="00C87CBD">
      <w:pPr>
        <w:rPr>
          <w:rFonts w:cs="Arial"/>
          <w:szCs w:val="20"/>
        </w:rPr>
      </w:pPr>
      <w:r w:rsidRPr="00122C89">
        <w:rPr>
          <w:rFonts w:cs="Arial"/>
          <w:szCs w:val="20"/>
        </w:rPr>
        <w:t xml:space="preserve">A </w:t>
      </w:r>
      <w:r w:rsidRPr="00122C89">
        <w:rPr>
          <w:rFonts w:cs="Arial"/>
          <w:i/>
          <w:iCs/>
          <w:szCs w:val="20"/>
        </w:rPr>
        <w:t>full-time student</w:t>
      </w:r>
      <w:r w:rsidRPr="00122C89">
        <w:rPr>
          <w:rFonts w:cs="Arial"/>
          <w:szCs w:val="20"/>
        </w:rPr>
        <w:t xml:space="preserve"> (FTS) is a person who is attending school or vocational training on a full-time basis (carrying a subject load that is considered full-time for day students under the standards and practices of the educational institution attended).</w:t>
      </w:r>
    </w:p>
    <w:p w14:paraId="563E71E9" w14:textId="77777777" w:rsidR="00C87CBD" w:rsidRPr="00122C89" w:rsidRDefault="00C87CBD" w:rsidP="00677451">
      <w:pPr>
        <w:pStyle w:val="Heading3"/>
      </w:pPr>
      <w:bookmarkStart w:id="249" w:name="_Toc521054789"/>
      <w:bookmarkStart w:id="250" w:name="_Toc527019315"/>
      <w:bookmarkStart w:id="251" w:name="_Toc534706850"/>
      <w:bookmarkStart w:id="252" w:name="_Toc534707528"/>
      <w:bookmarkStart w:id="253" w:name="_Toc534708336"/>
      <w:bookmarkStart w:id="254" w:name="_Toc106037717"/>
      <w:bookmarkStart w:id="255" w:name="_Toc106201358"/>
      <w:bookmarkStart w:id="256" w:name="_Toc106201877"/>
      <w:bookmarkStart w:id="257" w:name="_Toc106202403"/>
      <w:bookmarkStart w:id="258" w:name="_Toc113344858"/>
      <w:bookmarkStart w:id="259" w:name="_Toc137461599"/>
      <w:bookmarkStart w:id="260" w:name="_Toc137471190"/>
      <w:bookmarkStart w:id="261" w:name="_Toc137471699"/>
      <w:bookmarkStart w:id="262" w:name="_Toc200375525"/>
      <w:r w:rsidRPr="00122C89">
        <w:t>Elderly Persons</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14:paraId="34A4CAD1" w14:textId="77777777" w:rsidR="00C87CBD" w:rsidRPr="00122C89" w:rsidRDefault="00C87CBD" w:rsidP="00C87CBD">
      <w:pPr>
        <w:rPr>
          <w:rFonts w:cs="Arial"/>
          <w:szCs w:val="20"/>
        </w:rPr>
      </w:pPr>
      <w:r w:rsidRPr="00122C89">
        <w:rPr>
          <w:rFonts w:cs="Arial"/>
          <w:szCs w:val="20"/>
        </w:rPr>
        <w:t xml:space="preserve">An </w:t>
      </w:r>
      <w:r w:rsidRPr="00122C89">
        <w:rPr>
          <w:rFonts w:cs="Arial"/>
          <w:i/>
          <w:iCs/>
          <w:szCs w:val="20"/>
        </w:rPr>
        <w:t>elderly person</w:t>
      </w:r>
      <w:r w:rsidRPr="00122C89">
        <w:rPr>
          <w:rFonts w:cs="Arial"/>
          <w:szCs w:val="20"/>
        </w:rPr>
        <w:t xml:space="preserve"> is a person who is at least 62 years of age.</w:t>
      </w:r>
    </w:p>
    <w:p w14:paraId="31057F3B" w14:textId="77777777" w:rsidR="00C87CBD" w:rsidRPr="00122C89" w:rsidRDefault="00C87CBD" w:rsidP="00677451">
      <w:pPr>
        <w:pStyle w:val="Heading3"/>
      </w:pPr>
      <w:bookmarkStart w:id="263" w:name="_Toc521054790"/>
      <w:bookmarkStart w:id="264" w:name="_Toc527019316"/>
      <w:bookmarkStart w:id="265" w:name="_Toc534706851"/>
      <w:bookmarkStart w:id="266" w:name="_Toc534707529"/>
      <w:bookmarkStart w:id="267" w:name="_Toc534708337"/>
      <w:bookmarkStart w:id="268" w:name="_Toc106037718"/>
      <w:bookmarkStart w:id="269" w:name="_Toc106201359"/>
      <w:bookmarkStart w:id="270" w:name="_Toc106201878"/>
      <w:bookmarkStart w:id="271" w:name="_Toc106202404"/>
      <w:bookmarkStart w:id="272" w:name="_Toc113344859"/>
      <w:bookmarkStart w:id="273" w:name="_Toc137461600"/>
      <w:bookmarkStart w:id="274" w:name="_Toc137471191"/>
      <w:bookmarkStart w:id="275" w:name="_Toc137471700"/>
      <w:bookmarkStart w:id="276" w:name="_Toc200375526"/>
      <w:r w:rsidRPr="00122C89">
        <w:t>Near-Elderly Persons</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14:paraId="3AEEC2F7" w14:textId="77777777" w:rsidR="00C87CBD" w:rsidRPr="00122C89" w:rsidRDefault="00C87CBD" w:rsidP="00C87CBD">
      <w:pPr>
        <w:autoSpaceDE w:val="0"/>
        <w:autoSpaceDN w:val="0"/>
        <w:adjustRightInd w:val="0"/>
        <w:rPr>
          <w:rFonts w:cs="Arial"/>
          <w:szCs w:val="20"/>
        </w:rPr>
      </w:pPr>
      <w:r w:rsidRPr="00122C89">
        <w:rPr>
          <w:rFonts w:cs="Arial"/>
          <w:szCs w:val="20"/>
        </w:rPr>
        <w:t xml:space="preserve">A </w:t>
      </w:r>
      <w:r w:rsidRPr="00122C89">
        <w:rPr>
          <w:rFonts w:cs="Arial"/>
          <w:i/>
          <w:iCs/>
          <w:szCs w:val="20"/>
        </w:rPr>
        <w:t>near-elderly person</w:t>
      </w:r>
      <w:r w:rsidRPr="00122C89">
        <w:rPr>
          <w:rFonts w:cs="Arial"/>
          <w:szCs w:val="20"/>
        </w:rPr>
        <w:t xml:space="preserve"> is a person who is at least 50 years of age but below the age of 62. </w:t>
      </w:r>
    </w:p>
    <w:p w14:paraId="74BA50F9" w14:textId="77777777" w:rsidR="00C87CBD" w:rsidRPr="00122C89" w:rsidRDefault="00C87CBD" w:rsidP="00677451">
      <w:pPr>
        <w:pStyle w:val="Heading3"/>
      </w:pPr>
      <w:bookmarkStart w:id="277" w:name="_Toc467163326"/>
      <w:bookmarkStart w:id="278" w:name="_Toc471193452"/>
      <w:bookmarkStart w:id="279" w:name="_Toc471301971"/>
      <w:bookmarkStart w:id="280" w:name="_Toc471302658"/>
      <w:bookmarkStart w:id="281" w:name="_Toc471393147"/>
      <w:bookmarkStart w:id="282" w:name="_Toc479071789"/>
      <w:bookmarkStart w:id="283" w:name="_Toc521054791"/>
      <w:bookmarkStart w:id="284" w:name="_Toc527019317"/>
      <w:bookmarkStart w:id="285" w:name="_Toc534706852"/>
      <w:bookmarkStart w:id="286" w:name="_Toc534707530"/>
      <w:bookmarkStart w:id="287" w:name="_Toc534708338"/>
      <w:bookmarkStart w:id="288" w:name="_Toc106037719"/>
      <w:bookmarkStart w:id="289" w:name="_Toc106201360"/>
      <w:bookmarkStart w:id="290" w:name="_Toc106201879"/>
      <w:bookmarkStart w:id="291" w:name="_Toc106202405"/>
      <w:bookmarkStart w:id="292" w:name="_Toc113344860"/>
      <w:bookmarkStart w:id="293" w:name="_Toc137461601"/>
      <w:bookmarkStart w:id="294" w:name="_Toc137471192"/>
      <w:bookmarkStart w:id="295" w:name="_Toc137471701"/>
      <w:bookmarkStart w:id="296" w:name="_Toc200375527"/>
      <w:r w:rsidRPr="00122C89">
        <w:t>Elderly Family</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r w:rsidRPr="00122C89">
        <w:t xml:space="preserve"> </w:t>
      </w:r>
    </w:p>
    <w:p w14:paraId="2AC15918" w14:textId="77777777" w:rsidR="00C87CBD" w:rsidRPr="00122C89" w:rsidRDefault="00C87CBD" w:rsidP="00C87CBD">
      <w:pPr>
        <w:autoSpaceDE w:val="0"/>
        <w:autoSpaceDN w:val="0"/>
        <w:adjustRightInd w:val="0"/>
        <w:rPr>
          <w:rFonts w:cs="Arial"/>
          <w:szCs w:val="20"/>
        </w:rPr>
      </w:pPr>
      <w:r w:rsidRPr="00122C89">
        <w:rPr>
          <w:rFonts w:cs="Arial"/>
          <w:szCs w:val="20"/>
        </w:rPr>
        <w:t xml:space="preserve">An </w:t>
      </w:r>
      <w:r w:rsidRPr="00122C89">
        <w:rPr>
          <w:rFonts w:cs="Arial"/>
          <w:i/>
          <w:iCs/>
          <w:szCs w:val="20"/>
        </w:rPr>
        <w:t>elderly family</w:t>
      </w:r>
      <w:r w:rsidRPr="00122C89">
        <w:rPr>
          <w:rFonts w:cs="Arial"/>
          <w:szCs w:val="20"/>
        </w:rPr>
        <w:t xml:space="preserve"> is one in which the head, spouse, co-head, or sole member is an elderly person. Identifying elderly families is important because these families qualify for special deductions from income.</w:t>
      </w:r>
    </w:p>
    <w:p w14:paraId="5683B247" w14:textId="77777777" w:rsidR="00C87CBD" w:rsidRPr="00122C89" w:rsidRDefault="00C87CBD" w:rsidP="00677451">
      <w:pPr>
        <w:pStyle w:val="Heading3"/>
      </w:pPr>
      <w:bookmarkStart w:id="297" w:name="_Toc432511796"/>
      <w:bookmarkStart w:id="298" w:name="_Toc448473236"/>
      <w:bookmarkStart w:id="299" w:name="_Toc467163327"/>
      <w:bookmarkStart w:id="300" w:name="_Toc471193453"/>
      <w:bookmarkStart w:id="301" w:name="_Toc471301972"/>
      <w:bookmarkStart w:id="302" w:name="_Toc471302659"/>
      <w:bookmarkStart w:id="303" w:name="_Toc471393148"/>
      <w:bookmarkStart w:id="304" w:name="_Toc479071790"/>
      <w:bookmarkStart w:id="305" w:name="_Toc521054792"/>
      <w:bookmarkStart w:id="306" w:name="_Toc527019318"/>
      <w:bookmarkStart w:id="307" w:name="_Toc534706853"/>
      <w:bookmarkStart w:id="308" w:name="_Toc534707531"/>
      <w:bookmarkStart w:id="309" w:name="_Toc534708339"/>
      <w:bookmarkStart w:id="310" w:name="_Toc106037720"/>
      <w:bookmarkStart w:id="311" w:name="_Toc106201361"/>
      <w:bookmarkStart w:id="312" w:name="_Toc106201880"/>
      <w:bookmarkStart w:id="313" w:name="_Toc106202406"/>
      <w:bookmarkStart w:id="314" w:name="_Toc113344861"/>
      <w:bookmarkStart w:id="315" w:name="_Toc137461602"/>
      <w:bookmarkStart w:id="316" w:name="_Toc137471193"/>
      <w:bookmarkStart w:id="317" w:name="_Toc137471702"/>
      <w:bookmarkStart w:id="318" w:name="_Toc200375528"/>
      <w:r w:rsidRPr="00122C89">
        <w:t>Persons with Disability and Disabled Family</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14:paraId="155B2F5A" w14:textId="3AF47D6A" w:rsidR="002F12BD" w:rsidRPr="00765546" w:rsidRDefault="00C87CBD" w:rsidP="002F12BD">
      <w:pPr>
        <w:rPr>
          <w:rFonts w:cs="Arial"/>
          <w:szCs w:val="20"/>
        </w:rPr>
      </w:pPr>
      <w:r w:rsidRPr="00122C89">
        <w:rPr>
          <w:rFonts w:cs="Arial"/>
          <w:i/>
          <w:iCs/>
          <w:szCs w:val="20"/>
        </w:rPr>
        <w:t xml:space="preserve">Persons with </w:t>
      </w:r>
      <w:r>
        <w:rPr>
          <w:rFonts w:cs="Arial"/>
          <w:i/>
          <w:iCs/>
          <w:szCs w:val="20"/>
        </w:rPr>
        <w:t>d</w:t>
      </w:r>
      <w:r w:rsidRPr="00122C89">
        <w:rPr>
          <w:rFonts w:cs="Arial"/>
          <w:i/>
          <w:iCs/>
          <w:szCs w:val="20"/>
        </w:rPr>
        <w:t>isabilities</w:t>
      </w:r>
      <w:r w:rsidRPr="00122C89">
        <w:rPr>
          <w:rFonts w:cs="Arial"/>
          <w:szCs w:val="20"/>
        </w:rPr>
        <w:t xml:space="preserve">: There are two different definitions for disabled persons used in the </w:t>
      </w:r>
      <w:r>
        <w:rPr>
          <w:rFonts w:cs="Arial"/>
          <w:szCs w:val="20"/>
        </w:rPr>
        <w:t>public housing</w:t>
      </w:r>
      <w:r w:rsidRPr="00122C89">
        <w:rPr>
          <w:rFonts w:cs="Arial"/>
          <w:szCs w:val="20"/>
        </w:rPr>
        <w:t xml:space="preserve"> program. One definition is used to qualify a family for the disabled household deduction and the other is used in determining eligibility for a reasonable accommodation. </w:t>
      </w:r>
      <w:r w:rsidR="002F12BD" w:rsidRPr="00765546">
        <w:rPr>
          <w:rFonts w:cs="Arial"/>
          <w:szCs w:val="20"/>
        </w:rPr>
        <w:t>See</w:t>
      </w:r>
      <w:r w:rsidR="002F12BD">
        <w:rPr>
          <w:rFonts w:cs="Arial"/>
          <w:szCs w:val="20"/>
        </w:rPr>
        <w:t xml:space="preserve"> </w:t>
      </w:r>
      <w:r w:rsidR="00E64ECA" w:rsidRPr="00E64ECA">
        <w:rPr>
          <w:rFonts w:cs="Arial"/>
          <w:b/>
          <w:bCs/>
          <w:color w:val="0070C0"/>
          <w:szCs w:val="20"/>
        </w:rPr>
        <w:fldChar w:fldCharType="begin"/>
      </w:r>
      <w:r w:rsidR="00E64ECA" w:rsidRPr="00E64ECA">
        <w:rPr>
          <w:rFonts w:cs="Arial"/>
          <w:b/>
          <w:bCs/>
          <w:color w:val="0070C0"/>
          <w:szCs w:val="20"/>
        </w:rPr>
        <w:instrText xml:space="preserve"> REF _Ref144889372 \h  \* MERGEFORMAT </w:instrText>
      </w:r>
      <w:r w:rsidR="00E64ECA" w:rsidRPr="00E64ECA">
        <w:rPr>
          <w:rFonts w:cs="Arial"/>
          <w:b/>
          <w:bCs/>
          <w:color w:val="0070C0"/>
          <w:szCs w:val="20"/>
        </w:rPr>
      </w:r>
      <w:r w:rsidR="00E64ECA" w:rsidRPr="00E64ECA">
        <w:rPr>
          <w:rFonts w:cs="Arial"/>
          <w:b/>
          <w:bCs/>
          <w:color w:val="0070C0"/>
          <w:szCs w:val="20"/>
        </w:rPr>
        <w:fldChar w:fldCharType="separate"/>
      </w:r>
      <w:r w:rsidR="00E64ECA" w:rsidRPr="00E64ECA">
        <w:rPr>
          <w:b/>
          <w:bCs/>
          <w:color w:val="0070C0"/>
        </w:rPr>
        <w:t>Definition of Disability</w:t>
      </w:r>
      <w:r w:rsidR="00E64ECA" w:rsidRPr="00E64ECA">
        <w:rPr>
          <w:rFonts w:cs="Arial"/>
          <w:b/>
          <w:bCs/>
          <w:color w:val="0070C0"/>
          <w:szCs w:val="20"/>
        </w:rPr>
        <w:fldChar w:fldCharType="end"/>
      </w:r>
      <w:r w:rsidR="002F12BD">
        <w:rPr>
          <w:rFonts w:cs="Arial"/>
          <w:szCs w:val="20"/>
        </w:rPr>
        <w:t xml:space="preserve"> in </w:t>
      </w:r>
      <w:r w:rsidR="00A84F6F">
        <w:rPr>
          <w:rFonts w:cs="Arial"/>
          <w:szCs w:val="20"/>
        </w:rPr>
        <w:t xml:space="preserve">the chapter on </w:t>
      </w:r>
      <w:r w:rsidR="00A84F6F" w:rsidRPr="00A84F6F">
        <w:rPr>
          <w:rFonts w:cs="Arial"/>
          <w:b/>
          <w:bCs/>
          <w:color w:val="0070C0"/>
          <w:szCs w:val="20"/>
        </w:rPr>
        <w:fldChar w:fldCharType="begin"/>
      </w:r>
      <w:r w:rsidR="00A84F6F" w:rsidRPr="00A84F6F">
        <w:rPr>
          <w:rFonts w:cs="Arial"/>
          <w:b/>
          <w:bCs/>
          <w:color w:val="0070C0"/>
          <w:szCs w:val="20"/>
        </w:rPr>
        <w:instrText xml:space="preserve"> REF _Ref163636015 \h  \* MERGEFORMAT </w:instrText>
      </w:r>
      <w:r w:rsidR="00A84F6F" w:rsidRPr="00A84F6F">
        <w:rPr>
          <w:rFonts w:cs="Arial"/>
          <w:b/>
          <w:bCs/>
          <w:color w:val="0070C0"/>
          <w:szCs w:val="20"/>
        </w:rPr>
      </w:r>
      <w:r w:rsidR="00A84F6F" w:rsidRPr="00A84F6F">
        <w:rPr>
          <w:rFonts w:cs="Arial"/>
          <w:b/>
          <w:bCs/>
          <w:color w:val="0070C0"/>
          <w:szCs w:val="20"/>
        </w:rPr>
        <w:fldChar w:fldCharType="separate"/>
      </w:r>
      <w:r w:rsidR="00A84F6F" w:rsidRPr="00A84F6F">
        <w:rPr>
          <w:b/>
          <w:bCs/>
          <w:color w:val="0070C0"/>
        </w:rPr>
        <w:t>FAIR HOUSING AND EQUAL OPPORTUNITY</w:t>
      </w:r>
      <w:r w:rsidR="00A84F6F" w:rsidRPr="00A84F6F">
        <w:rPr>
          <w:rFonts w:cs="Arial"/>
          <w:b/>
          <w:bCs/>
          <w:color w:val="0070C0"/>
          <w:szCs w:val="20"/>
        </w:rPr>
        <w:fldChar w:fldCharType="end"/>
      </w:r>
      <w:r w:rsidR="002F12BD">
        <w:rPr>
          <w:rFonts w:cs="Arial"/>
          <w:szCs w:val="20"/>
        </w:rPr>
        <w:t xml:space="preserve"> </w:t>
      </w:r>
      <w:r w:rsidR="002F12BD" w:rsidRPr="00765546">
        <w:rPr>
          <w:rFonts w:cs="Arial"/>
          <w:szCs w:val="20"/>
        </w:rPr>
        <w:t xml:space="preserve">for the applicable definitions.   </w:t>
      </w:r>
    </w:p>
    <w:p w14:paraId="66345633" w14:textId="77777777" w:rsidR="00C87CBD" w:rsidRPr="00122C89" w:rsidRDefault="00C87CBD" w:rsidP="00C87CBD">
      <w:pPr>
        <w:rPr>
          <w:rFonts w:cs="Arial"/>
          <w:szCs w:val="20"/>
        </w:rPr>
      </w:pPr>
      <w:r w:rsidRPr="00122C89">
        <w:rPr>
          <w:rFonts w:cs="Arial"/>
          <w:i/>
          <w:iCs/>
          <w:szCs w:val="20"/>
        </w:rPr>
        <w:t xml:space="preserve">Disabled </w:t>
      </w:r>
      <w:r>
        <w:rPr>
          <w:rFonts w:cs="Arial"/>
          <w:i/>
          <w:iCs/>
          <w:szCs w:val="20"/>
        </w:rPr>
        <w:t>f</w:t>
      </w:r>
      <w:r w:rsidRPr="00122C89">
        <w:rPr>
          <w:rFonts w:cs="Arial"/>
          <w:i/>
          <w:iCs/>
          <w:szCs w:val="20"/>
        </w:rPr>
        <w:t>amily</w:t>
      </w:r>
      <w:r w:rsidRPr="00122C89">
        <w:rPr>
          <w:rFonts w:cs="Arial"/>
          <w:szCs w:val="20"/>
        </w:rPr>
        <w:t xml:space="preserve">: A disabled family is one in which the head, spouse, or co-head is a person with disabilities. </w:t>
      </w:r>
    </w:p>
    <w:p w14:paraId="00DBDFD0" w14:textId="77777777" w:rsidR="00C87CBD" w:rsidRPr="00122C89" w:rsidRDefault="00C87CBD" w:rsidP="00677451">
      <w:pPr>
        <w:pStyle w:val="Heading3"/>
      </w:pPr>
      <w:bookmarkStart w:id="319" w:name="_Toc467163328"/>
      <w:bookmarkStart w:id="320" w:name="_Ref469989204"/>
      <w:bookmarkStart w:id="321" w:name="_Toc471193454"/>
      <w:bookmarkStart w:id="322" w:name="_Toc471301973"/>
      <w:bookmarkStart w:id="323" w:name="_Toc471302660"/>
      <w:bookmarkStart w:id="324" w:name="_Toc471393149"/>
      <w:bookmarkStart w:id="325" w:name="_Toc479071791"/>
      <w:bookmarkStart w:id="326" w:name="_Toc521054793"/>
      <w:bookmarkStart w:id="327" w:name="_Ref526750435"/>
      <w:bookmarkStart w:id="328" w:name="_Toc527019319"/>
      <w:bookmarkStart w:id="329" w:name="_Toc534706854"/>
      <w:bookmarkStart w:id="330" w:name="_Toc534707532"/>
      <w:bookmarkStart w:id="331" w:name="_Toc534708340"/>
      <w:bookmarkStart w:id="332" w:name="_Toc106037721"/>
      <w:bookmarkStart w:id="333" w:name="_Toc106201362"/>
      <w:bookmarkStart w:id="334" w:name="_Toc106201881"/>
      <w:bookmarkStart w:id="335" w:name="_Toc106202407"/>
      <w:bookmarkStart w:id="336" w:name="_Toc113344862"/>
      <w:bookmarkStart w:id="337" w:name="_Toc137461603"/>
      <w:bookmarkStart w:id="338" w:name="_Toc137471194"/>
      <w:bookmarkStart w:id="339" w:name="_Toc137471703"/>
      <w:bookmarkStart w:id="340" w:name="_Toc200375529"/>
      <w:r w:rsidRPr="00122C89">
        <w:t>Guests</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r w:rsidRPr="00122C89">
        <w:t xml:space="preserve"> </w:t>
      </w:r>
    </w:p>
    <w:p w14:paraId="0E25D6A7" w14:textId="77777777" w:rsidR="00C87CBD" w:rsidRPr="00122C89" w:rsidRDefault="00C87CBD" w:rsidP="00C87CBD">
      <w:pPr>
        <w:rPr>
          <w:rFonts w:cs="Arial"/>
          <w:szCs w:val="20"/>
        </w:rPr>
      </w:pPr>
      <w:r w:rsidRPr="00122C89">
        <w:rPr>
          <w:rFonts w:cs="Arial"/>
          <w:szCs w:val="20"/>
        </w:rPr>
        <w:t xml:space="preserve">A </w:t>
      </w:r>
      <w:r w:rsidRPr="00122C89">
        <w:rPr>
          <w:rFonts w:cs="Arial"/>
          <w:i/>
          <w:iCs/>
          <w:szCs w:val="20"/>
        </w:rPr>
        <w:t xml:space="preserve">guest </w:t>
      </w:r>
      <w:r w:rsidRPr="00122C89">
        <w:rPr>
          <w:rFonts w:cs="Arial"/>
          <w:szCs w:val="20"/>
        </w:rPr>
        <w:t xml:space="preserve">is a person temporarily staying in the unit with the consent of a member of the household who has express or implied authority to so consent. A guest may remain in the assisted unit no longer than 14 consecutive days or a total of 30 cumulative days during any 12-month period if permission is given in writing by </w:t>
      </w:r>
      <w:r w:rsidR="00D961B5">
        <w:rPr>
          <w:rFonts w:cs="Arial"/>
          <w:szCs w:val="20"/>
        </w:rPr>
        <w:t>H</w:t>
      </w:r>
      <w:r w:rsidRPr="00122C89">
        <w:rPr>
          <w:rFonts w:cs="Arial"/>
          <w:szCs w:val="20"/>
        </w:rPr>
        <w:t xml:space="preserve">HA. </w:t>
      </w:r>
    </w:p>
    <w:p w14:paraId="5CA87EF6" w14:textId="77777777" w:rsidR="00C87CBD" w:rsidRPr="00122C89" w:rsidRDefault="00C87CBD" w:rsidP="00C87CBD">
      <w:pPr>
        <w:rPr>
          <w:rFonts w:cs="Arial"/>
          <w:szCs w:val="20"/>
        </w:rPr>
      </w:pPr>
      <w:r w:rsidRPr="00122C89">
        <w:rPr>
          <w:rFonts w:cs="Arial"/>
          <w:szCs w:val="20"/>
        </w:rPr>
        <w:t>Children who are subject to a joint custody arrangement or for whom a family has visitation privileges, that are not included as a family member because they live outside of the assisted household more than 50 percent of the time, are not subject to the time limitations of guests as described above.</w:t>
      </w:r>
    </w:p>
    <w:p w14:paraId="471B94D9" w14:textId="77777777" w:rsidR="00C87CBD" w:rsidRPr="00122C89" w:rsidRDefault="00C87CBD" w:rsidP="00C87CBD">
      <w:pPr>
        <w:rPr>
          <w:rFonts w:cs="Arial"/>
          <w:szCs w:val="20"/>
        </w:rPr>
      </w:pPr>
      <w:r w:rsidRPr="00122C89">
        <w:rPr>
          <w:rFonts w:cs="Arial"/>
          <w:szCs w:val="20"/>
        </w:rPr>
        <w:t xml:space="preserve">A family may request an exception to this policy for valid reasons (e.g., care of a relative recovering from a medical procedure that is expected to last 40 consecutive days).  </w:t>
      </w:r>
      <w:r w:rsidRPr="00D0694F">
        <w:rPr>
          <w:szCs w:val="20"/>
        </w:rPr>
        <w:t>An exception will not be made unless the family can identify and provide documentation of the residence to which the guest will return.</w:t>
      </w:r>
    </w:p>
    <w:p w14:paraId="082A132A" w14:textId="77777777" w:rsidR="00C87CBD" w:rsidRPr="00122C89" w:rsidRDefault="00C87CBD" w:rsidP="00677451">
      <w:pPr>
        <w:pStyle w:val="Heading3"/>
      </w:pPr>
      <w:bookmarkStart w:id="341" w:name="_Toc521054794"/>
      <w:bookmarkStart w:id="342" w:name="_Toc527019320"/>
      <w:bookmarkStart w:id="343" w:name="_Toc534706855"/>
      <w:bookmarkStart w:id="344" w:name="_Toc534707533"/>
      <w:bookmarkStart w:id="345" w:name="_Toc534708341"/>
      <w:bookmarkStart w:id="346" w:name="_Toc106037722"/>
      <w:bookmarkStart w:id="347" w:name="_Toc106201363"/>
      <w:bookmarkStart w:id="348" w:name="_Toc106201882"/>
      <w:bookmarkStart w:id="349" w:name="_Toc106202408"/>
      <w:bookmarkStart w:id="350" w:name="_Toc113344863"/>
      <w:bookmarkStart w:id="351" w:name="_Toc137461604"/>
      <w:bookmarkStart w:id="352" w:name="_Toc137471195"/>
      <w:bookmarkStart w:id="353" w:name="_Toc137471704"/>
      <w:bookmarkStart w:id="354" w:name="_Toc200375530"/>
      <w:r w:rsidRPr="00122C89">
        <w:t>Multiple Families in the Same Household</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14:paraId="512DECED" w14:textId="77777777" w:rsidR="00C87CBD" w:rsidRPr="00122C89" w:rsidRDefault="00C87CBD" w:rsidP="00C87CBD">
      <w:pPr>
        <w:rPr>
          <w:rFonts w:cs="Arial"/>
          <w:szCs w:val="20"/>
        </w:rPr>
      </w:pPr>
      <w:r w:rsidRPr="00122C89">
        <w:rPr>
          <w:rFonts w:cs="Arial"/>
          <w:szCs w:val="20"/>
        </w:rPr>
        <w:t xml:space="preserve">When a family that consists of two families living together applies, such as a mother and father, and a daughter with her own husband or children, if they apply as a family unit, they will be treated as a family unit. </w:t>
      </w:r>
    </w:p>
    <w:p w14:paraId="69E7228D" w14:textId="77777777" w:rsidR="00C87CBD" w:rsidRPr="00122C89" w:rsidRDefault="00C87CBD" w:rsidP="00677451">
      <w:pPr>
        <w:pStyle w:val="Heading3"/>
      </w:pPr>
      <w:bookmarkStart w:id="355" w:name="_Toc521054795"/>
      <w:bookmarkStart w:id="356" w:name="_Toc527019321"/>
      <w:bookmarkStart w:id="357" w:name="_Toc534706856"/>
      <w:bookmarkStart w:id="358" w:name="_Toc534707534"/>
      <w:bookmarkStart w:id="359" w:name="_Toc534708342"/>
      <w:bookmarkStart w:id="360" w:name="_Toc106037723"/>
      <w:bookmarkStart w:id="361" w:name="_Toc106201364"/>
      <w:bookmarkStart w:id="362" w:name="_Toc106201883"/>
      <w:bookmarkStart w:id="363" w:name="_Toc106202409"/>
      <w:bookmarkStart w:id="364" w:name="_Toc113344864"/>
      <w:bookmarkStart w:id="365" w:name="_Toc137461605"/>
      <w:bookmarkStart w:id="366" w:name="_Toc137471196"/>
      <w:bookmarkStart w:id="367" w:name="_Toc137471705"/>
      <w:bookmarkStart w:id="368" w:name="_Toc200375531"/>
      <w:r w:rsidRPr="00122C89">
        <w:t>Foster Children and Foster Adults</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63256EFC" w14:textId="77777777" w:rsidR="00C87CBD" w:rsidRPr="00896619" w:rsidRDefault="00C87CBD" w:rsidP="00896619">
      <w:pPr>
        <w:rPr>
          <w:rFonts w:cs="Arial"/>
        </w:rPr>
      </w:pPr>
      <w:r w:rsidRPr="00896619">
        <w:rPr>
          <w:rFonts w:cs="Arial"/>
        </w:rPr>
        <w:t xml:space="preserve">A </w:t>
      </w:r>
      <w:r w:rsidRPr="00896619">
        <w:rPr>
          <w:rFonts w:cs="Arial"/>
          <w:i/>
          <w:iCs/>
        </w:rPr>
        <w:t>foster child</w:t>
      </w:r>
      <w:r w:rsidRPr="00896619">
        <w:rPr>
          <w:rFonts w:cs="Arial"/>
        </w:rPr>
        <w:t xml:space="preserve"> is </w:t>
      </w:r>
      <w:r w:rsidR="005054EC" w:rsidRPr="00896619">
        <w:t>a</w:t>
      </w:r>
      <w:r w:rsidR="00FE46E2" w:rsidRPr="00896619">
        <w:t xml:space="preserve"> </w:t>
      </w:r>
      <w:r w:rsidR="005054EC" w:rsidRPr="00896619">
        <w:t xml:space="preserve">member of the household who meets the definition of a foster child under State law. In general, a foster child is placed with the family by an authorized placement agency (e.g., public child welfare agency) or by judgment, decree, or other order of any court of competent jurisdiction. </w:t>
      </w:r>
    </w:p>
    <w:p w14:paraId="2E1FABBD" w14:textId="77777777" w:rsidR="00C87CBD" w:rsidRPr="00896619" w:rsidRDefault="00C87CBD" w:rsidP="00896619">
      <w:pPr>
        <w:rPr>
          <w:rFonts w:cs="Arial"/>
        </w:rPr>
      </w:pPr>
      <w:r w:rsidRPr="00896619">
        <w:rPr>
          <w:rFonts w:cs="Arial"/>
        </w:rPr>
        <w:t xml:space="preserve">A </w:t>
      </w:r>
      <w:r w:rsidRPr="00896619">
        <w:rPr>
          <w:rFonts w:cs="Arial"/>
          <w:i/>
          <w:iCs/>
        </w:rPr>
        <w:t>foster adult</w:t>
      </w:r>
      <w:r w:rsidRPr="00896619">
        <w:rPr>
          <w:rFonts w:cs="Arial"/>
        </w:rPr>
        <w:t xml:space="preserve"> is </w:t>
      </w:r>
      <w:r w:rsidR="00FE46E2" w:rsidRPr="00896619">
        <w:t>a member of the household who is 18 years of age or older and meets the definition of a foster adult under State law. In general, a foster adult is a person who is 18 years of age or older and is unable to live independently due to a debilitating physical or mental condition and is placed with the family by an authorized placement agency or by judgment, decree, or other order of any court of competent jurisdiction.</w:t>
      </w:r>
      <w:r w:rsidR="00263908" w:rsidRPr="00896619">
        <w:t xml:space="preserve"> </w:t>
      </w:r>
    </w:p>
    <w:p w14:paraId="100C449C" w14:textId="77777777" w:rsidR="00C87CBD" w:rsidRPr="00896619" w:rsidRDefault="00C87CBD" w:rsidP="00896619">
      <w:pPr>
        <w:rPr>
          <w:rFonts w:cs="Arial"/>
        </w:rPr>
      </w:pPr>
      <w:r w:rsidRPr="00896619">
        <w:rPr>
          <w:rFonts w:cs="Arial"/>
        </w:rPr>
        <w:t xml:space="preserve">Foster children and foster adults who are living with an applicant or assisted family are considered household members, but not family members. Foster children/adults do not qualify for a dependent deduction. </w:t>
      </w:r>
    </w:p>
    <w:p w14:paraId="41B0CB12" w14:textId="77777777" w:rsidR="00C87CBD" w:rsidRPr="00122C89" w:rsidRDefault="00C87CBD" w:rsidP="00677451">
      <w:pPr>
        <w:pStyle w:val="Heading3"/>
      </w:pPr>
      <w:bookmarkStart w:id="369" w:name="_Toc521054796"/>
      <w:bookmarkStart w:id="370" w:name="_Ref524350604"/>
      <w:bookmarkStart w:id="371" w:name="_Toc527019322"/>
      <w:bookmarkStart w:id="372" w:name="_Toc534706857"/>
      <w:bookmarkStart w:id="373" w:name="_Toc534707535"/>
      <w:bookmarkStart w:id="374" w:name="_Toc534708343"/>
      <w:bookmarkStart w:id="375" w:name="_Toc106037724"/>
      <w:bookmarkStart w:id="376" w:name="_Toc106201365"/>
      <w:bookmarkStart w:id="377" w:name="_Toc106201884"/>
      <w:bookmarkStart w:id="378" w:name="_Toc106202410"/>
      <w:bookmarkStart w:id="379" w:name="_Toc113344865"/>
      <w:bookmarkStart w:id="380" w:name="_Toc137461606"/>
      <w:bookmarkStart w:id="381" w:name="_Toc137471197"/>
      <w:bookmarkStart w:id="382" w:name="_Toc137471706"/>
      <w:bookmarkStart w:id="383" w:name="_Toc200375532"/>
      <w:r w:rsidRPr="00122C89">
        <w:t>Live-In Aide</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14:paraId="366B466F" w14:textId="77777777" w:rsidR="00C87CBD" w:rsidRPr="00122C89" w:rsidRDefault="00C87CBD" w:rsidP="00C87CBD">
      <w:pPr>
        <w:rPr>
          <w:rFonts w:cs="Arial"/>
          <w:szCs w:val="20"/>
        </w:rPr>
      </w:pPr>
      <w:r w:rsidRPr="00122C89">
        <w:rPr>
          <w:rFonts w:cs="Arial"/>
          <w:i/>
          <w:iCs/>
          <w:szCs w:val="20"/>
        </w:rPr>
        <w:t>Live-in aide</w:t>
      </w:r>
      <w:r w:rsidRPr="00122C89">
        <w:rPr>
          <w:rFonts w:cs="Arial"/>
          <w:szCs w:val="20"/>
        </w:rPr>
        <w:t xml:space="preserve"> means a person who resides with one or more elderly persons or persons with disabilities, and who: </w:t>
      </w:r>
    </w:p>
    <w:p w14:paraId="4C79E272" w14:textId="77777777" w:rsidR="00C87CBD" w:rsidRPr="00122C89" w:rsidRDefault="00C87CBD" w:rsidP="007F177E">
      <w:pPr>
        <w:pStyle w:val="ListParagraph"/>
        <w:numPr>
          <w:ilvl w:val="0"/>
          <w:numId w:val="221"/>
        </w:numPr>
        <w:contextualSpacing w:val="0"/>
        <w:rPr>
          <w:rFonts w:cs="Arial"/>
          <w:szCs w:val="20"/>
        </w:rPr>
      </w:pPr>
      <w:r w:rsidRPr="00122C89">
        <w:rPr>
          <w:rFonts w:cs="Arial"/>
          <w:szCs w:val="20"/>
        </w:rPr>
        <w:t>Is determined to be essential to the care and well-being of the persons;</w:t>
      </w:r>
    </w:p>
    <w:p w14:paraId="7AF10C3F" w14:textId="77777777" w:rsidR="00C87CBD" w:rsidRPr="00122C89" w:rsidRDefault="00C87CBD" w:rsidP="007F177E">
      <w:pPr>
        <w:pStyle w:val="ListParagraph"/>
        <w:numPr>
          <w:ilvl w:val="0"/>
          <w:numId w:val="221"/>
        </w:numPr>
        <w:contextualSpacing w:val="0"/>
        <w:rPr>
          <w:rFonts w:cs="Arial"/>
          <w:szCs w:val="20"/>
        </w:rPr>
      </w:pPr>
      <w:r w:rsidRPr="00122C89">
        <w:rPr>
          <w:rFonts w:cs="Arial"/>
          <w:szCs w:val="20"/>
        </w:rPr>
        <w:t>Is not obligated for the support of the persons; and</w:t>
      </w:r>
    </w:p>
    <w:p w14:paraId="0C6FCF1E" w14:textId="77777777" w:rsidR="00C87CBD" w:rsidRPr="00122C89" w:rsidRDefault="00C87CBD" w:rsidP="007F177E">
      <w:pPr>
        <w:pStyle w:val="ListParagraph"/>
        <w:numPr>
          <w:ilvl w:val="0"/>
          <w:numId w:val="221"/>
        </w:numPr>
        <w:contextualSpacing w:val="0"/>
        <w:rPr>
          <w:rFonts w:cs="Arial"/>
          <w:szCs w:val="20"/>
        </w:rPr>
      </w:pPr>
      <w:r w:rsidRPr="00122C89">
        <w:rPr>
          <w:rFonts w:cs="Arial"/>
          <w:szCs w:val="20"/>
        </w:rPr>
        <w:t>Would not be living in the unit except to provide the necessary supportive services.</w:t>
      </w:r>
    </w:p>
    <w:p w14:paraId="386959B0" w14:textId="77777777" w:rsidR="00C87CBD" w:rsidRPr="00122C89" w:rsidRDefault="00D961B5" w:rsidP="00C87CBD">
      <w:pPr>
        <w:rPr>
          <w:rFonts w:cs="Arial"/>
          <w:szCs w:val="20"/>
        </w:rPr>
      </w:pPr>
      <w:r>
        <w:rPr>
          <w:rFonts w:cs="Arial"/>
          <w:szCs w:val="20"/>
        </w:rPr>
        <w:t>H</w:t>
      </w:r>
      <w:r w:rsidR="00C87CBD" w:rsidRPr="00122C89">
        <w:rPr>
          <w:rFonts w:cs="Arial"/>
          <w:szCs w:val="20"/>
        </w:rPr>
        <w:t>HA will approve a live-in aide if needed as a reasonable accommodation, to make the program accessible to and usable by the family member with disabilities.</w:t>
      </w:r>
    </w:p>
    <w:p w14:paraId="3CA279B9" w14:textId="77777777" w:rsidR="00C87CBD" w:rsidRPr="00122C89" w:rsidRDefault="00C87CBD" w:rsidP="00C87CBD">
      <w:pPr>
        <w:rPr>
          <w:rFonts w:cs="Arial"/>
          <w:szCs w:val="20"/>
        </w:rPr>
      </w:pPr>
      <w:r w:rsidRPr="00122C89">
        <w:rPr>
          <w:rFonts w:cs="Arial"/>
          <w:szCs w:val="20"/>
        </w:rPr>
        <w:t>A live-in aide is a member of the household, not the family, and the income of the aide is not considered in income calculations. Relatives may be approved as live-in aides if they meet all of the criteria defining a live-in aide. However, a relative who serves as a live-in aide is not considered a family member and would not be considered a remaining member of a tenant family. See verification requirements for in the chapter on verification:</w:t>
      </w:r>
      <w:r w:rsidRPr="00122C89">
        <w:rPr>
          <w:rFonts w:cs="Arial"/>
          <w:b/>
          <w:bCs/>
          <w:color w:val="5B9BD5" w:themeColor="accent5"/>
          <w:szCs w:val="20"/>
        </w:rPr>
        <w:t xml:space="preserve"> </w:t>
      </w:r>
      <w:r w:rsidR="008B23F0" w:rsidRPr="008B23F0">
        <w:rPr>
          <w:rFonts w:cs="Arial"/>
          <w:b/>
          <w:bCs/>
          <w:color w:val="0070C0"/>
          <w:szCs w:val="20"/>
        </w:rPr>
        <w:fldChar w:fldCharType="begin"/>
      </w:r>
      <w:r w:rsidR="008B23F0" w:rsidRPr="008B23F0">
        <w:rPr>
          <w:rFonts w:cs="Arial"/>
          <w:b/>
          <w:bCs/>
          <w:color w:val="0070C0"/>
          <w:szCs w:val="20"/>
        </w:rPr>
        <w:instrText xml:space="preserve"> REF _Ref75357761 \h  \* MERGEFORMAT </w:instrText>
      </w:r>
      <w:r w:rsidR="008B23F0" w:rsidRPr="008B23F0">
        <w:rPr>
          <w:rFonts w:cs="Arial"/>
          <w:b/>
          <w:bCs/>
          <w:color w:val="0070C0"/>
          <w:szCs w:val="20"/>
        </w:rPr>
      </w:r>
      <w:r w:rsidR="008B23F0" w:rsidRPr="008B23F0">
        <w:rPr>
          <w:rFonts w:cs="Arial"/>
          <w:b/>
          <w:bCs/>
          <w:color w:val="0070C0"/>
          <w:szCs w:val="20"/>
        </w:rPr>
        <w:fldChar w:fldCharType="separate"/>
      </w:r>
      <w:r w:rsidR="008B23F0" w:rsidRPr="008B23F0">
        <w:rPr>
          <w:b/>
          <w:bCs/>
          <w:color w:val="0070C0"/>
        </w:rPr>
        <w:t>Live-In Aide</w:t>
      </w:r>
      <w:r w:rsidR="008B23F0" w:rsidRPr="008B23F0">
        <w:rPr>
          <w:rFonts w:cs="Arial"/>
          <w:b/>
          <w:bCs/>
          <w:color w:val="0070C0"/>
          <w:szCs w:val="20"/>
        </w:rPr>
        <w:fldChar w:fldCharType="end"/>
      </w:r>
      <w:r w:rsidRPr="008B23F0">
        <w:rPr>
          <w:rFonts w:cs="Arial"/>
          <w:szCs w:val="20"/>
        </w:rPr>
        <w:t>.</w:t>
      </w:r>
    </w:p>
    <w:p w14:paraId="40247E4E" w14:textId="77777777" w:rsidR="00C87CBD" w:rsidRPr="00122C89" w:rsidRDefault="000527A2" w:rsidP="00C87CBD">
      <w:pPr>
        <w:rPr>
          <w:rFonts w:cs="Arial"/>
          <w:szCs w:val="20"/>
        </w:rPr>
      </w:pPr>
      <w:r>
        <w:rPr>
          <w:rFonts w:cs="Arial"/>
          <w:szCs w:val="20"/>
        </w:rPr>
        <w:t>H</w:t>
      </w:r>
      <w:r w:rsidR="00C87CBD" w:rsidRPr="00122C89">
        <w:rPr>
          <w:rFonts w:cs="Arial"/>
          <w:szCs w:val="20"/>
        </w:rPr>
        <w:t xml:space="preserve">HA will apply the same screening criteria used for determining initial and continued eligibility/suitability for applicants and tenants when determining approval/disapproval of a particular person as a live-in aide. These criteria include, but are not limited to, disapproval of admission if the person: </w:t>
      </w:r>
    </w:p>
    <w:p w14:paraId="530E56D8" w14:textId="77777777" w:rsidR="00C87CBD" w:rsidRPr="00122C89" w:rsidRDefault="00C87CBD" w:rsidP="007F177E">
      <w:pPr>
        <w:pStyle w:val="ListParagraph"/>
        <w:numPr>
          <w:ilvl w:val="0"/>
          <w:numId w:val="222"/>
        </w:numPr>
        <w:contextualSpacing w:val="0"/>
        <w:rPr>
          <w:rFonts w:cs="Arial"/>
          <w:szCs w:val="20"/>
        </w:rPr>
      </w:pPr>
      <w:r w:rsidRPr="00122C89">
        <w:rPr>
          <w:rFonts w:cs="Arial"/>
          <w:szCs w:val="20"/>
        </w:rPr>
        <w:t>Committed fraud, bribery or any other corrupt or criminal act in connection with any federal housing program;</w:t>
      </w:r>
    </w:p>
    <w:p w14:paraId="68267482" w14:textId="77777777" w:rsidR="00C87CBD" w:rsidRPr="00122C89" w:rsidRDefault="00C87CBD" w:rsidP="007F177E">
      <w:pPr>
        <w:pStyle w:val="ListParagraph"/>
        <w:numPr>
          <w:ilvl w:val="0"/>
          <w:numId w:val="222"/>
        </w:numPr>
        <w:contextualSpacing w:val="0"/>
        <w:rPr>
          <w:rFonts w:cs="Arial"/>
          <w:szCs w:val="20"/>
        </w:rPr>
      </w:pPr>
      <w:r w:rsidRPr="00122C89">
        <w:rPr>
          <w:rFonts w:cs="Arial"/>
          <w:szCs w:val="20"/>
        </w:rPr>
        <w:t xml:space="preserve">Is subject to a lifetime registration requirement under a State </w:t>
      </w:r>
      <w:r w:rsidR="003E70AA">
        <w:rPr>
          <w:rFonts w:cs="Arial"/>
          <w:szCs w:val="20"/>
        </w:rPr>
        <w:t>s</w:t>
      </w:r>
      <w:r w:rsidRPr="00122C89">
        <w:rPr>
          <w:rFonts w:cs="Arial"/>
          <w:szCs w:val="20"/>
        </w:rPr>
        <w:t>ex offender registration program;</w:t>
      </w:r>
    </w:p>
    <w:p w14:paraId="2650897A" w14:textId="77777777" w:rsidR="00C87CBD" w:rsidRPr="00122C89" w:rsidRDefault="00C87CBD" w:rsidP="007F177E">
      <w:pPr>
        <w:pStyle w:val="ListParagraph"/>
        <w:numPr>
          <w:ilvl w:val="0"/>
          <w:numId w:val="222"/>
        </w:numPr>
        <w:contextualSpacing w:val="0"/>
        <w:rPr>
          <w:rFonts w:cs="Arial"/>
          <w:szCs w:val="20"/>
        </w:rPr>
      </w:pPr>
      <w:r w:rsidRPr="00122C89">
        <w:rPr>
          <w:rFonts w:cs="Arial"/>
          <w:szCs w:val="20"/>
        </w:rPr>
        <w:t>Committed drug-related criminal activity or violent criminal activity; or</w:t>
      </w:r>
    </w:p>
    <w:p w14:paraId="7AB6D686" w14:textId="77777777" w:rsidR="00C87CBD" w:rsidRDefault="00C87CBD" w:rsidP="007F177E">
      <w:pPr>
        <w:pStyle w:val="ListParagraph"/>
        <w:numPr>
          <w:ilvl w:val="0"/>
          <w:numId w:val="222"/>
        </w:numPr>
        <w:contextualSpacing w:val="0"/>
        <w:rPr>
          <w:rFonts w:cs="Arial"/>
          <w:szCs w:val="20"/>
        </w:rPr>
      </w:pPr>
      <w:r w:rsidRPr="00122C89">
        <w:rPr>
          <w:rFonts w:cs="Arial"/>
          <w:szCs w:val="20"/>
        </w:rPr>
        <w:t xml:space="preserve">Currently owes rent or other amounts to </w:t>
      </w:r>
      <w:r w:rsidR="003E70AA">
        <w:rPr>
          <w:rFonts w:cs="Arial"/>
          <w:szCs w:val="20"/>
        </w:rPr>
        <w:t>H</w:t>
      </w:r>
      <w:r w:rsidRPr="00122C89">
        <w:rPr>
          <w:rFonts w:cs="Arial"/>
          <w:szCs w:val="20"/>
        </w:rPr>
        <w:t>HA or to another PHA in connection with Section 8 or public housing assistance under the 1937 Act.</w:t>
      </w:r>
    </w:p>
    <w:p w14:paraId="5350BE47" w14:textId="77777777" w:rsidR="003B30FB" w:rsidRPr="003B30FB" w:rsidRDefault="003B30FB" w:rsidP="00BB64BD">
      <w:pPr>
        <w:pStyle w:val="Heading2"/>
      </w:pPr>
      <w:bookmarkStart w:id="384" w:name="_Ref136514650"/>
      <w:bookmarkStart w:id="385" w:name="_Toc137808964"/>
      <w:bookmarkStart w:id="386" w:name="_Toc137809506"/>
      <w:bookmarkStart w:id="387" w:name="_Toc137809750"/>
      <w:bookmarkStart w:id="388" w:name="_Toc137810062"/>
      <w:bookmarkStart w:id="389" w:name="_Toc138429395"/>
      <w:bookmarkStart w:id="390" w:name="_Toc138430230"/>
      <w:bookmarkStart w:id="391" w:name="_Toc138856412"/>
      <w:bookmarkStart w:id="392" w:name="_Toc138857706"/>
      <w:bookmarkStart w:id="393" w:name="_Toc138860484"/>
      <w:bookmarkStart w:id="394" w:name="_Toc138860699"/>
      <w:bookmarkStart w:id="395" w:name="_Toc173222652"/>
      <w:bookmarkStart w:id="396" w:name="_Toc200375533"/>
      <w:bookmarkStart w:id="397" w:name="_Toc200376918"/>
      <w:r w:rsidRPr="003B30FB">
        <w:t>Income Eligibility</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14:paraId="5BA07D56" w14:textId="77777777" w:rsidR="003B30FB" w:rsidRPr="00122C89" w:rsidRDefault="003B30FB" w:rsidP="00677451">
      <w:pPr>
        <w:pStyle w:val="Heading3"/>
      </w:pPr>
      <w:bookmarkStart w:id="398" w:name="_Toc521054799"/>
      <w:bookmarkStart w:id="399" w:name="_Ref525899144"/>
      <w:bookmarkStart w:id="400" w:name="_Toc527019325"/>
      <w:bookmarkStart w:id="401" w:name="_Toc534706860"/>
      <w:bookmarkStart w:id="402" w:name="_Toc534707538"/>
      <w:bookmarkStart w:id="403" w:name="_Toc534708346"/>
      <w:bookmarkStart w:id="404" w:name="_Toc106037727"/>
      <w:bookmarkStart w:id="405" w:name="_Toc106201368"/>
      <w:bookmarkStart w:id="406" w:name="_Toc106201887"/>
      <w:bookmarkStart w:id="407" w:name="_Toc106202413"/>
      <w:bookmarkStart w:id="408" w:name="_Toc113344868"/>
      <w:bookmarkStart w:id="409" w:name="_Toc137808965"/>
      <w:bookmarkStart w:id="410" w:name="_Toc137809507"/>
      <w:bookmarkStart w:id="411" w:name="_Toc137809751"/>
      <w:bookmarkStart w:id="412" w:name="_Toc137810063"/>
      <w:bookmarkStart w:id="413" w:name="_Toc138429396"/>
      <w:bookmarkStart w:id="414" w:name="_Toc138430231"/>
      <w:bookmarkStart w:id="415" w:name="_Toc138860485"/>
      <w:bookmarkStart w:id="416" w:name="_Toc200375534"/>
      <w:r w:rsidRPr="00122C89">
        <w:t>Income Limits</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14:paraId="36F53A63" w14:textId="77777777" w:rsidR="003B30FB" w:rsidRPr="00122C89" w:rsidRDefault="003B30FB" w:rsidP="003B30FB">
      <w:pPr>
        <w:rPr>
          <w:rFonts w:cs="Arial"/>
          <w:szCs w:val="20"/>
        </w:rPr>
      </w:pPr>
      <w:r w:rsidRPr="00122C89">
        <w:rPr>
          <w:rFonts w:cs="Arial"/>
          <w:szCs w:val="20"/>
        </w:rPr>
        <w:t xml:space="preserve">HUD establishes income limits for all areas of the country and publishes them annually in the </w:t>
      </w:r>
      <w:r w:rsidRPr="00122C89">
        <w:rPr>
          <w:rFonts w:cs="Arial"/>
          <w:i/>
          <w:iCs/>
          <w:szCs w:val="20"/>
        </w:rPr>
        <w:t>Federal Register</w:t>
      </w:r>
      <w:r w:rsidRPr="00122C89">
        <w:rPr>
          <w:rFonts w:cs="Arial"/>
          <w:szCs w:val="20"/>
        </w:rPr>
        <w:t>. They are based upon estimates of median family income with adjustments for family size. The income limits are used to determine eligibility for the program and for income targeting purposes</w:t>
      </w:r>
      <w:r w:rsidR="00AF6A83">
        <w:rPr>
          <w:rFonts w:cs="Arial"/>
          <w:szCs w:val="20"/>
        </w:rPr>
        <w:t>, and are defined as follows:</w:t>
      </w:r>
    </w:p>
    <w:p w14:paraId="78CDC240" w14:textId="77777777" w:rsidR="003B30FB" w:rsidRPr="003B30FB" w:rsidRDefault="003B30FB" w:rsidP="007F177E">
      <w:pPr>
        <w:pStyle w:val="ListParagraph"/>
        <w:numPr>
          <w:ilvl w:val="0"/>
          <w:numId w:val="223"/>
        </w:numPr>
        <w:contextualSpacing w:val="0"/>
        <w:rPr>
          <w:rFonts w:cs="Arial"/>
          <w:szCs w:val="20"/>
        </w:rPr>
      </w:pPr>
      <w:r w:rsidRPr="008D43EE">
        <w:rPr>
          <w:rFonts w:cs="Arial"/>
          <w:b/>
          <w:bCs/>
          <w:szCs w:val="20"/>
        </w:rPr>
        <w:t>Low-income family.</w:t>
      </w:r>
      <w:r w:rsidRPr="003B30FB">
        <w:rPr>
          <w:rFonts w:cs="Arial"/>
          <w:i/>
          <w:iCs/>
          <w:szCs w:val="20"/>
        </w:rPr>
        <w:t xml:space="preserve"> </w:t>
      </w:r>
      <w:r w:rsidRPr="003B30FB">
        <w:rPr>
          <w:rFonts w:cs="Arial"/>
          <w:szCs w:val="20"/>
        </w:rPr>
        <w:t>A family whose annual income does not exceed 80 percent of the median income for the area, adjusted for family size.</w:t>
      </w:r>
    </w:p>
    <w:p w14:paraId="08A20CBC" w14:textId="77777777" w:rsidR="003B30FB" w:rsidRPr="003B30FB" w:rsidRDefault="003B30FB" w:rsidP="007F177E">
      <w:pPr>
        <w:pStyle w:val="ListParagraph"/>
        <w:numPr>
          <w:ilvl w:val="0"/>
          <w:numId w:val="223"/>
        </w:numPr>
        <w:contextualSpacing w:val="0"/>
        <w:rPr>
          <w:rFonts w:cs="Arial"/>
          <w:szCs w:val="20"/>
        </w:rPr>
      </w:pPr>
      <w:r w:rsidRPr="008D43EE">
        <w:rPr>
          <w:rFonts w:cs="Arial"/>
          <w:b/>
          <w:bCs/>
          <w:szCs w:val="20"/>
        </w:rPr>
        <w:t>Very low-income family.</w:t>
      </w:r>
      <w:r w:rsidRPr="003B30FB">
        <w:rPr>
          <w:rFonts w:cs="Arial"/>
          <w:i/>
          <w:iCs/>
          <w:szCs w:val="20"/>
        </w:rPr>
        <w:t xml:space="preserve"> </w:t>
      </w:r>
      <w:r w:rsidRPr="003B30FB">
        <w:rPr>
          <w:rFonts w:cs="Arial"/>
          <w:szCs w:val="20"/>
        </w:rPr>
        <w:t>A family whose annual income does not exceed 50 percent of the median income for the area, adjusted for family size.</w:t>
      </w:r>
    </w:p>
    <w:p w14:paraId="4BCF48F6" w14:textId="77777777" w:rsidR="003B30FB" w:rsidRPr="003B30FB" w:rsidRDefault="003B30FB" w:rsidP="007F177E">
      <w:pPr>
        <w:pStyle w:val="ListParagraph"/>
        <w:numPr>
          <w:ilvl w:val="0"/>
          <w:numId w:val="223"/>
        </w:numPr>
        <w:contextualSpacing w:val="0"/>
        <w:rPr>
          <w:rFonts w:cs="Arial"/>
          <w:szCs w:val="20"/>
        </w:rPr>
      </w:pPr>
      <w:r w:rsidRPr="008D43EE">
        <w:rPr>
          <w:rFonts w:cs="Arial"/>
          <w:b/>
          <w:bCs/>
          <w:szCs w:val="20"/>
        </w:rPr>
        <w:t>Extremely low-income family.</w:t>
      </w:r>
      <w:r w:rsidRPr="003B30FB">
        <w:rPr>
          <w:rFonts w:cs="Arial"/>
          <w:i/>
          <w:iCs/>
          <w:szCs w:val="20"/>
        </w:rPr>
        <w:t xml:space="preserve"> </w:t>
      </w:r>
      <w:r w:rsidRPr="003B30FB">
        <w:rPr>
          <w:rFonts w:cs="Arial"/>
          <w:szCs w:val="20"/>
        </w:rPr>
        <w:t>A family whose annual income does not exceed the federal poverty level or 30 percent of the median income for the area, whichever number is higher.</w:t>
      </w:r>
    </w:p>
    <w:p w14:paraId="6A2ED5D7" w14:textId="77777777" w:rsidR="003B30FB" w:rsidRPr="00122C89" w:rsidRDefault="003B30FB" w:rsidP="003B30FB">
      <w:pPr>
        <w:rPr>
          <w:rFonts w:cs="Arial"/>
          <w:szCs w:val="20"/>
        </w:rPr>
      </w:pPr>
      <w:r w:rsidRPr="00122C89">
        <w:rPr>
          <w:rFonts w:cs="Arial"/>
          <w:szCs w:val="20"/>
        </w:rPr>
        <w:t xml:space="preserve">If a family does not meet the income limits for the program, their admission must be denied; see </w:t>
      </w:r>
      <w:r w:rsidRPr="00122C89">
        <w:rPr>
          <w:rFonts w:cs="Arial"/>
          <w:b/>
          <w:color w:val="0070C0"/>
          <w:szCs w:val="20"/>
        </w:rPr>
        <w:fldChar w:fldCharType="begin"/>
      </w:r>
      <w:r w:rsidRPr="00122C89">
        <w:rPr>
          <w:rFonts w:cs="Arial"/>
          <w:b/>
          <w:color w:val="0070C0"/>
          <w:szCs w:val="20"/>
        </w:rPr>
        <w:instrText xml:space="preserve"> REF _Ref1570994 \h  \* MERGEFORMAT </w:instrText>
      </w:r>
      <w:r w:rsidRPr="00122C89">
        <w:rPr>
          <w:rFonts w:cs="Arial"/>
          <w:b/>
          <w:color w:val="0070C0"/>
          <w:szCs w:val="20"/>
        </w:rPr>
      </w:r>
      <w:r w:rsidRPr="00122C89">
        <w:rPr>
          <w:rFonts w:cs="Arial"/>
          <w:b/>
          <w:color w:val="0070C0"/>
          <w:szCs w:val="20"/>
        </w:rPr>
        <w:fldChar w:fldCharType="separate"/>
      </w:r>
      <w:r w:rsidRPr="00035332">
        <w:rPr>
          <w:b/>
          <w:color w:val="0070C0"/>
        </w:rPr>
        <w:t>Income Limits for Eligibility</w:t>
      </w:r>
      <w:r w:rsidRPr="00122C89">
        <w:rPr>
          <w:rFonts w:cs="Arial"/>
          <w:b/>
          <w:color w:val="0070C0"/>
          <w:szCs w:val="20"/>
        </w:rPr>
        <w:fldChar w:fldCharType="end"/>
      </w:r>
      <w:r w:rsidRPr="00122C89">
        <w:rPr>
          <w:rFonts w:cs="Arial"/>
          <w:szCs w:val="20"/>
        </w:rPr>
        <w:t xml:space="preserve">.  </w:t>
      </w:r>
    </w:p>
    <w:p w14:paraId="21CE7618" w14:textId="77777777" w:rsidR="003B30FB" w:rsidRPr="00122C89" w:rsidRDefault="003B30FB" w:rsidP="00677451">
      <w:pPr>
        <w:pStyle w:val="Heading3"/>
      </w:pPr>
      <w:bookmarkStart w:id="417" w:name="_Toc521054800"/>
      <w:bookmarkStart w:id="418" w:name="_Ref525898163"/>
      <w:bookmarkStart w:id="419" w:name="_Toc527019326"/>
      <w:bookmarkStart w:id="420" w:name="_Toc534706861"/>
      <w:bookmarkStart w:id="421" w:name="_Toc534707539"/>
      <w:bookmarkStart w:id="422" w:name="_Toc534708347"/>
      <w:bookmarkStart w:id="423" w:name="_Ref1570994"/>
      <w:bookmarkStart w:id="424" w:name="_Toc106037728"/>
      <w:bookmarkStart w:id="425" w:name="_Toc106201369"/>
      <w:bookmarkStart w:id="426" w:name="_Toc106201888"/>
      <w:bookmarkStart w:id="427" w:name="_Toc106202414"/>
      <w:bookmarkStart w:id="428" w:name="_Toc113344869"/>
      <w:bookmarkStart w:id="429" w:name="_Toc137808966"/>
      <w:bookmarkStart w:id="430" w:name="_Toc137809508"/>
      <w:bookmarkStart w:id="431" w:name="_Toc137809752"/>
      <w:bookmarkStart w:id="432" w:name="_Toc137810064"/>
      <w:bookmarkStart w:id="433" w:name="_Toc138429397"/>
      <w:bookmarkStart w:id="434" w:name="_Toc138430232"/>
      <w:bookmarkStart w:id="435" w:name="_Toc138860486"/>
      <w:bookmarkStart w:id="436" w:name="_Ref146095338"/>
      <w:bookmarkStart w:id="437" w:name="_Toc200375535"/>
      <w:r w:rsidRPr="00122C89">
        <w:t>Income Limits for Eligibility</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14:paraId="08953A28" w14:textId="77777777" w:rsidR="003B30FB" w:rsidRPr="00122C89" w:rsidRDefault="003B30FB" w:rsidP="003B30FB">
      <w:pPr>
        <w:rPr>
          <w:rFonts w:cs="Arial"/>
          <w:szCs w:val="20"/>
        </w:rPr>
      </w:pPr>
      <w:r w:rsidRPr="00122C89">
        <w:rPr>
          <w:rFonts w:cs="Arial"/>
          <w:szCs w:val="20"/>
        </w:rPr>
        <w:t xml:space="preserve">Income limits are used for eligibility only at admission. Income eligibility is determined by comparing the annual income of an applicant to the applicable income limit for their family size. </w:t>
      </w:r>
    </w:p>
    <w:p w14:paraId="5FE4D64A" w14:textId="77777777" w:rsidR="003B30FB" w:rsidRDefault="003B30FB" w:rsidP="003B30FB">
      <w:pPr>
        <w:rPr>
          <w:rFonts w:cs="Arial"/>
          <w:szCs w:val="20"/>
        </w:rPr>
      </w:pPr>
      <w:r w:rsidRPr="00122C89">
        <w:rPr>
          <w:rFonts w:cs="Arial"/>
          <w:szCs w:val="20"/>
        </w:rPr>
        <w:t>In order to be income eligible</w:t>
      </w:r>
      <w:r w:rsidR="00FF7664">
        <w:rPr>
          <w:rFonts w:cs="Arial"/>
          <w:szCs w:val="20"/>
        </w:rPr>
        <w:t xml:space="preserve"> for public housing</w:t>
      </w:r>
      <w:r w:rsidRPr="00122C89">
        <w:rPr>
          <w:rFonts w:cs="Arial"/>
          <w:szCs w:val="20"/>
        </w:rPr>
        <w:t xml:space="preserve">, an applicant family must </w:t>
      </w:r>
      <w:r>
        <w:rPr>
          <w:rFonts w:cs="Arial"/>
          <w:szCs w:val="20"/>
        </w:rPr>
        <w:t>be a low-income family.</w:t>
      </w:r>
    </w:p>
    <w:p w14:paraId="68FDB2D7" w14:textId="77777777" w:rsidR="00E22068" w:rsidRDefault="00E22068" w:rsidP="003B30FB">
      <w:pPr>
        <w:rPr>
          <w:rFonts w:cs="Arial"/>
          <w:szCs w:val="20"/>
        </w:rPr>
      </w:pPr>
      <w:r>
        <w:rPr>
          <w:rFonts w:cs="Arial"/>
          <w:szCs w:val="20"/>
        </w:rPr>
        <w:t>However, families</w:t>
      </w:r>
      <w:r w:rsidR="00C6369F">
        <w:rPr>
          <w:rFonts w:cs="Arial"/>
          <w:szCs w:val="20"/>
        </w:rPr>
        <w:t xml:space="preserve"> </w:t>
      </w:r>
      <w:r w:rsidR="009502E0">
        <w:rPr>
          <w:rFonts w:cs="Arial"/>
          <w:szCs w:val="20"/>
        </w:rPr>
        <w:t>on the waiting list for c</w:t>
      </w:r>
      <w:r w:rsidR="0003112B">
        <w:rPr>
          <w:rFonts w:cs="Arial"/>
          <w:szCs w:val="20"/>
        </w:rPr>
        <w:t>ertain</w:t>
      </w:r>
      <w:r w:rsidR="00C6369F">
        <w:rPr>
          <w:rFonts w:cs="Arial"/>
          <w:szCs w:val="20"/>
        </w:rPr>
        <w:t xml:space="preserve"> properties</w:t>
      </w:r>
      <w:r w:rsidR="00F20F00">
        <w:rPr>
          <w:rFonts w:cs="Arial"/>
          <w:szCs w:val="20"/>
        </w:rPr>
        <w:t xml:space="preserve"> may </w:t>
      </w:r>
      <w:r w:rsidR="003B3ED8">
        <w:rPr>
          <w:rFonts w:cs="Arial"/>
          <w:szCs w:val="20"/>
        </w:rPr>
        <w:t>also be subject</w:t>
      </w:r>
      <w:r w:rsidR="0082783A">
        <w:rPr>
          <w:rFonts w:cs="Arial"/>
          <w:szCs w:val="20"/>
        </w:rPr>
        <w:t xml:space="preserve"> to </w:t>
      </w:r>
      <w:r w:rsidR="009911F3">
        <w:rPr>
          <w:rFonts w:cs="Arial"/>
          <w:szCs w:val="20"/>
        </w:rPr>
        <w:t>income limit</w:t>
      </w:r>
      <w:r w:rsidR="009137FA">
        <w:rPr>
          <w:rFonts w:cs="Arial"/>
          <w:szCs w:val="20"/>
        </w:rPr>
        <w:t>s under the Low-Income Housing Tax Credit (LIHTC) units</w:t>
      </w:r>
      <w:r w:rsidR="00637E53">
        <w:rPr>
          <w:rFonts w:cs="Arial"/>
          <w:szCs w:val="20"/>
        </w:rPr>
        <w:t>.</w:t>
      </w:r>
      <w:r w:rsidR="005A1E6E">
        <w:rPr>
          <w:rFonts w:cs="Arial"/>
          <w:szCs w:val="20"/>
        </w:rPr>
        <w:t xml:space="preserve"> Policies for the LIHTC program are not included in this document.</w:t>
      </w:r>
    </w:p>
    <w:p w14:paraId="67C2D9C4" w14:textId="77777777" w:rsidR="00735190" w:rsidRPr="00735190" w:rsidRDefault="00735190" w:rsidP="00677451">
      <w:pPr>
        <w:pStyle w:val="Heading3"/>
      </w:pPr>
      <w:bookmarkStart w:id="438" w:name="_Toc200375536"/>
      <w:r w:rsidRPr="00735190">
        <w:t xml:space="preserve">Income </w:t>
      </w:r>
      <w:r w:rsidR="00344C31">
        <w:t xml:space="preserve">Limits for </w:t>
      </w:r>
      <w:r w:rsidRPr="00735190">
        <w:t>Targeting</w:t>
      </w:r>
      <w:bookmarkEnd w:id="438"/>
    </w:p>
    <w:p w14:paraId="3929111D" w14:textId="77777777" w:rsidR="00C35386" w:rsidRDefault="00C35386" w:rsidP="00F02405">
      <w:r>
        <w:t xml:space="preserve">At least 40 percent of the families admitted from </w:t>
      </w:r>
      <w:r w:rsidR="002100AF">
        <w:t>HHA’s</w:t>
      </w:r>
      <w:r>
        <w:t xml:space="preserve"> waiting list to the public housing program during a PHA fiscal year must be </w:t>
      </w:r>
      <w:r w:rsidRPr="004A4872">
        <w:rPr>
          <w:i/>
        </w:rPr>
        <w:t>extremely low-income</w:t>
      </w:r>
      <w:r>
        <w:t xml:space="preserve"> families. This is called the </w:t>
      </w:r>
      <w:r w:rsidRPr="005D2658">
        <w:rPr>
          <w:i/>
          <w:iCs/>
        </w:rPr>
        <w:t>basic targeting requirement</w:t>
      </w:r>
      <w:r>
        <w:t>.</w:t>
      </w:r>
    </w:p>
    <w:p w14:paraId="7782685D" w14:textId="77777777" w:rsidR="00C35386" w:rsidRDefault="00C35386" w:rsidP="00F02405">
      <w:r>
        <w:t xml:space="preserve">If admissions of extremely low-income families to </w:t>
      </w:r>
      <w:r w:rsidR="005D2658">
        <w:t>HHA’s</w:t>
      </w:r>
      <w:r>
        <w:t xml:space="preserve"> housing choice voucher</w:t>
      </w:r>
      <w:r w:rsidR="005D2658">
        <w:t xml:space="preserve"> (HCV)</w:t>
      </w:r>
      <w:r>
        <w:t xml:space="preserve"> program during </w:t>
      </w:r>
      <w:r w:rsidR="005D2658">
        <w:t>HHA’s</w:t>
      </w:r>
      <w:r>
        <w:t xml:space="preserve"> fiscal year exceed the 75 percent minimum targeting requirement for that program, such excess shall be credited against </w:t>
      </w:r>
      <w:r w:rsidR="005D2658">
        <w:t>HHA’s</w:t>
      </w:r>
      <w:r>
        <w:t xml:space="preserve"> public housing basic targeting requirement for the same fiscal year.</w:t>
      </w:r>
    </w:p>
    <w:p w14:paraId="60EAA807" w14:textId="77777777" w:rsidR="00C35386" w:rsidRDefault="00C35386" w:rsidP="002C15AD">
      <w:r>
        <w:t xml:space="preserve">The fiscal year credit for </w:t>
      </w:r>
      <w:r w:rsidR="005D2658">
        <w:t>HCV</w:t>
      </w:r>
      <w:r>
        <w:t xml:space="preserve"> program admissions that exceed the minimum voucher program targeting requirement must not exceed the lower of:</w:t>
      </w:r>
    </w:p>
    <w:p w14:paraId="253CF248" w14:textId="77777777" w:rsidR="00C35386" w:rsidRDefault="00C35386" w:rsidP="007F177E">
      <w:pPr>
        <w:numPr>
          <w:ilvl w:val="0"/>
          <w:numId w:val="224"/>
        </w:numPr>
        <w:tabs>
          <w:tab w:val="clear" w:pos="360"/>
        </w:tabs>
        <w:ind w:left="720"/>
      </w:pPr>
      <w:r>
        <w:t xml:space="preserve">Ten percent of public housing waiting list admissions during </w:t>
      </w:r>
      <w:r w:rsidR="005D2658">
        <w:t>HHA’s</w:t>
      </w:r>
      <w:r>
        <w:t xml:space="preserve"> fiscal year</w:t>
      </w:r>
      <w:r w:rsidR="005D2658">
        <w:t>;</w:t>
      </w:r>
    </w:p>
    <w:p w14:paraId="2E27708D" w14:textId="77777777" w:rsidR="00C35386" w:rsidRDefault="00C35386" w:rsidP="007F177E">
      <w:pPr>
        <w:numPr>
          <w:ilvl w:val="0"/>
          <w:numId w:val="224"/>
        </w:numPr>
        <w:tabs>
          <w:tab w:val="clear" w:pos="360"/>
        </w:tabs>
        <w:ind w:left="720"/>
      </w:pPr>
      <w:r>
        <w:t xml:space="preserve">Ten percent of waiting list admission to </w:t>
      </w:r>
      <w:r w:rsidR="005D2658">
        <w:t>HHA’s HCV</w:t>
      </w:r>
      <w:r>
        <w:t xml:space="preserve"> program during </w:t>
      </w:r>
      <w:r w:rsidR="005D2658">
        <w:t>HHA’s</w:t>
      </w:r>
      <w:r>
        <w:t xml:space="preserve"> fiscal year</w:t>
      </w:r>
      <w:r w:rsidR="005D2658">
        <w:t>; or</w:t>
      </w:r>
    </w:p>
    <w:p w14:paraId="3A159422" w14:textId="77777777" w:rsidR="002638AD" w:rsidRDefault="00C35386" w:rsidP="007F177E">
      <w:pPr>
        <w:numPr>
          <w:ilvl w:val="0"/>
          <w:numId w:val="224"/>
        </w:numPr>
        <w:tabs>
          <w:tab w:val="clear" w:pos="360"/>
        </w:tabs>
        <w:ind w:left="720"/>
      </w:pPr>
      <w:r>
        <w:t xml:space="preserve">The number of qualifying low-income families who commence occupancy during the fiscal year of public housing units located in census tracts with a poverty rate of 30 percent or more. For this purpose, </w:t>
      </w:r>
      <w:r w:rsidRPr="00A77CF6">
        <w:rPr>
          <w:i/>
          <w:iCs/>
        </w:rPr>
        <w:t>qualifying low-income family</w:t>
      </w:r>
      <w:r>
        <w:t xml:space="preserve"> means a low-income family other than an extremely low-income family.</w:t>
      </w:r>
    </w:p>
    <w:p w14:paraId="68E0BE0E" w14:textId="77777777" w:rsidR="003258C5" w:rsidRPr="00F02405" w:rsidRDefault="009B63AA" w:rsidP="00BB64BD">
      <w:pPr>
        <w:pStyle w:val="Heading2"/>
      </w:pPr>
      <w:bookmarkStart w:id="439" w:name="_Ref144892635"/>
      <w:bookmarkStart w:id="440" w:name="_Toc173222653"/>
      <w:bookmarkStart w:id="441" w:name="_Toc200375537"/>
      <w:bookmarkStart w:id="442" w:name="_Toc200376919"/>
      <w:r w:rsidRPr="00F02405">
        <w:t>Asset</w:t>
      </w:r>
      <w:r w:rsidR="00610BA0" w:rsidRPr="00F02405">
        <w:t xml:space="preserve"> Restrictions</w:t>
      </w:r>
      <w:bookmarkEnd w:id="439"/>
      <w:bookmarkEnd w:id="440"/>
      <w:bookmarkEnd w:id="441"/>
      <w:bookmarkEnd w:id="442"/>
    </w:p>
    <w:p w14:paraId="35127A22" w14:textId="77777777" w:rsidR="00557EDB" w:rsidRPr="00C4049D" w:rsidRDefault="00557EDB" w:rsidP="00557EDB">
      <w:pPr>
        <w:pBdr>
          <w:top w:val="single" w:sz="4" w:space="1" w:color="auto"/>
          <w:left w:val="single" w:sz="4" w:space="4" w:color="auto"/>
          <w:bottom w:val="single" w:sz="4" w:space="1" w:color="auto"/>
          <w:right w:val="single" w:sz="4" w:space="4" w:color="auto"/>
        </w:pBdr>
        <w:rPr>
          <w:b/>
          <w:bCs/>
          <w:i/>
          <w:iCs/>
          <w:u w:val="single"/>
        </w:rPr>
      </w:pPr>
      <w:r w:rsidRPr="005F5119">
        <w:rPr>
          <w:b/>
          <w:bCs/>
          <w:i/>
          <w:iCs/>
        </w:rPr>
        <w:t xml:space="preserve">Note: the following </w:t>
      </w:r>
      <w:r>
        <w:rPr>
          <w:b/>
          <w:bCs/>
          <w:i/>
          <w:iCs/>
        </w:rPr>
        <w:t>section is</w:t>
      </w:r>
      <w:r w:rsidRPr="005F5119">
        <w:rPr>
          <w:b/>
          <w:bCs/>
          <w:i/>
          <w:iCs/>
        </w:rPr>
        <w:t xml:space="preserve"> only applicable upon implementation of the HOTMA Final Rule (Sections 102 and 104). Prior to implementation, the following restrictions</w:t>
      </w:r>
      <w:r>
        <w:rPr>
          <w:b/>
          <w:bCs/>
          <w:i/>
          <w:iCs/>
        </w:rPr>
        <w:t xml:space="preserve"> noted in this section </w:t>
      </w:r>
      <w:r w:rsidRPr="005F5119">
        <w:rPr>
          <w:b/>
          <w:bCs/>
          <w:i/>
          <w:iCs/>
        </w:rPr>
        <w:t>do not apply.</w:t>
      </w:r>
    </w:p>
    <w:p w14:paraId="10E819E6" w14:textId="77777777" w:rsidR="00F02405" w:rsidRDefault="00F02405" w:rsidP="00F02405">
      <w:r>
        <w:t xml:space="preserve">Upon implementation of the HOTMA Final Rule, subsidy assistance must not be provided if upon admission or reexamination of family income: </w:t>
      </w:r>
    </w:p>
    <w:p w14:paraId="333634DE" w14:textId="77777777" w:rsidR="00F02405" w:rsidRPr="004708AC" w:rsidRDefault="00F02405" w:rsidP="00CB52D8">
      <w:pPr>
        <w:pStyle w:val="ListParagraph"/>
        <w:numPr>
          <w:ilvl w:val="0"/>
          <w:numId w:val="26"/>
        </w:numPr>
        <w:spacing w:after="0" w:line="240" w:lineRule="auto"/>
        <w:rPr>
          <w:rFonts w:ascii="Times New Roman" w:hAnsi="Times New Roman"/>
          <w:sz w:val="24"/>
        </w:rPr>
      </w:pPr>
      <w:r>
        <w:t xml:space="preserve">The family’s net assets (as defined in 24 CFR 5.603 and the </w:t>
      </w:r>
      <w:hyperlink w:anchor="_GLOSSARY_OF_TERMS" w:history="1">
        <w:r w:rsidRPr="00650709">
          <w:rPr>
            <w:rStyle w:val="Hyperlink"/>
            <w:u w:val="none"/>
          </w:rPr>
          <w:t>GLOSSARY OF TERMS AND DEFINITIONS</w:t>
        </w:r>
      </w:hyperlink>
      <w:r>
        <w:t xml:space="preserve"> section of this </w:t>
      </w:r>
      <w:r w:rsidR="00650709">
        <w:t>ACOP</w:t>
      </w:r>
      <w:r>
        <w:t>) exceed $100,000, or the amount as determined by HUD and adjusted annually in accordance with the Consumer Price Index for Urban Wage Earners and Clerical Workers; and/or</w:t>
      </w:r>
    </w:p>
    <w:p w14:paraId="4196F7D9" w14:textId="77777777" w:rsidR="00F02405" w:rsidRDefault="00F02405" w:rsidP="00F02405">
      <w:pPr>
        <w:pStyle w:val="ListParagraph"/>
        <w:spacing w:after="0" w:line="240" w:lineRule="auto"/>
        <w:rPr>
          <w:rFonts w:ascii="Times New Roman" w:hAnsi="Times New Roman"/>
          <w:sz w:val="24"/>
        </w:rPr>
      </w:pPr>
    </w:p>
    <w:p w14:paraId="57AF1972" w14:textId="77777777" w:rsidR="00F02405" w:rsidRPr="004708AC" w:rsidRDefault="00F02405" w:rsidP="00CB52D8">
      <w:pPr>
        <w:pStyle w:val="ListParagraph"/>
        <w:numPr>
          <w:ilvl w:val="0"/>
          <w:numId w:val="26"/>
        </w:numPr>
        <w:contextualSpacing w:val="0"/>
        <w:rPr>
          <w:rFonts w:ascii="Times New Roman" w:hAnsi="Times New Roman"/>
          <w:sz w:val="24"/>
        </w:rPr>
      </w:pPr>
      <w:r>
        <w:t>The family has a present ownership interest in, a legal right to reside in, and the effective legal authority to sell real property that is suitable for occupancy by the family as a residence.</w:t>
      </w:r>
    </w:p>
    <w:p w14:paraId="73700D8B" w14:textId="77777777" w:rsidR="00F02405" w:rsidRPr="00FA6EC7" w:rsidRDefault="00F02405" w:rsidP="00D458CD">
      <w:pPr>
        <w:pStyle w:val="ListParagraph"/>
        <w:contextualSpacing w:val="0"/>
        <w:rPr>
          <w:rFonts w:ascii="Times New Roman" w:hAnsi="Times New Roman"/>
          <w:sz w:val="24"/>
        </w:rPr>
      </w:pPr>
      <w:r w:rsidRPr="004707BA">
        <w:t>A p</w:t>
      </w:r>
      <w:r>
        <w:t xml:space="preserve">roperty will be considered </w:t>
      </w:r>
      <w:r w:rsidRPr="00B41B81">
        <w:rPr>
          <w:i/>
          <w:iCs/>
        </w:rPr>
        <w:t>suitable for occupancy</w:t>
      </w:r>
      <w:r>
        <w:t xml:space="preserve"> unless the family demonstrates that the property:</w:t>
      </w:r>
    </w:p>
    <w:p w14:paraId="2CC47340" w14:textId="77777777" w:rsidR="00F02405" w:rsidRPr="00AD5464" w:rsidRDefault="00F02405" w:rsidP="007F177E">
      <w:pPr>
        <w:pStyle w:val="ListParagraph"/>
        <w:numPr>
          <w:ilvl w:val="0"/>
          <w:numId w:val="225"/>
        </w:numPr>
        <w:spacing w:before="240" w:after="120"/>
        <w:contextualSpacing w:val="0"/>
        <w:rPr>
          <w:rFonts w:cs="Arial"/>
          <w:szCs w:val="20"/>
        </w:rPr>
      </w:pPr>
      <w:r w:rsidRPr="00AD5464">
        <w:rPr>
          <w:rFonts w:cs="Arial"/>
          <w:szCs w:val="20"/>
        </w:rPr>
        <w:t>Does not meet the disability-related needs for all members of the family (e.g., physical accessibility requirements, disability-related need for additional bedrooms, proximity to accessible transportation);</w:t>
      </w:r>
    </w:p>
    <w:p w14:paraId="07862B81" w14:textId="77777777" w:rsidR="00F02405" w:rsidRPr="00AD5464" w:rsidRDefault="00F02405" w:rsidP="007F177E">
      <w:pPr>
        <w:pStyle w:val="ListParagraph"/>
        <w:numPr>
          <w:ilvl w:val="0"/>
          <w:numId w:val="225"/>
        </w:numPr>
        <w:spacing w:after="120"/>
        <w:contextualSpacing w:val="0"/>
        <w:rPr>
          <w:rFonts w:cs="Arial"/>
          <w:szCs w:val="20"/>
        </w:rPr>
      </w:pPr>
      <w:r w:rsidRPr="00AD5464">
        <w:rPr>
          <w:rFonts w:cs="Arial"/>
          <w:szCs w:val="20"/>
        </w:rPr>
        <w:t>Is not sufficient for the size of the family;</w:t>
      </w:r>
    </w:p>
    <w:p w14:paraId="413FB1C1" w14:textId="77777777" w:rsidR="00F02405" w:rsidRPr="00AD5464" w:rsidRDefault="00F02405" w:rsidP="007F177E">
      <w:pPr>
        <w:pStyle w:val="ListParagraph"/>
        <w:numPr>
          <w:ilvl w:val="0"/>
          <w:numId w:val="225"/>
        </w:numPr>
        <w:spacing w:after="120"/>
        <w:contextualSpacing w:val="0"/>
        <w:rPr>
          <w:rFonts w:cs="Arial"/>
          <w:szCs w:val="20"/>
        </w:rPr>
      </w:pPr>
      <w:r w:rsidRPr="00AD5464">
        <w:rPr>
          <w:rFonts w:cs="Arial"/>
          <w:szCs w:val="20"/>
        </w:rPr>
        <w:t>Is geographically located so as to be a hardship for the family (e.g., the distance or commuting time between the property and the family’s place of work or school would be a hardship to the family, as determined by HHA);</w:t>
      </w:r>
    </w:p>
    <w:p w14:paraId="4393144D" w14:textId="77777777" w:rsidR="00F02405" w:rsidRPr="00AD5464" w:rsidRDefault="00F02405" w:rsidP="007F177E">
      <w:pPr>
        <w:pStyle w:val="ListParagraph"/>
        <w:numPr>
          <w:ilvl w:val="0"/>
          <w:numId w:val="225"/>
        </w:numPr>
        <w:spacing w:after="120"/>
        <w:contextualSpacing w:val="0"/>
        <w:rPr>
          <w:rFonts w:cs="Arial"/>
          <w:szCs w:val="20"/>
        </w:rPr>
      </w:pPr>
      <w:r w:rsidRPr="00AD5464">
        <w:rPr>
          <w:rFonts w:cs="Arial"/>
          <w:szCs w:val="20"/>
        </w:rPr>
        <w:t>Is not safe to reside in because of the physical condition of the property (e.g., property’s physical condition poses a risk to the family’s health and safety and the condition of the property cannot be easily remedied); or</w:t>
      </w:r>
    </w:p>
    <w:p w14:paraId="7C7EA9FB" w14:textId="77777777" w:rsidR="00F02405" w:rsidRPr="00AD5464" w:rsidRDefault="00F02405" w:rsidP="007F177E">
      <w:pPr>
        <w:pStyle w:val="ListParagraph"/>
        <w:numPr>
          <w:ilvl w:val="0"/>
          <w:numId w:val="225"/>
        </w:numPr>
        <w:spacing w:after="120"/>
        <w:contextualSpacing w:val="0"/>
        <w:rPr>
          <w:rFonts w:cs="Arial"/>
          <w:szCs w:val="20"/>
        </w:rPr>
      </w:pPr>
      <w:r w:rsidRPr="00AD5464">
        <w:rPr>
          <w:rFonts w:cs="Arial"/>
          <w:szCs w:val="20"/>
        </w:rPr>
        <w:t>Is not a property that a family may reside in under the State or local laws of the jurisdiction where the property is located.</w:t>
      </w:r>
    </w:p>
    <w:p w14:paraId="224C047C" w14:textId="77777777" w:rsidR="00F02405" w:rsidRDefault="00F02405" w:rsidP="00F02405">
      <w:pPr>
        <w:pStyle w:val="ListParagraph"/>
      </w:pPr>
      <w:r>
        <w:t>This real property restriction does not apply to:</w:t>
      </w:r>
    </w:p>
    <w:p w14:paraId="5954DE17" w14:textId="77777777" w:rsidR="00F02405" w:rsidRPr="00AD5464" w:rsidRDefault="00F02405" w:rsidP="007F177E">
      <w:pPr>
        <w:pStyle w:val="ListParagraph"/>
        <w:numPr>
          <w:ilvl w:val="0"/>
          <w:numId w:val="226"/>
        </w:numPr>
        <w:spacing w:before="240" w:after="120"/>
        <w:contextualSpacing w:val="0"/>
        <w:rPr>
          <w:rFonts w:cs="Arial"/>
          <w:szCs w:val="20"/>
        </w:rPr>
      </w:pPr>
      <w:r w:rsidRPr="00AD5464">
        <w:rPr>
          <w:rFonts w:cs="Arial"/>
          <w:szCs w:val="20"/>
        </w:rPr>
        <w:t>Any property for which the family is receiving assistance under 24 CFR 982.620 or under the Homeownership Option in 24 CFR Part 982;</w:t>
      </w:r>
    </w:p>
    <w:p w14:paraId="27D8F86A" w14:textId="77777777" w:rsidR="00F02405" w:rsidRPr="00AD5464" w:rsidRDefault="00F02405" w:rsidP="007F177E">
      <w:pPr>
        <w:pStyle w:val="ListParagraph"/>
        <w:numPr>
          <w:ilvl w:val="0"/>
          <w:numId w:val="226"/>
        </w:numPr>
        <w:spacing w:after="120"/>
        <w:contextualSpacing w:val="0"/>
        <w:rPr>
          <w:rFonts w:cs="Arial"/>
          <w:szCs w:val="20"/>
        </w:rPr>
      </w:pPr>
      <w:r w:rsidRPr="00AD5464">
        <w:rPr>
          <w:rFonts w:cs="Arial"/>
          <w:szCs w:val="20"/>
        </w:rPr>
        <w:t>Any property that is jointly owned by a member of the family and at least one non-household member who does not live with the family, if the non-household member resides at the jointly owned property;</w:t>
      </w:r>
    </w:p>
    <w:p w14:paraId="49BECF1A" w14:textId="77777777" w:rsidR="00F02405" w:rsidRPr="00AD5464" w:rsidRDefault="00F02405" w:rsidP="007F177E">
      <w:pPr>
        <w:pStyle w:val="ListParagraph"/>
        <w:numPr>
          <w:ilvl w:val="0"/>
          <w:numId w:val="226"/>
        </w:numPr>
        <w:spacing w:after="120"/>
        <w:contextualSpacing w:val="0"/>
        <w:rPr>
          <w:rFonts w:cs="Arial"/>
          <w:szCs w:val="20"/>
        </w:rPr>
      </w:pPr>
      <w:r w:rsidRPr="00AD5464">
        <w:rPr>
          <w:rFonts w:cs="Arial"/>
          <w:szCs w:val="20"/>
        </w:rPr>
        <w:t xml:space="preserve">Any person who is a victim of </w:t>
      </w:r>
      <w:r w:rsidR="00891743" w:rsidRPr="006279F1">
        <w:rPr>
          <w:rFonts w:cs="Arial"/>
          <w:spacing w:val="-2"/>
        </w:rPr>
        <w:t>domestic violence, dating violence, sexual assault, stalking and/or human trafficking</w:t>
      </w:r>
      <w:r w:rsidRPr="00AD5464">
        <w:rPr>
          <w:rFonts w:cs="Arial"/>
          <w:szCs w:val="20"/>
        </w:rPr>
        <w:t xml:space="preserve"> as defined in 24 CFR 5, Subpart L; or</w:t>
      </w:r>
    </w:p>
    <w:p w14:paraId="381BF50F" w14:textId="77777777" w:rsidR="00F02405" w:rsidRPr="00AD5464" w:rsidRDefault="00F02405" w:rsidP="007F177E">
      <w:pPr>
        <w:pStyle w:val="ListParagraph"/>
        <w:numPr>
          <w:ilvl w:val="0"/>
          <w:numId w:val="226"/>
        </w:numPr>
        <w:spacing w:after="120"/>
        <w:contextualSpacing w:val="0"/>
        <w:rPr>
          <w:rFonts w:cs="Arial"/>
          <w:szCs w:val="20"/>
        </w:rPr>
      </w:pPr>
      <w:r w:rsidRPr="00AD5464">
        <w:rPr>
          <w:rFonts w:cs="Arial"/>
          <w:szCs w:val="20"/>
        </w:rPr>
        <w:t>Any family that is offering such property for sale.</w:t>
      </w:r>
    </w:p>
    <w:p w14:paraId="23950769" w14:textId="77777777" w:rsidR="00F02405" w:rsidRDefault="00F02405" w:rsidP="00F02405">
      <w:r w:rsidRPr="009D4822">
        <w:t xml:space="preserve">Upon implementation of the HOTMA final rule, </w:t>
      </w:r>
      <w:r>
        <w:t>HHA</w:t>
      </w:r>
      <w:r w:rsidRPr="009D4822">
        <w:t xml:space="preserve"> will delay termination of assistance for recertifying households only for up to 6 months and the family </w:t>
      </w:r>
      <w:r>
        <w:t xml:space="preserve">will be given the opportunity to </w:t>
      </w:r>
      <w:r w:rsidRPr="009D4822">
        <w:t xml:space="preserve">come into compliance </w:t>
      </w:r>
      <w:r>
        <w:t xml:space="preserve">with the asset policies </w:t>
      </w:r>
      <w:r w:rsidRPr="009D4822">
        <w:t>during that time. There is no exception for new admission households to this restriction of assistance based on assets.</w:t>
      </w:r>
    </w:p>
    <w:p w14:paraId="2749FB26" w14:textId="77777777" w:rsidR="004A6828" w:rsidRPr="00765546" w:rsidRDefault="004A6828" w:rsidP="00BB64BD">
      <w:pPr>
        <w:pStyle w:val="Heading2"/>
      </w:pPr>
      <w:bookmarkStart w:id="443" w:name="_Toc143861572"/>
      <w:bookmarkStart w:id="444" w:name="_Ref163720798"/>
      <w:bookmarkStart w:id="445" w:name="_Toc173222654"/>
      <w:bookmarkStart w:id="446" w:name="_Toc200375538"/>
      <w:bookmarkStart w:id="447" w:name="_Toc200376920"/>
      <w:r w:rsidRPr="00765546">
        <w:t xml:space="preserve">Citizenship </w:t>
      </w:r>
      <w:r>
        <w:t>o</w:t>
      </w:r>
      <w:r w:rsidRPr="00765546">
        <w:t>r Eligible Immigration Status</w:t>
      </w:r>
      <w:bookmarkEnd w:id="443"/>
      <w:bookmarkEnd w:id="444"/>
      <w:bookmarkEnd w:id="445"/>
      <w:bookmarkEnd w:id="446"/>
      <w:bookmarkEnd w:id="447"/>
    </w:p>
    <w:p w14:paraId="5C349687" w14:textId="624C67AB" w:rsidR="004A6828" w:rsidRPr="00765546" w:rsidRDefault="004A6828" w:rsidP="004A6828">
      <w:pPr>
        <w:rPr>
          <w:rFonts w:cs="Arial"/>
          <w:szCs w:val="20"/>
        </w:rPr>
      </w:pPr>
      <w:r w:rsidRPr="00765546">
        <w:rPr>
          <w:rFonts w:cs="Arial"/>
          <w:szCs w:val="20"/>
        </w:rPr>
        <w:t xml:space="preserve">Housing assistance is available only to individuals who are U.S. citizens, U.S. nationals (herein referred to as citizens and nationals), or </w:t>
      </w:r>
      <w:r w:rsidR="00863F02">
        <w:rPr>
          <w:rFonts w:cs="Arial"/>
          <w:szCs w:val="20"/>
        </w:rPr>
        <w:t>noncitizen</w:t>
      </w:r>
      <w:r w:rsidRPr="00765546">
        <w:rPr>
          <w:rFonts w:cs="Arial"/>
          <w:szCs w:val="20"/>
        </w:rPr>
        <w:t xml:space="preserve">s that have eligible immigration status. At least one family member must be a citizen, national, or </w:t>
      </w:r>
      <w:r w:rsidR="00863F02">
        <w:rPr>
          <w:rFonts w:cs="Arial"/>
          <w:szCs w:val="20"/>
        </w:rPr>
        <w:t>noncitizen</w:t>
      </w:r>
      <w:r w:rsidRPr="00765546">
        <w:rPr>
          <w:rFonts w:cs="Arial"/>
          <w:szCs w:val="20"/>
        </w:rPr>
        <w:t xml:space="preserve"> with eligible immigration status in order for the family to qualify for any level of assistance. See </w:t>
      </w:r>
      <w:r w:rsidR="008B23F0" w:rsidRPr="008B23F0">
        <w:rPr>
          <w:rFonts w:cs="Arial"/>
          <w:b/>
          <w:color w:val="0070C0"/>
          <w:szCs w:val="20"/>
        </w:rPr>
        <w:fldChar w:fldCharType="begin"/>
      </w:r>
      <w:r w:rsidR="008B23F0" w:rsidRPr="008B23F0">
        <w:rPr>
          <w:rFonts w:cs="Arial"/>
          <w:b/>
          <w:color w:val="0070C0"/>
          <w:szCs w:val="20"/>
        </w:rPr>
        <w:instrText xml:space="preserve"> REF _Ref149128791 \h  \* MERGEFORMAT </w:instrText>
      </w:r>
      <w:r w:rsidR="008B23F0" w:rsidRPr="008B23F0">
        <w:rPr>
          <w:rFonts w:cs="Arial"/>
          <w:b/>
          <w:color w:val="0070C0"/>
          <w:szCs w:val="20"/>
        </w:rPr>
      </w:r>
      <w:r w:rsidR="008B23F0" w:rsidRPr="008B23F0">
        <w:rPr>
          <w:rFonts w:cs="Arial"/>
          <w:b/>
          <w:color w:val="0070C0"/>
          <w:szCs w:val="20"/>
        </w:rPr>
        <w:fldChar w:fldCharType="separate"/>
      </w:r>
      <w:r w:rsidR="008B23F0" w:rsidRPr="008B23F0">
        <w:rPr>
          <w:b/>
          <w:color w:val="0070C0"/>
        </w:rPr>
        <w:t>Verification of U.S. Citizenship and of Eligible Immigration Status</w:t>
      </w:r>
      <w:r w:rsidR="008B23F0" w:rsidRPr="008B23F0">
        <w:rPr>
          <w:rFonts w:cs="Arial"/>
          <w:b/>
          <w:color w:val="0070C0"/>
          <w:szCs w:val="20"/>
        </w:rPr>
        <w:fldChar w:fldCharType="end"/>
      </w:r>
      <w:r w:rsidRPr="00765546">
        <w:rPr>
          <w:rFonts w:cs="Arial"/>
          <w:szCs w:val="20"/>
        </w:rPr>
        <w:t xml:space="preserve"> policies in the </w:t>
      </w:r>
      <w:r w:rsidR="00915B01" w:rsidRPr="00915B01">
        <w:rPr>
          <w:rFonts w:cs="Arial"/>
          <w:b/>
          <w:bCs/>
          <w:color w:val="0070C0"/>
          <w:szCs w:val="20"/>
        </w:rPr>
        <w:fldChar w:fldCharType="begin"/>
      </w:r>
      <w:r w:rsidR="00915B01" w:rsidRPr="00915B01">
        <w:rPr>
          <w:rFonts w:cs="Arial"/>
          <w:b/>
          <w:bCs/>
          <w:color w:val="0070C0"/>
          <w:szCs w:val="20"/>
        </w:rPr>
        <w:instrText xml:space="preserve"> REF _Ref150438144 \h  \* MERGEFORMAT </w:instrText>
      </w:r>
      <w:r w:rsidR="00915B01" w:rsidRPr="00915B01">
        <w:rPr>
          <w:rFonts w:cs="Arial"/>
          <w:b/>
          <w:bCs/>
          <w:color w:val="0070C0"/>
          <w:szCs w:val="20"/>
        </w:rPr>
      </w:r>
      <w:r w:rsidR="00915B01" w:rsidRPr="00915B01">
        <w:rPr>
          <w:rFonts w:cs="Arial"/>
          <w:b/>
          <w:bCs/>
          <w:color w:val="0070C0"/>
          <w:szCs w:val="20"/>
        </w:rPr>
        <w:fldChar w:fldCharType="separate"/>
      </w:r>
      <w:r w:rsidR="00915B01" w:rsidRPr="00915B01">
        <w:rPr>
          <w:b/>
          <w:bCs/>
          <w:color w:val="0070C0"/>
        </w:rPr>
        <w:t>VERIFICATION</w:t>
      </w:r>
      <w:r w:rsidR="00915B01" w:rsidRPr="00915B01">
        <w:rPr>
          <w:rFonts w:cs="Arial"/>
          <w:b/>
          <w:bCs/>
          <w:color w:val="0070C0"/>
          <w:szCs w:val="20"/>
        </w:rPr>
        <w:fldChar w:fldCharType="end"/>
      </w:r>
      <w:r w:rsidRPr="00765546">
        <w:rPr>
          <w:rFonts w:cs="Arial"/>
          <w:szCs w:val="20"/>
        </w:rPr>
        <w:t xml:space="preserve"> chapter.</w:t>
      </w:r>
    </w:p>
    <w:p w14:paraId="687F9BF2" w14:textId="77777777" w:rsidR="004A6828" w:rsidRPr="00765546" w:rsidRDefault="004A6828" w:rsidP="00677451">
      <w:pPr>
        <w:pStyle w:val="Heading3"/>
      </w:pPr>
      <w:bookmarkStart w:id="448" w:name="_Toc521054804"/>
      <w:bookmarkStart w:id="449" w:name="_Toc527019330"/>
      <w:bookmarkStart w:id="450" w:name="_Toc534706865"/>
      <w:bookmarkStart w:id="451" w:name="_Toc534707543"/>
      <w:bookmarkStart w:id="452" w:name="_Toc534708351"/>
      <w:bookmarkStart w:id="453" w:name="_Toc118115930"/>
      <w:bookmarkStart w:id="454" w:name="_Toc200375539"/>
      <w:r w:rsidRPr="00765546">
        <w:t>Declaration of Citizenship</w:t>
      </w:r>
      <w:bookmarkEnd w:id="448"/>
      <w:bookmarkEnd w:id="449"/>
      <w:bookmarkEnd w:id="450"/>
      <w:bookmarkEnd w:id="451"/>
      <w:bookmarkEnd w:id="452"/>
      <w:bookmarkEnd w:id="453"/>
      <w:bookmarkEnd w:id="454"/>
    </w:p>
    <w:p w14:paraId="028E8A21" w14:textId="77777777" w:rsidR="004A6828" w:rsidRPr="00765546" w:rsidRDefault="004A6828" w:rsidP="004A6828">
      <w:pPr>
        <w:rPr>
          <w:rFonts w:cs="Arial"/>
          <w:szCs w:val="20"/>
        </w:rPr>
      </w:pPr>
      <w:r w:rsidRPr="00765546">
        <w:rPr>
          <w:rFonts w:cs="Arial"/>
          <w:szCs w:val="20"/>
        </w:rPr>
        <w:t xml:space="preserve">Each family member must declare whether he/she is a citizen, a national, eligible </w:t>
      </w:r>
      <w:r w:rsidR="00863F02">
        <w:rPr>
          <w:rFonts w:cs="Arial"/>
          <w:szCs w:val="20"/>
        </w:rPr>
        <w:t>noncitizen</w:t>
      </w:r>
      <w:r w:rsidRPr="00765546">
        <w:rPr>
          <w:rFonts w:cs="Arial"/>
          <w:szCs w:val="20"/>
        </w:rPr>
        <w:t xml:space="preserve">, or an individual who elects not to contend that they have eligible immigration status. For citizens, nationals and eligible noncitizens the declaration must be signed personally by the head, spouse, co-head, and any other family member 18 or older, and by a parent or guardian for minors. </w:t>
      </w:r>
    </w:p>
    <w:p w14:paraId="3155C717" w14:textId="77777777" w:rsidR="004A6828" w:rsidRPr="00765546" w:rsidRDefault="004A6828" w:rsidP="004A6828">
      <w:pPr>
        <w:rPr>
          <w:rFonts w:cs="Arial"/>
          <w:szCs w:val="20"/>
        </w:rPr>
      </w:pPr>
      <w:r w:rsidRPr="00765546">
        <w:rPr>
          <w:rFonts w:cs="Arial"/>
          <w:szCs w:val="20"/>
        </w:rPr>
        <w:t xml:space="preserve">Those who elect not to contend their status are considered to be ineligible </w:t>
      </w:r>
      <w:r w:rsidR="00863F02">
        <w:rPr>
          <w:rFonts w:cs="Arial"/>
          <w:szCs w:val="20"/>
        </w:rPr>
        <w:t>noncitizen</w:t>
      </w:r>
      <w:r w:rsidRPr="00765546">
        <w:rPr>
          <w:rFonts w:cs="Arial"/>
          <w:szCs w:val="20"/>
        </w:rPr>
        <w:t>s. The family must identify in writing any family members who elect not to contend their immigration status.</w:t>
      </w:r>
    </w:p>
    <w:p w14:paraId="42C3928D" w14:textId="77777777" w:rsidR="004A6828" w:rsidRPr="00765546" w:rsidRDefault="004A6828" w:rsidP="004A6828">
      <w:pPr>
        <w:rPr>
          <w:rFonts w:cs="Arial"/>
          <w:szCs w:val="20"/>
        </w:rPr>
      </w:pPr>
      <w:r w:rsidRPr="00765546">
        <w:rPr>
          <w:rFonts w:cs="Arial"/>
          <w:szCs w:val="20"/>
        </w:rPr>
        <w:t xml:space="preserve"> No declaration is required for live-in aides, foster children, or foster adults.</w:t>
      </w:r>
    </w:p>
    <w:p w14:paraId="63DA09DB" w14:textId="77777777" w:rsidR="004A6828" w:rsidRPr="00765546" w:rsidRDefault="004A6828" w:rsidP="00677451">
      <w:pPr>
        <w:pStyle w:val="Heading3"/>
      </w:pPr>
      <w:bookmarkStart w:id="455" w:name="_Toc521054805"/>
      <w:bookmarkStart w:id="456" w:name="_Toc527019331"/>
      <w:bookmarkStart w:id="457" w:name="_Toc534706866"/>
      <w:bookmarkStart w:id="458" w:name="_Toc534707544"/>
      <w:bookmarkStart w:id="459" w:name="_Toc534708352"/>
      <w:bookmarkStart w:id="460" w:name="_Toc118115931"/>
      <w:bookmarkStart w:id="461" w:name="_Toc200375540"/>
      <w:r w:rsidRPr="00765546">
        <w:t>U.S. Citizens and Nationals</w:t>
      </w:r>
      <w:bookmarkEnd w:id="455"/>
      <w:bookmarkEnd w:id="456"/>
      <w:bookmarkEnd w:id="457"/>
      <w:bookmarkEnd w:id="458"/>
      <w:bookmarkEnd w:id="459"/>
      <w:bookmarkEnd w:id="460"/>
      <w:bookmarkEnd w:id="461"/>
    </w:p>
    <w:p w14:paraId="3EB90035" w14:textId="77777777" w:rsidR="004A6828" w:rsidRPr="00765546" w:rsidRDefault="004A6828" w:rsidP="004A6828">
      <w:pPr>
        <w:rPr>
          <w:rFonts w:cs="Arial"/>
          <w:szCs w:val="20"/>
        </w:rPr>
      </w:pPr>
      <w:r w:rsidRPr="00765546">
        <w:rPr>
          <w:rFonts w:cs="Arial"/>
          <w:szCs w:val="20"/>
        </w:rPr>
        <w:t xml:space="preserve">Citizens and nationals are required to submit only a signed declaration as verification of their status.  </w:t>
      </w:r>
    </w:p>
    <w:p w14:paraId="5A49CF70" w14:textId="77777777" w:rsidR="004A6828" w:rsidRPr="00765546" w:rsidRDefault="004A6828" w:rsidP="004A6828">
      <w:pPr>
        <w:rPr>
          <w:rFonts w:cs="Arial"/>
          <w:szCs w:val="20"/>
        </w:rPr>
      </w:pPr>
      <w:r w:rsidRPr="00765546">
        <w:rPr>
          <w:rFonts w:cs="Arial"/>
          <w:szCs w:val="20"/>
        </w:rPr>
        <w:t xml:space="preserve">Family members who declare citizenship or national status will not be required to provide additional documentation unless </w:t>
      </w:r>
      <w:r>
        <w:rPr>
          <w:rFonts w:cs="Arial"/>
          <w:szCs w:val="20"/>
        </w:rPr>
        <w:t>HHA</w:t>
      </w:r>
      <w:r w:rsidRPr="00765546">
        <w:rPr>
          <w:rFonts w:cs="Arial"/>
          <w:szCs w:val="20"/>
        </w:rPr>
        <w:t xml:space="preserve"> receives information indicating that an individual’s declaration may not be accurate.</w:t>
      </w:r>
    </w:p>
    <w:p w14:paraId="5CA7E1E3" w14:textId="77777777" w:rsidR="004A6828" w:rsidRPr="00765546" w:rsidRDefault="004A6828" w:rsidP="00677451">
      <w:pPr>
        <w:pStyle w:val="Heading3"/>
      </w:pPr>
      <w:bookmarkStart w:id="462" w:name="_Toc521054806"/>
      <w:bookmarkStart w:id="463" w:name="_Toc527019332"/>
      <w:bookmarkStart w:id="464" w:name="_Toc534706867"/>
      <w:bookmarkStart w:id="465" w:name="_Toc534707545"/>
      <w:bookmarkStart w:id="466" w:name="_Toc534708353"/>
      <w:bookmarkStart w:id="467" w:name="_Toc118115932"/>
      <w:bookmarkStart w:id="468" w:name="_Toc200375541"/>
      <w:r w:rsidRPr="00765546">
        <w:t>Eligible Non</w:t>
      </w:r>
      <w:r w:rsidR="00863F02">
        <w:t>c</w:t>
      </w:r>
      <w:r w:rsidRPr="00765546">
        <w:t>itizens</w:t>
      </w:r>
      <w:bookmarkEnd w:id="462"/>
      <w:bookmarkEnd w:id="463"/>
      <w:bookmarkEnd w:id="464"/>
      <w:bookmarkEnd w:id="465"/>
      <w:bookmarkEnd w:id="466"/>
      <w:bookmarkEnd w:id="467"/>
      <w:bookmarkEnd w:id="468"/>
    </w:p>
    <w:p w14:paraId="2F91B861" w14:textId="77777777" w:rsidR="004A6828" w:rsidRPr="00765546" w:rsidRDefault="004A6828" w:rsidP="004A6828">
      <w:pPr>
        <w:rPr>
          <w:rFonts w:cs="Arial"/>
          <w:szCs w:val="20"/>
        </w:rPr>
      </w:pPr>
      <w:r w:rsidRPr="00765546">
        <w:rPr>
          <w:rFonts w:cs="Arial"/>
          <w:szCs w:val="20"/>
        </w:rPr>
        <w:t xml:space="preserve">In addition to providing a signed declaration, those declaring eligible noncitizen status must provide documentation to confirm the claimed citizenship status and cooperate with </w:t>
      </w:r>
      <w:r>
        <w:rPr>
          <w:rFonts w:cs="Arial"/>
          <w:szCs w:val="20"/>
        </w:rPr>
        <w:t>HHA</w:t>
      </w:r>
      <w:r w:rsidRPr="00765546">
        <w:rPr>
          <w:rFonts w:cs="Arial"/>
          <w:szCs w:val="20"/>
        </w:rPr>
        <w:t xml:space="preserve"> efforts to verify their immigration status. </w:t>
      </w:r>
    </w:p>
    <w:p w14:paraId="045B1ED5" w14:textId="77777777" w:rsidR="004A6828" w:rsidRPr="00765546" w:rsidRDefault="004A6828" w:rsidP="004A6828">
      <w:pPr>
        <w:rPr>
          <w:rFonts w:cs="Arial"/>
          <w:szCs w:val="20"/>
        </w:rPr>
      </w:pPr>
      <w:r w:rsidRPr="00765546">
        <w:rPr>
          <w:rFonts w:cs="Arial"/>
          <w:szCs w:val="20"/>
        </w:rPr>
        <w:t>The documentation required for establishing eligible noncitizen status varies depending upon factors such as the date the person entered the U.S., the conditions under which eligible immigration status has been granted, the person’s age, and the date on which the family began receiving HUD-funded assistance.</w:t>
      </w:r>
    </w:p>
    <w:p w14:paraId="36BA90B2" w14:textId="77777777" w:rsidR="004A6828" w:rsidRPr="00765546" w:rsidRDefault="004A6828" w:rsidP="004A6828">
      <w:pPr>
        <w:rPr>
          <w:rFonts w:cs="Arial"/>
          <w:szCs w:val="20"/>
        </w:rPr>
      </w:pPr>
      <w:r w:rsidRPr="00765546">
        <w:rPr>
          <w:rFonts w:cs="Arial"/>
          <w:szCs w:val="20"/>
        </w:rPr>
        <w:t>Lawful residents of the Marshall Islands, the Federated States of Micronesia, and Palau, together known as the Freely Associated States, or FAS, are eligible for housing assistance under section 141 of the Compacts of Free Association between the U.S. Government and the Governments of the FAS.</w:t>
      </w:r>
    </w:p>
    <w:p w14:paraId="2E4DC2CC" w14:textId="77777777" w:rsidR="004A6828" w:rsidRPr="00765546" w:rsidRDefault="004A6828" w:rsidP="004A6828">
      <w:pPr>
        <w:rPr>
          <w:rFonts w:cs="Arial"/>
          <w:szCs w:val="20"/>
        </w:rPr>
      </w:pPr>
      <w:r>
        <w:rPr>
          <w:rFonts w:cs="Arial"/>
          <w:szCs w:val="20"/>
        </w:rPr>
        <w:t>HHA</w:t>
      </w:r>
      <w:r w:rsidRPr="00765546">
        <w:rPr>
          <w:rFonts w:cs="Arial"/>
          <w:szCs w:val="20"/>
        </w:rPr>
        <w:t xml:space="preserve"> will use the USCIS SAVE system to verify eligible immigration status.</w:t>
      </w:r>
    </w:p>
    <w:p w14:paraId="7836E68B" w14:textId="77777777" w:rsidR="004A6828" w:rsidRPr="00765546" w:rsidRDefault="004A6828" w:rsidP="00677451">
      <w:pPr>
        <w:pStyle w:val="Heading3"/>
      </w:pPr>
      <w:bookmarkStart w:id="469" w:name="_Toc521054807"/>
      <w:bookmarkStart w:id="470" w:name="_Toc527019333"/>
      <w:bookmarkStart w:id="471" w:name="_Toc534706868"/>
      <w:bookmarkStart w:id="472" w:name="_Toc534707546"/>
      <w:bookmarkStart w:id="473" w:name="_Toc534708354"/>
      <w:bookmarkStart w:id="474" w:name="_Toc118115933"/>
      <w:bookmarkStart w:id="475" w:name="_Toc200375542"/>
      <w:r w:rsidRPr="00765546">
        <w:t>Ineligible Non</w:t>
      </w:r>
      <w:r w:rsidR="00863F02">
        <w:t>c</w:t>
      </w:r>
      <w:r w:rsidRPr="00765546">
        <w:t>itizens</w:t>
      </w:r>
      <w:bookmarkEnd w:id="469"/>
      <w:bookmarkEnd w:id="470"/>
      <w:bookmarkEnd w:id="471"/>
      <w:bookmarkEnd w:id="472"/>
      <w:bookmarkEnd w:id="473"/>
      <w:bookmarkEnd w:id="474"/>
      <w:bookmarkEnd w:id="475"/>
    </w:p>
    <w:p w14:paraId="6D376BEA" w14:textId="77777777" w:rsidR="004A6828" w:rsidRPr="00765546" w:rsidRDefault="004A6828" w:rsidP="004A6828">
      <w:pPr>
        <w:rPr>
          <w:rFonts w:cs="Arial"/>
          <w:szCs w:val="20"/>
        </w:rPr>
      </w:pPr>
      <w:r w:rsidRPr="00765546">
        <w:rPr>
          <w:rFonts w:cs="Arial"/>
          <w:szCs w:val="20"/>
        </w:rPr>
        <w:t xml:space="preserve">Ineligible </w:t>
      </w:r>
      <w:r w:rsidR="00863F02">
        <w:rPr>
          <w:rFonts w:cs="Arial"/>
          <w:szCs w:val="20"/>
        </w:rPr>
        <w:t>noncitizen</w:t>
      </w:r>
      <w:r w:rsidRPr="00765546">
        <w:rPr>
          <w:rFonts w:cs="Arial"/>
          <w:szCs w:val="20"/>
        </w:rPr>
        <w:t xml:space="preserve">s are those </w:t>
      </w:r>
      <w:r w:rsidR="00863F02">
        <w:rPr>
          <w:rFonts w:cs="Arial"/>
          <w:szCs w:val="20"/>
        </w:rPr>
        <w:t>noncitizen</w:t>
      </w:r>
      <w:r w:rsidRPr="00765546">
        <w:rPr>
          <w:rFonts w:cs="Arial"/>
          <w:szCs w:val="20"/>
        </w:rPr>
        <w:t xml:space="preserve">s who do not wish to contend their immigration status are required to have their names listed on a non-contending family members listing, signed by the head, spouse, or co-head (regardless of citizenship status), indicating their ineligible immigration status. </w:t>
      </w:r>
      <w:r>
        <w:rPr>
          <w:rFonts w:cs="Arial"/>
          <w:szCs w:val="20"/>
        </w:rPr>
        <w:t>HHA</w:t>
      </w:r>
      <w:r w:rsidRPr="00765546">
        <w:rPr>
          <w:rFonts w:cs="Arial"/>
          <w:szCs w:val="20"/>
        </w:rPr>
        <w:t xml:space="preserve"> is not required to verify a family member’s ineligible status and is not required to report an individual’s unlawful presence in the U.S. to the United States Citizenship and Immigration Services (USCIS).</w:t>
      </w:r>
    </w:p>
    <w:p w14:paraId="0233CEF2" w14:textId="77777777" w:rsidR="004A6828" w:rsidRPr="00765546" w:rsidRDefault="004A6828" w:rsidP="004A6828">
      <w:pPr>
        <w:rPr>
          <w:rFonts w:cs="Arial"/>
          <w:szCs w:val="20"/>
        </w:rPr>
      </w:pPr>
      <w:r w:rsidRPr="00765546">
        <w:rPr>
          <w:rFonts w:cs="Arial"/>
          <w:szCs w:val="20"/>
        </w:rPr>
        <w:t xml:space="preserve">Providing housing assistance to </w:t>
      </w:r>
      <w:r w:rsidR="00863F02">
        <w:rPr>
          <w:rFonts w:cs="Arial"/>
          <w:szCs w:val="20"/>
        </w:rPr>
        <w:t>noncitizen</w:t>
      </w:r>
      <w:r w:rsidRPr="00765546">
        <w:rPr>
          <w:rFonts w:cs="Arial"/>
          <w:szCs w:val="20"/>
        </w:rPr>
        <w:t xml:space="preserve"> students is prohibited. This prohibition extends to the </w:t>
      </w:r>
      <w:r w:rsidR="00863F02">
        <w:rPr>
          <w:rFonts w:cs="Arial"/>
          <w:szCs w:val="20"/>
        </w:rPr>
        <w:t>noncitizen</w:t>
      </w:r>
      <w:r w:rsidRPr="00765546">
        <w:rPr>
          <w:rFonts w:cs="Arial"/>
          <w:szCs w:val="20"/>
        </w:rPr>
        <w:t xml:space="preserve"> spouse of a </w:t>
      </w:r>
      <w:r w:rsidR="00863F02">
        <w:rPr>
          <w:rFonts w:cs="Arial"/>
          <w:szCs w:val="20"/>
        </w:rPr>
        <w:t>noncitizen</w:t>
      </w:r>
      <w:r w:rsidRPr="00765546">
        <w:rPr>
          <w:rFonts w:cs="Arial"/>
          <w:szCs w:val="20"/>
        </w:rPr>
        <w:t xml:space="preserve"> student as well as to minor children who accompany or follow to join the </w:t>
      </w:r>
      <w:r w:rsidR="00863F02">
        <w:rPr>
          <w:rFonts w:cs="Arial"/>
          <w:szCs w:val="20"/>
        </w:rPr>
        <w:t>noncitizen</w:t>
      </w:r>
      <w:r w:rsidRPr="00765546">
        <w:rPr>
          <w:rFonts w:cs="Arial"/>
          <w:szCs w:val="20"/>
        </w:rPr>
        <w:t xml:space="preserve"> student. Such prohibition does not extend to the citizen spouse of a </w:t>
      </w:r>
      <w:r w:rsidR="00863F02">
        <w:rPr>
          <w:rFonts w:cs="Arial"/>
          <w:szCs w:val="20"/>
        </w:rPr>
        <w:t>noncitizen</w:t>
      </w:r>
      <w:r w:rsidRPr="00765546">
        <w:rPr>
          <w:rFonts w:cs="Arial"/>
          <w:szCs w:val="20"/>
        </w:rPr>
        <w:t xml:space="preserve"> student or to the children of the citizen spouse and </w:t>
      </w:r>
      <w:r w:rsidR="00863F02">
        <w:rPr>
          <w:rFonts w:cs="Arial"/>
          <w:szCs w:val="20"/>
        </w:rPr>
        <w:t>noncitizen</w:t>
      </w:r>
      <w:r w:rsidRPr="00765546">
        <w:rPr>
          <w:rFonts w:cs="Arial"/>
          <w:szCs w:val="20"/>
        </w:rPr>
        <w:t xml:space="preserve"> student. Such a family is eligible for prorated assistance as a mixed family.</w:t>
      </w:r>
    </w:p>
    <w:p w14:paraId="1896D2CA" w14:textId="77777777" w:rsidR="004A6828" w:rsidRPr="00765546" w:rsidRDefault="004A6828" w:rsidP="00677451">
      <w:pPr>
        <w:pStyle w:val="Heading3"/>
      </w:pPr>
      <w:bookmarkStart w:id="476" w:name="_Toc521054808"/>
      <w:bookmarkStart w:id="477" w:name="_Toc527019334"/>
      <w:bookmarkStart w:id="478" w:name="_Toc534706869"/>
      <w:bookmarkStart w:id="479" w:name="_Toc534707547"/>
      <w:bookmarkStart w:id="480" w:name="_Toc534708355"/>
      <w:bookmarkStart w:id="481" w:name="_Toc118115934"/>
      <w:bookmarkStart w:id="482" w:name="_Toc200375543"/>
      <w:r w:rsidRPr="00765546">
        <w:t>Mixed Families</w:t>
      </w:r>
      <w:bookmarkEnd w:id="476"/>
      <w:bookmarkEnd w:id="477"/>
      <w:bookmarkEnd w:id="478"/>
      <w:bookmarkEnd w:id="479"/>
      <w:bookmarkEnd w:id="480"/>
      <w:bookmarkEnd w:id="481"/>
      <w:bookmarkEnd w:id="482"/>
    </w:p>
    <w:p w14:paraId="6D213DB0" w14:textId="77777777" w:rsidR="004A6828" w:rsidRPr="00765546" w:rsidRDefault="004A6828" w:rsidP="004A6828">
      <w:pPr>
        <w:rPr>
          <w:rFonts w:cs="Arial"/>
          <w:szCs w:val="20"/>
        </w:rPr>
      </w:pPr>
      <w:r w:rsidRPr="00765546">
        <w:rPr>
          <w:rFonts w:cs="Arial"/>
          <w:szCs w:val="20"/>
        </w:rPr>
        <w:t xml:space="preserve">A family is eligible for assistance as long as at least one member is a citizen, national, or eligible </w:t>
      </w:r>
      <w:r w:rsidR="00863F02">
        <w:rPr>
          <w:rFonts w:cs="Arial"/>
          <w:szCs w:val="20"/>
        </w:rPr>
        <w:t>noncitizen</w:t>
      </w:r>
      <w:r w:rsidRPr="00765546">
        <w:rPr>
          <w:rFonts w:cs="Arial"/>
          <w:szCs w:val="20"/>
        </w:rPr>
        <w:t xml:space="preserve">. Families that include eligible and ineligible individuals are considered </w:t>
      </w:r>
      <w:r w:rsidRPr="00D9438C">
        <w:rPr>
          <w:rFonts w:cs="Arial"/>
          <w:i/>
          <w:iCs/>
          <w:szCs w:val="20"/>
        </w:rPr>
        <w:t>mixed families</w:t>
      </w:r>
      <w:r w:rsidRPr="00765546">
        <w:rPr>
          <w:rFonts w:cs="Arial"/>
          <w:szCs w:val="20"/>
        </w:rPr>
        <w:t>. Assistance to mixed families shall be prorated.  Families will receive notice of determination as a mixed family. The notice will include the fact that assistance will be prorated and that the family may request a hearing if they contest this determination.</w:t>
      </w:r>
    </w:p>
    <w:p w14:paraId="2F488386" w14:textId="77777777" w:rsidR="004A6828" w:rsidRPr="00765546" w:rsidRDefault="004A6828" w:rsidP="00677451">
      <w:pPr>
        <w:pStyle w:val="Heading3"/>
      </w:pPr>
      <w:bookmarkStart w:id="483" w:name="_Toc118115935"/>
      <w:bookmarkStart w:id="484" w:name="_Toc200375544"/>
      <w:r w:rsidRPr="00765546">
        <w:t>Ineligible Families</w:t>
      </w:r>
      <w:bookmarkEnd w:id="483"/>
      <w:bookmarkEnd w:id="484"/>
    </w:p>
    <w:p w14:paraId="0BEA6574" w14:textId="77777777" w:rsidR="004A6828" w:rsidRPr="00765546" w:rsidRDefault="004A6828" w:rsidP="004A6828">
      <w:pPr>
        <w:autoSpaceDE w:val="0"/>
        <w:autoSpaceDN w:val="0"/>
        <w:adjustRightInd w:val="0"/>
        <w:rPr>
          <w:rFonts w:cs="Arial"/>
          <w:color w:val="000000"/>
          <w:szCs w:val="20"/>
        </w:rPr>
      </w:pPr>
      <w:r>
        <w:rPr>
          <w:rFonts w:cs="Arial"/>
          <w:color w:val="000000"/>
          <w:szCs w:val="20"/>
        </w:rPr>
        <w:t>HHA</w:t>
      </w:r>
      <w:r w:rsidRPr="00765546">
        <w:rPr>
          <w:rFonts w:cs="Arial"/>
          <w:color w:val="000000"/>
          <w:szCs w:val="20"/>
        </w:rPr>
        <w:t xml:space="preserve"> will not provide assistance to a family before the verification of at least one family member.</w:t>
      </w:r>
    </w:p>
    <w:p w14:paraId="3A42C857" w14:textId="77777777" w:rsidR="004A6828" w:rsidRPr="00765546" w:rsidRDefault="004A6828" w:rsidP="004A6828">
      <w:pPr>
        <w:autoSpaceDE w:val="0"/>
        <w:autoSpaceDN w:val="0"/>
        <w:adjustRightInd w:val="0"/>
        <w:rPr>
          <w:rFonts w:cs="Arial"/>
          <w:color w:val="000000"/>
          <w:szCs w:val="20"/>
        </w:rPr>
      </w:pPr>
      <w:r w:rsidRPr="00765546">
        <w:rPr>
          <w:rFonts w:cs="Arial"/>
          <w:color w:val="000000"/>
          <w:szCs w:val="20"/>
        </w:rPr>
        <w:t xml:space="preserve">When a </w:t>
      </w:r>
      <w:r>
        <w:rPr>
          <w:rFonts w:cs="Arial"/>
          <w:color w:val="000000"/>
          <w:szCs w:val="20"/>
        </w:rPr>
        <w:t>HHA</w:t>
      </w:r>
      <w:r w:rsidRPr="00765546">
        <w:rPr>
          <w:rFonts w:cs="Arial"/>
          <w:color w:val="000000"/>
          <w:szCs w:val="20"/>
        </w:rPr>
        <w:t xml:space="preserve"> determines that an applicant family does not include any citizens, nationals, or eligible noncitizens, following the verification process, the family will be sent a written notice of the determination. </w:t>
      </w:r>
    </w:p>
    <w:p w14:paraId="2F0C8A19" w14:textId="77777777" w:rsidR="004A6828" w:rsidRPr="00765546" w:rsidRDefault="004A6828" w:rsidP="004A6828">
      <w:pPr>
        <w:rPr>
          <w:rFonts w:cs="Arial"/>
          <w:color w:val="000000"/>
          <w:szCs w:val="20"/>
        </w:rPr>
      </w:pPr>
      <w:r w:rsidRPr="00765546">
        <w:rPr>
          <w:rFonts w:cs="Arial"/>
          <w:color w:val="000000"/>
          <w:szCs w:val="20"/>
        </w:rPr>
        <w:t xml:space="preserve">The notice will explain the reasons for the denial of assistance, that the family may be eligible for proration of assistance, and will advise the family of its right to request an appeal to the United States Citizenship and Immigration Services (USCIS), or to request </w:t>
      </w:r>
      <w:r w:rsidR="00033A55">
        <w:rPr>
          <w:rFonts w:cs="Arial"/>
          <w:color w:val="000000"/>
          <w:szCs w:val="20"/>
        </w:rPr>
        <w:t>a grievance</w:t>
      </w:r>
      <w:r w:rsidRPr="00765546">
        <w:rPr>
          <w:rFonts w:cs="Arial"/>
          <w:color w:val="000000"/>
          <w:szCs w:val="20"/>
        </w:rPr>
        <w:t xml:space="preserve"> hearing with  </w:t>
      </w:r>
      <w:r>
        <w:rPr>
          <w:rFonts w:cs="Arial"/>
          <w:color w:val="000000"/>
          <w:szCs w:val="20"/>
        </w:rPr>
        <w:t>HHA</w:t>
      </w:r>
      <w:r w:rsidRPr="00765546">
        <w:rPr>
          <w:rFonts w:cs="Arial"/>
          <w:color w:val="000000"/>
          <w:szCs w:val="20"/>
        </w:rPr>
        <w:t xml:space="preserve">. </w:t>
      </w:r>
    </w:p>
    <w:p w14:paraId="0F1AA86B" w14:textId="77777777" w:rsidR="004A6828" w:rsidRPr="00765546" w:rsidRDefault="004A6828" w:rsidP="004A6828">
      <w:pPr>
        <w:rPr>
          <w:rFonts w:cs="Arial"/>
          <w:sz w:val="16"/>
          <w:szCs w:val="18"/>
        </w:rPr>
      </w:pPr>
      <w:r w:rsidRPr="00765546">
        <w:rPr>
          <w:rFonts w:cs="Arial"/>
          <w:color w:val="000000"/>
          <w:szCs w:val="20"/>
        </w:rPr>
        <w:t xml:space="preserve">The </w:t>
      </w:r>
      <w:r w:rsidR="00033A55">
        <w:rPr>
          <w:rFonts w:cs="Arial"/>
          <w:color w:val="000000"/>
          <w:szCs w:val="20"/>
        </w:rPr>
        <w:t>grievance</w:t>
      </w:r>
      <w:r w:rsidRPr="00765546">
        <w:rPr>
          <w:rFonts w:cs="Arial"/>
          <w:color w:val="000000"/>
          <w:szCs w:val="20"/>
        </w:rPr>
        <w:t xml:space="preserve"> hearing with the </w:t>
      </w:r>
      <w:r>
        <w:rPr>
          <w:rFonts w:cs="Arial"/>
          <w:color w:val="000000"/>
          <w:szCs w:val="20"/>
        </w:rPr>
        <w:t>HHA</w:t>
      </w:r>
      <w:r w:rsidRPr="00765546">
        <w:rPr>
          <w:rFonts w:cs="Arial"/>
          <w:color w:val="000000"/>
          <w:szCs w:val="20"/>
        </w:rPr>
        <w:t xml:space="preserve"> may be requested in lieu of the USCIS appeal, or at the conclusion of the USCIS appeal process. The notice must also inform the applicant family that assistance may not be delayed until the conclusion of the USCIS appeal process, but that it may be delayed pending the completion of the </w:t>
      </w:r>
      <w:r w:rsidR="006002C5">
        <w:rPr>
          <w:rFonts w:cs="Arial"/>
          <w:color w:val="000000"/>
          <w:szCs w:val="20"/>
        </w:rPr>
        <w:t xml:space="preserve">grievance </w:t>
      </w:r>
      <w:r w:rsidRPr="00765546">
        <w:rPr>
          <w:rFonts w:cs="Arial"/>
          <w:color w:val="000000"/>
          <w:szCs w:val="20"/>
        </w:rPr>
        <w:t>hearing process</w:t>
      </w:r>
      <w:r w:rsidR="00A23119">
        <w:rPr>
          <w:rFonts w:cs="Arial"/>
          <w:color w:val="000000"/>
          <w:szCs w:val="20"/>
        </w:rPr>
        <w:t>.</w:t>
      </w:r>
    </w:p>
    <w:p w14:paraId="0CBBC15A" w14:textId="77777777" w:rsidR="004A6828" w:rsidRPr="00765546" w:rsidRDefault="004A6828" w:rsidP="00677451">
      <w:pPr>
        <w:pStyle w:val="Heading3"/>
      </w:pPr>
      <w:bookmarkStart w:id="485" w:name="_Toc521054809"/>
      <w:bookmarkStart w:id="486" w:name="_Toc527019335"/>
      <w:bookmarkStart w:id="487" w:name="_Toc534706870"/>
      <w:bookmarkStart w:id="488" w:name="_Toc534707548"/>
      <w:bookmarkStart w:id="489" w:name="_Toc534708356"/>
      <w:bookmarkStart w:id="490" w:name="_Toc118115936"/>
      <w:bookmarkStart w:id="491" w:name="_Toc200375545"/>
      <w:r w:rsidRPr="00765546">
        <w:t>Timeframe for Determination of Citizenship Status</w:t>
      </w:r>
      <w:bookmarkEnd w:id="485"/>
      <w:bookmarkEnd w:id="486"/>
      <w:bookmarkEnd w:id="487"/>
      <w:bookmarkEnd w:id="488"/>
      <w:bookmarkEnd w:id="489"/>
      <w:bookmarkEnd w:id="490"/>
      <w:bookmarkEnd w:id="491"/>
    </w:p>
    <w:p w14:paraId="19F5612E" w14:textId="77777777" w:rsidR="004A6828" w:rsidRPr="00765546" w:rsidRDefault="004A6828" w:rsidP="004A6828">
      <w:pPr>
        <w:rPr>
          <w:rFonts w:cs="Arial"/>
          <w:szCs w:val="20"/>
          <w:shd w:val="clear" w:color="auto" w:fill="FFFFFF"/>
        </w:rPr>
      </w:pPr>
      <w:r w:rsidRPr="00765546">
        <w:rPr>
          <w:rFonts w:cs="Arial"/>
          <w:szCs w:val="20"/>
        </w:rPr>
        <w:t xml:space="preserve">For new applicants, </w:t>
      </w:r>
      <w:r>
        <w:rPr>
          <w:rFonts w:cs="Arial"/>
          <w:szCs w:val="20"/>
        </w:rPr>
        <w:t>HHA</w:t>
      </w:r>
      <w:r w:rsidRPr="00765546">
        <w:rPr>
          <w:rFonts w:cs="Arial"/>
          <w:szCs w:val="20"/>
        </w:rPr>
        <w:t xml:space="preserve"> will ensure</w:t>
      </w:r>
      <w:r w:rsidRPr="00765546">
        <w:rPr>
          <w:rFonts w:cs="Arial"/>
          <w:szCs w:val="20"/>
          <w:shd w:val="clear" w:color="auto" w:fill="FFFFFF"/>
        </w:rPr>
        <w:t xml:space="preserve"> that evidence of eligible citizenship status is submitted no later than the date that </w:t>
      </w:r>
      <w:r>
        <w:rPr>
          <w:rFonts w:cs="Arial"/>
          <w:szCs w:val="20"/>
          <w:shd w:val="clear" w:color="auto" w:fill="FFFFFF"/>
        </w:rPr>
        <w:t>HHA</w:t>
      </w:r>
      <w:r w:rsidRPr="00765546">
        <w:rPr>
          <w:rFonts w:cs="Arial"/>
          <w:szCs w:val="20"/>
          <w:shd w:val="clear" w:color="auto" w:fill="FFFFFF"/>
        </w:rPr>
        <w:t xml:space="preserve"> completes verification of other aspects of eligibility for assistance.</w:t>
      </w:r>
    </w:p>
    <w:p w14:paraId="759DE020" w14:textId="77777777" w:rsidR="004A6828" w:rsidRPr="00765546" w:rsidRDefault="004A6828" w:rsidP="004A6828">
      <w:pPr>
        <w:rPr>
          <w:rFonts w:cs="Arial"/>
          <w:szCs w:val="20"/>
        </w:rPr>
      </w:pPr>
      <w:r>
        <w:rPr>
          <w:rFonts w:cs="Arial"/>
          <w:szCs w:val="20"/>
        </w:rPr>
        <w:t>HHA</w:t>
      </w:r>
      <w:r w:rsidRPr="00765546">
        <w:rPr>
          <w:rFonts w:cs="Arial"/>
          <w:szCs w:val="20"/>
        </w:rPr>
        <w:t xml:space="preserve"> will grant an extension to submit evidence of eligible immigration status if the family member:</w:t>
      </w:r>
    </w:p>
    <w:p w14:paraId="44AC113A" w14:textId="77777777" w:rsidR="004A6828" w:rsidRPr="00765546" w:rsidRDefault="004A6828" w:rsidP="007F177E">
      <w:pPr>
        <w:pStyle w:val="ListParagraph"/>
        <w:numPr>
          <w:ilvl w:val="0"/>
          <w:numId w:val="227"/>
        </w:numPr>
        <w:autoSpaceDE w:val="0"/>
        <w:autoSpaceDN w:val="0"/>
        <w:adjustRightInd w:val="0"/>
        <w:spacing w:after="120"/>
        <w:ind w:left="720"/>
        <w:contextualSpacing w:val="0"/>
        <w:rPr>
          <w:rFonts w:cs="Arial"/>
          <w:szCs w:val="20"/>
        </w:rPr>
      </w:pPr>
      <w:r w:rsidRPr="00765546">
        <w:rPr>
          <w:rFonts w:cs="Arial"/>
          <w:szCs w:val="20"/>
        </w:rPr>
        <w:t>Submits the declaration, certifying that any person for whom required evidence has not been submitted is a noncitizen with eligible immigration status; and</w:t>
      </w:r>
    </w:p>
    <w:p w14:paraId="181DC39A" w14:textId="77777777" w:rsidR="004A6828" w:rsidRPr="00765546" w:rsidRDefault="004A6828" w:rsidP="007F177E">
      <w:pPr>
        <w:pStyle w:val="ListParagraph"/>
        <w:numPr>
          <w:ilvl w:val="0"/>
          <w:numId w:val="227"/>
        </w:numPr>
        <w:autoSpaceDE w:val="0"/>
        <w:autoSpaceDN w:val="0"/>
        <w:adjustRightInd w:val="0"/>
        <w:spacing w:after="120"/>
        <w:ind w:left="720"/>
        <w:contextualSpacing w:val="0"/>
        <w:rPr>
          <w:rFonts w:cs="Arial"/>
          <w:szCs w:val="20"/>
        </w:rPr>
      </w:pPr>
      <w:r w:rsidRPr="00765546">
        <w:rPr>
          <w:rFonts w:cs="Arial"/>
          <w:szCs w:val="20"/>
        </w:rPr>
        <w:t xml:space="preserve">Certifies that the evidence needed to support a claim of eligible immigration status is temporary unavailable, additional time is needed to obtain and submit the evidence, and prompt and diligent efforts will be undertaken to obtain the evidence. </w:t>
      </w:r>
    </w:p>
    <w:p w14:paraId="48E5A324" w14:textId="77777777" w:rsidR="004A6828" w:rsidRPr="00765546" w:rsidRDefault="004A6828" w:rsidP="004A6828">
      <w:r w:rsidRPr="00765546">
        <w:t xml:space="preserve">If an individual qualifies for a time extension for the submission of required documents, </w:t>
      </w:r>
      <w:r>
        <w:t>HHA</w:t>
      </w:r>
      <w:r w:rsidRPr="00765546">
        <w:t xml:space="preserve"> will grant such an extension for no more than 30 days </w:t>
      </w:r>
      <w:r>
        <w:t>HHA</w:t>
      </w:r>
      <w:r w:rsidRPr="00765546">
        <w:t xml:space="preserve">’s decision to grant or deny an extension will be issued to the family by written notice. </w:t>
      </w:r>
    </w:p>
    <w:p w14:paraId="2CB07EC3" w14:textId="77777777" w:rsidR="004A6828" w:rsidRDefault="004A6828" w:rsidP="004A6828">
      <w:pPr>
        <w:rPr>
          <w:rFonts w:cs="Arial"/>
          <w:szCs w:val="20"/>
        </w:rPr>
      </w:pPr>
      <w:r w:rsidRPr="00765546">
        <w:rPr>
          <w:rFonts w:cs="Arial"/>
          <w:szCs w:val="20"/>
        </w:rPr>
        <w:t xml:space="preserve">If the family fails to submit required evidence of eligible immigration status within the time period specified in the notice, or if the evidence is timely submitted but fails to establish eligible immigration status, </w:t>
      </w:r>
      <w:r>
        <w:rPr>
          <w:rFonts w:cs="Arial"/>
          <w:szCs w:val="20"/>
        </w:rPr>
        <w:t>HHA</w:t>
      </w:r>
      <w:r w:rsidRPr="00765546">
        <w:rPr>
          <w:rFonts w:cs="Arial"/>
          <w:szCs w:val="20"/>
        </w:rPr>
        <w:t xml:space="preserve"> will proceed to deny assistance. </w:t>
      </w:r>
    </w:p>
    <w:p w14:paraId="09FBBAC9" w14:textId="77777777" w:rsidR="004A6828" w:rsidRDefault="004A6828" w:rsidP="00BB64BD">
      <w:pPr>
        <w:pStyle w:val="Heading2"/>
      </w:pPr>
      <w:bookmarkStart w:id="492" w:name="_Toc143861573"/>
      <w:bookmarkStart w:id="493" w:name="_Ref155696220"/>
      <w:bookmarkStart w:id="494" w:name="_Toc173222655"/>
      <w:bookmarkStart w:id="495" w:name="_Toc200375546"/>
      <w:bookmarkStart w:id="496" w:name="_Toc200376921"/>
      <w:r>
        <w:t>Social Security Numbers</w:t>
      </w:r>
      <w:bookmarkEnd w:id="492"/>
      <w:bookmarkEnd w:id="493"/>
      <w:bookmarkEnd w:id="494"/>
      <w:bookmarkEnd w:id="495"/>
      <w:bookmarkEnd w:id="496"/>
    </w:p>
    <w:p w14:paraId="1939707D" w14:textId="77777777" w:rsidR="004A6828" w:rsidRDefault="004A6828" w:rsidP="004A6828">
      <w:r>
        <w:t xml:space="preserve">The applicant and all members of the applicant’s household must disclose the complete and accurate </w:t>
      </w:r>
      <w:r w:rsidR="00BB2A5C">
        <w:t>S</w:t>
      </w:r>
      <w:r>
        <w:t xml:space="preserve">ocial </w:t>
      </w:r>
      <w:r w:rsidR="00BB2A5C">
        <w:t>S</w:t>
      </w:r>
      <w:r>
        <w:t xml:space="preserve">ecurity number (SSN) assigned to each household member, and the documentation necessary to verify each SSN. </w:t>
      </w:r>
    </w:p>
    <w:p w14:paraId="4B9D191E" w14:textId="77777777" w:rsidR="004A6828" w:rsidRDefault="004A6828" w:rsidP="004A6828">
      <w:r>
        <w:t xml:space="preserve">If a child under age 6 has been added to an applicant family within 6 months prior to </w:t>
      </w:r>
      <w:r w:rsidR="000B76AD">
        <w:t>program admission</w:t>
      </w:r>
      <w:r>
        <w:t xml:space="preserve">, an otherwise eligible family may be admitted to the program and must disclose and document the child’s SSN within 90 days of </w:t>
      </w:r>
      <w:r w:rsidR="00827B63">
        <w:t>admission</w:t>
      </w:r>
      <w:r>
        <w:t>.</w:t>
      </w:r>
    </w:p>
    <w:p w14:paraId="64D96618" w14:textId="77777777" w:rsidR="004A6828" w:rsidRDefault="004A6828" w:rsidP="004A6828">
      <w:r>
        <w:t>Note: these requirements do not apply to noncitizens who do not contend eligible immigration status.</w:t>
      </w:r>
    </w:p>
    <w:p w14:paraId="032E8A87" w14:textId="77777777" w:rsidR="004A6828" w:rsidRDefault="004A6828" w:rsidP="004A6828">
      <w:r>
        <w:t>In addition, each participant who has not previously disclosed an SSN, has previously disclosed an SSN that HUD or the SSA determined was invalid, or has been issued a new SSN must submit their complete and accurate SSN and the documentation required to verify the SSN at the time of the next interim or annual reexamination or recertification. Participants age 62 or older as of January 31, 2010, whose determination of eligibility was begun before January 31, 2010, are exempt from this requirement and remain exempt even if they move to a new assisted unit.</w:t>
      </w:r>
    </w:p>
    <w:p w14:paraId="2B850E6C" w14:textId="77777777" w:rsidR="004A6828" w:rsidRDefault="004A6828" w:rsidP="004A6828">
      <w:pPr>
        <w:rPr>
          <w:rFonts w:cs="Arial"/>
          <w:szCs w:val="20"/>
        </w:rPr>
      </w:pPr>
      <w:r>
        <w:t>HHA must deny assistance to an applicant family if they do not meet the SSN disclosure and documentation requirements contained in 24 CFR 5.216.</w:t>
      </w:r>
    </w:p>
    <w:p w14:paraId="2A87139D" w14:textId="77777777" w:rsidR="00042705" w:rsidRPr="00866331" w:rsidRDefault="00042705" w:rsidP="00BB64BD">
      <w:pPr>
        <w:pStyle w:val="Heading2"/>
      </w:pPr>
      <w:bookmarkStart w:id="497" w:name="_Toc143861574"/>
      <w:bookmarkStart w:id="498" w:name="_Toc173222656"/>
      <w:bookmarkStart w:id="499" w:name="_Toc200375547"/>
      <w:bookmarkStart w:id="500" w:name="_Toc200376922"/>
      <w:r w:rsidRPr="00866331">
        <w:t>Photo Identification</w:t>
      </w:r>
      <w:bookmarkEnd w:id="497"/>
      <w:bookmarkEnd w:id="498"/>
      <w:bookmarkEnd w:id="499"/>
      <w:bookmarkEnd w:id="500"/>
    </w:p>
    <w:p w14:paraId="1B08385E" w14:textId="77777777" w:rsidR="00363E75" w:rsidRPr="00122C89" w:rsidRDefault="00363E75" w:rsidP="00363E75">
      <w:pPr>
        <w:rPr>
          <w:rFonts w:cs="Arial"/>
          <w:szCs w:val="20"/>
        </w:rPr>
      </w:pPr>
      <w:r w:rsidRPr="00122C89">
        <w:rPr>
          <w:rFonts w:cs="Arial"/>
          <w:szCs w:val="20"/>
        </w:rPr>
        <w:t xml:space="preserve">To ensure </w:t>
      </w:r>
      <w:r>
        <w:rPr>
          <w:rFonts w:cs="Arial"/>
          <w:szCs w:val="20"/>
        </w:rPr>
        <w:t>H</w:t>
      </w:r>
      <w:r w:rsidRPr="00122C89">
        <w:rPr>
          <w:rFonts w:cs="Arial"/>
          <w:szCs w:val="20"/>
        </w:rPr>
        <w:t xml:space="preserve">HA has the ability to identify all persons 18 years of age or older (not just the head of household), all adult household members will be required to provide a current, government-issued identification at admission, upon addition to a </w:t>
      </w:r>
      <w:r>
        <w:rPr>
          <w:rFonts w:cs="Arial"/>
          <w:szCs w:val="20"/>
        </w:rPr>
        <w:t>public housing</w:t>
      </w:r>
      <w:r w:rsidRPr="00122C89">
        <w:rPr>
          <w:rFonts w:cs="Arial"/>
          <w:szCs w:val="20"/>
        </w:rPr>
        <w:t xml:space="preserve"> household or upon turning 18. For example, if a household member turns 18 between regular reexaminations, he or she must provide a government issued photo identification at the household</w:t>
      </w:r>
      <w:r>
        <w:rPr>
          <w:rFonts w:cs="Arial"/>
          <w:szCs w:val="20"/>
        </w:rPr>
        <w:t>’</w:t>
      </w:r>
      <w:r w:rsidRPr="00122C89">
        <w:rPr>
          <w:rFonts w:cs="Arial"/>
          <w:szCs w:val="20"/>
        </w:rPr>
        <w:t xml:space="preserve">s next regular reexamination. </w:t>
      </w:r>
    </w:p>
    <w:p w14:paraId="256728D2" w14:textId="77777777" w:rsidR="00363E75" w:rsidRPr="00122C89" w:rsidRDefault="00363E75" w:rsidP="00363E75">
      <w:pPr>
        <w:rPr>
          <w:rFonts w:cs="Arial"/>
          <w:szCs w:val="20"/>
        </w:rPr>
      </w:pPr>
      <w:r>
        <w:rPr>
          <w:rFonts w:cs="Arial"/>
          <w:szCs w:val="20"/>
        </w:rPr>
        <w:t>H</w:t>
      </w:r>
      <w:r w:rsidRPr="00122C89">
        <w:rPr>
          <w:rFonts w:cs="Arial"/>
          <w:szCs w:val="20"/>
        </w:rPr>
        <w:t>HA reserves the right to request an updated photo ID after admission to the program to confirm legal identity.</w:t>
      </w:r>
    </w:p>
    <w:p w14:paraId="0195BC63" w14:textId="77777777" w:rsidR="00363E75" w:rsidRPr="00122C89" w:rsidRDefault="00363E75" w:rsidP="00363E75">
      <w:pPr>
        <w:rPr>
          <w:rFonts w:cs="Arial"/>
          <w:szCs w:val="20"/>
        </w:rPr>
      </w:pPr>
      <w:r w:rsidRPr="00122C89">
        <w:rPr>
          <w:rFonts w:cs="Arial"/>
          <w:szCs w:val="20"/>
        </w:rPr>
        <w:t xml:space="preserve">As an accommodation for individuals with disabilities and elderly individuals, as well as for individuals with religious considerations, with prior </w:t>
      </w:r>
      <w:r>
        <w:rPr>
          <w:rFonts w:cs="Arial"/>
          <w:szCs w:val="20"/>
        </w:rPr>
        <w:t>H</w:t>
      </w:r>
      <w:r w:rsidRPr="00122C89">
        <w:rPr>
          <w:rFonts w:cs="Arial"/>
          <w:szCs w:val="20"/>
        </w:rPr>
        <w:t xml:space="preserve">HA approval, </w:t>
      </w:r>
      <w:r>
        <w:rPr>
          <w:rFonts w:cs="Arial"/>
          <w:szCs w:val="20"/>
        </w:rPr>
        <w:t>H</w:t>
      </w:r>
      <w:r w:rsidRPr="00122C89">
        <w:rPr>
          <w:rFonts w:cs="Arial"/>
          <w:szCs w:val="20"/>
        </w:rPr>
        <w:t>HA may accept other forms of identification to establish identity.</w:t>
      </w:r>
    </w:p>
    <w:p w14:paraId="6868C900" w14:textId="77777777" w:rsidR="00042705" w:rsidRDefault="00042705" w:rsidP="00BB64BD">
      <w:pPr>
        <w:pStyle w:val="Heading2"/>
      </w:pPr>
      <w:bookmarkStart w:id="501" w:name="_Toc143861575"/>
      <w:bookmarkStart w:id="502" w:name="_Toc173222657"/>
      <w:bookmarkStart w:id="503" w:name="_Toc200375548"/>
      <w:bookmarkStart w:id="504" w:name="_Toc200376923"/>
      <w:r w:rsidRPr="00866331">
        <w:t>Other Required Documents</w:t>
      </w:r>
      <w:bookmarkEnd w:id="501"/>
      <w:bookmarkEnd w:id="502"/>
      <w:bookmarkEnd w:id="503"/>
      <w:bookmarkEnd w:id="504"/>
    </w:p>
    <w:p w14:paraId="16F3F732" w14:textId="77777777" w:rsidR="004F48B5" w:rsidRDefault="004F48B5" w:rsidP="004F48B5">
      <w:pPr>
        <w:rPr>
          <w:rFonts w:eastAsia="Arial" w:cs="Arial"/>
          <w:szCs w:val="20"/>
        </w:rPr>
      </w:pPr>
      <w:r w:rsidRPr="00122C89">
        <w:rPr>
          <w:rFonts w:eastAsia="Arial" w:cs="Arial"/>
          <w:szCs w:val="20"/>
        </w:rPr>
        <w:t xml:space="preserve">Applicants must provide birth certificates/proof of age/proof of birth for all household members. </w:t>
      </w:r>
    </w:p>
    <w:p w14:paraId="285EF136" w14:textId="77777777" w:rsidR="004F48B5" w:rsidRPr="00122C89" w:rsidRDefault="004F48B5" w:rsidP="004F48B5">
      <w:pPr>
        <w:rPr>
          <w:rFonts w:cs="Arial"/>
          <w:szCs w:val="20"/>
        </w:rPr>
      </w:pPr>
      <w:r w:rsidRPr="00122C89">
        <w:rPr>
          <w:rFonts w:eastAsia="Arial" w:cs="Arial"/>
          <w:szCs w:val="20"/>
        </w:rPr>
        <w:t xml:space="preserve">The family must supply any other information that </w:t>
      </w:r>
      <w:r>
        <w:rPr>
          <w:rFonts w:eastAsia="Arial" w:cs="Arial"/>
          <w:szCs w:val="20"/>
        </w:rPr>
        <w:t>H</w:t>
      </w:r>
      <w:r w:rsidRPr="00122C89">
        <w:rPr>
          <w:rFonts w:eastAsia="Arial" w:cs="Arial"/>
          <w:szCs w:val="20"/>
        </w:rPr>
        <w:t xml:space="preserve">HA or HUD determines necessary to the administration of the program.  </w:t>
      </w:r>
    </w:p>
    <w:p w14:paraId="5D58795C" w14:textId="77777777" w:rsidR="00042705" w:rsidRDefault="00042705" w:rsidP="00BB64BD">
      <w:pPr>
        <w:pStyle w:val="Heading2"/>
      </w:pPr>
      <w:bookmarkStart w:id="505" w:name="_Toc143861576"/>
      <w:bookmarkStart w:id="506" w:name="_Ref148093788"/>
      <w:bookmarkStart w:id="507" w:name="_Ref155695743"/>
      <w:bookmarkStart w:id="508" w:name="_Toc173222658"/>
      <w:bookmarkStart w:id="509" w:name="_Toc200375549"/>
      <w:bookmarkStart w:id="510" w:name="_Toc200376924"/>
      <w:r w:rsidRPr="00E004D8">
        <w:t xml:space="preserve">Family Consent </w:t>
      </w:r>
      <w:r>
        <w:t>t</w:t>
      </w:r>
      <w:r w:rsidRPr="00E004D8">
        <w:t>o Release Information</w:t>
      </w:r>
      <w:bookmarkEnd w:id="505"/>
      <w:bookmarkEnd w:id="506"/>
      <w:bookmarkEnd w:id="507"/>
      <w:bookmarkEnd w:id="508"/>
      <w:bookmarkEnd w:id="509"/>
      <w:bookmarkEnd w:id="510"/>
    </w:p>
    <w:p w14:paraId="2634A8F9" w14:textId="4F607DDB" w:rsidR="00414160" w:rsidRDefault="00EA0423" w:rsidP="00414160">
      <w:pPr>
        <w:rPr>
          <w:rFonts w:cs="Arial"/>
          <w:szCs w:val="20"/>
        </w:rPr>
      </w:pPr>
      <w:r w:rsidRPr="00EA0423">
        <w:rPr>
          <w:rFonts w:cs="Arial"/>
          <w:szCs w:val="20"/>
        </w:rPr>
        <w:t>HUD requires each adult family member, and the head of household, spouse, or cohead, regardless of age, to sign form HUD-9886</w:t>
      </w:r>
      <w:r w:rsidR="00295F24">
        <w:rPr>
          <w:rFonts w:cs="Arial"/>
          <w:szCs w:val="20"/>
        </w:rPr>
        <w:t>-A</w:t>
      </w:r>
      <w:r w:rsidRPr="00EA0423">
        <w:rPr>
          <w:rFonts w:cs="Arial"/>
          <w:szCs w:val="20"/>
        </w:rPr>
        <w:t>, Authorization for the Release of Information Privacy Act Notice, the form HUD-52675, Debts Owed to Public Housing Agencies and Terminations, and other consent forms as needed to collect information relevant to the family’s eligibility and level of assistance.</w:t>
      </w:r>
    </w:p>
    <w:p w14:paraId="4D43172C" w14:textId="77777777" w:rsidR="004269A9" w:rsidRPr="00EA0423" w:rsidRDefault="004269A9" w:rsidP="00414160">
      <w:pPr>
        <w:rPr>
          <w:rFonts w:cs="Arial"/>
          <w:szCs w:val="20"/>
        </w:rPr>
      </w:pPr>
      <w:r>
        <w:rPr>
          <w:rFonts w:cs="Arial"/>
          <w:szCs w:val="20"/>
        </w:rPr>
        <w:t>HHA must deny admission to the program if any member of the applicant family fails to sign and submit consent forms which allow HHA t</w:t>
      </w:r>
      <w:r w:rsidR="009A72BF">
        <w:rPr>
          <w:rFonts w:cs="Arial"/>
          <w:szCs w:val="20"/>
        </w:rPr>
        <w:t>o obtain information it has determined is necessary in the administration of the public housing program.</w:t>
      </w:r>
    </w:p>
    <w:p w14:paraId="21DCCE19" w14:textId="043692A2" w:rsidR="00042705" w:rsidRDefault="00042705" w:rsidP="00677451">
      <w:pPr>
        <w:pStyle w:val="Heading3"/>
      </w:pPr>
      <w:bookmarkStart w:id="511" w:name="_Ref148093798"/>
      <w:bookmarkStart w:id="512" w:name="_Toc200375550"/>
      <w:r w:rsidRPr="00765546">
        <w:t xml:space="preserve">Authorization for the Release of Information/Privacy Act Notice </w:t>
      </w:r>
      <w:r>
        <w:t>(</w:t>
      </w:r>
      <w:r w:rsidR="008D05B8">
        <w:t xml:space="preserve">Form </w:t>
      </w:r>
      <w:r>
        <w:t>HUD-9886</w:t>
      </w:r>
      <w:r w:rsidR="00295F24">
        <w:t>-A</w:t>
      </w:r>
      <w:r>
        <w:t>)</w:t>
      </w:r>
      <w:bookmarkEnd w:id="511"/>
      <w:bookmarkEnd w:id="512"/>
    </w:p>
    <w:p w14:paraId="2EDB6A21" w14:textId="56A24B34" w:rsidR="00042705" w:rsidRDefault="007F35CE" w:rsidP="00042705">
      <w:pPr>
        <w:rPr>
          <w:rFonts w:cs="Arial"/>
        </w:rPr>
      </w:pPr>
      <w:r>
        <w:rPr>
          <w:rFonts w:cs="Arial"/>
        </w:rPr>
        <w:t>On or after January 1, 2024</w:t>
      </w:r>
      <w:r w:rsidR="00042705" w:rsidRPr="009D4822">
        <w:rPr>
          <w:rFonts w:cs="Arial"/>
        </w:rPr>
        <w:t xml:space="preserve">, the </w:t>
      </w:r>
      <w:r w:rsidR="00354E57">
        <w:rPr>
          <w:rFonts w:cs="Arial"/>
        </w:rPr>
        <w:t xml:space="preserve">form </w:t>
      </w:r>
      <w:r w:rsidR="00042705" w:rsidRPr="009D4822">
        <w:rPr>
          <w:rFonts w:cs="Arial"/>
        </w:rPr>
        <w:t>HUD-9886</w:t>
      </w:r>
      <w:r w:rsidR="00295F24">
        <w:rPr>
          <w:rFonts w:cs="Arial"/>
        </w:rPr>
        <w:t>-A</w:t>
      </w:r>
      <w:r w:rsidR="00042705" w:rsidRPr="009D4822">
        <w:rPr>
          <w:rFonts w:cs="Arial"/>
        </w:rPr>
        <w:t xml:space="preserve"> is only required to be signed by each </w:t>
      </w:r>
      <w:r w:rsidR="00042705">
        <w:rPr>
          <w:rFonts w:cs="Arial"/>
        </w:rPr>
        <w:t>family</w:t>
      </w:r>
      <w:r w:rsidR="00042705" w:rsidRPr="009D4822">
        <w:rPr>
          <w:rFonts w:cs="Arial"/>
        </w:rPr>
        <w:t xml:space="preserve"> member at admission, addition of an adult member to the household, and/or when a </w:t>
      </w:r>
      <w:r w:rsidR="00042705">
        <w:rPr>
          <w:rFonts w:cs="Arial"/>
        </w:rPr>
        <w:t xml:space="preserve">family </w:t>
      </w:r>
      <w:r w:rsidR="00042705" w:rsidRPr="009D4822">
        <w:rPr>
          <w:rFonts w:cs="Arial"/>
        </w:rPr>
        <w:t xml:space="preserve">member turns 18. </w:t>
      </w:r>
      <w:r w:rsidR="00042705">
        <w:rPr>
          <w:rFonts w:cs="Arial"/>
        </w:rPr>
        <w:t>The</w:t>
      </w:r>
      <w:r>
        <w:rPr>
          <w:rFonts w:cs="Arial"/>
        </w:rPr>
        <w:t xml:space="preserve"> form</w:t>
      </w:r>
      <w:r w:rsidR="00042705">
        <w:rPr>
          <w:rFonts w:cs="Arial"/>
        </w:rPr>
        <w:t xml:space="preserve"> HUD-9886</w:t>
      </w:r>
      <w:r w:rsidR="00295F24">
        <w:rPr>
          <w:rFonts w:cs="Arial"/>
        </w:rPr>
        <w:t>-A</w:t>
      </w:r>
      <w:r w:rsidR="00042705">
        <w:rPr>
          <w:rFonts w:cs="Arial"/>
        </w:rPr>
        <w:t xml:space="preserve"> is</w:t>
      </w:r>
      <w:r w:rsidR="00042705" w:rsidRPr="009D4822">
        <w:rPr>
          <w:rFonts w:cs="Arial"/>
        </w:rPr>
        <w:t xml:space="preserve"> not</w:t>
      </w:r>
      <w:r w:rsidR="00042705">
        <w:rPr>
          <w:rFonts w:cs="Arial"/>
        </w:rPr>
        <w:t xml:space="preserve"> </w:t>
      </w:r>
      <w:r w:rsidR="00042705" w:rsidRPr="009D4822">
        <w:rPr>
          <w:rFonts w:cs="Arial"/>
        </w:rPr>
        <w:t xml:space="preserve">required to be signed at each annual recertification and will remain effective until the family is denied assistance, the assistance is terminated, or the family provides written notification to </w:t>
      </w:r>
      <w:r w:rsidR="00042705">
        <w:rPr>
          <w:rFonts w:cs="Arial"/>
        </w:rPr>
        <w:t>H</w:t>
      </w:r>
      <w:r w:rsidR="00042705" w:rsidRPr="009D4822">
        <w:rPr>
          <w:rFonts w:cs="Arial"/>
        </w:rPr>
        <w:t xml:space="preserve">HA to revoke consent. </w:t>
      </w:r>
    </w:p>
    <w:p w14:paraId="32832DAF" w14:textId="4A7FE828" w:rsidR="00042705" w:rsidRDefault="00042705" w:rsidP="00042705">
      <w:pPr>
        <w:rPr>
          <w:rFonts w:cs="Arial"/>
          <w:b/>
        </w:rPr>
      </w:pPr>
      <w:r>
        <w:rPr>
          <w:rFonts w:cs="Arial"/>
        </w:rPr>
        <w:t>H</w:t>
      </w:r>
      <w:r w:rsidRPr="00BD7BC5">
        <w:rPr>
          <w:rFonts w:cs="Arial"/>
        </w:rPr>
        <w:t xml:space="preserve">HA will deny admission to the program </w:t>
      </w:r>
      <w:r>
        <w:rPr>
          <w:rFonts w:cs="Arial"/>
        </w:rPr>
        <w:t>or terminate assistance</w:t>
      </w:r>
      <w:r w:rsidRPr="00BD7BC5">
        <w:rPr>
          <w:rFonts w:cs="Arial"/>
        </w:rPr>
        <w:t xml:space="preserve"> if any member of the applicant family fails to sign and submit </w:t>
      </w:r>
      <w:r w:rsidR="008F7894">
        <w:rPr>
          <w:rFonts w:cs="Arial"/>
        </w:rPr>
        <w:t xml:space="preserve">the </w:t>
      </w:r>
      <w:r w:rsidR="004F33BD">
        <w:rPr>
          <w:rFonts w:cs="Arial"/>
        </w:rPr>
        <w:t xml:space="preserve">form </w:t>
      </w:r>
      <w:r w:rsidR="008F7894">
        <w:rPr>
          <w:rFonts w:cs="Arial"/>
        </w:rPr>
        <w:t>HUD-9886</w:t>
      </w:r>
      <w:r w:rsidR="00295F24">
        <w:rPr>
          <w:rFonts w:cs="Arial"/>
        </w:rPr>
        <w:t>-A</w:t>
      </w:r>
      <w:r w:rsidRPr="00BD7BC5">
        <w:rPr>
          <w:rFonts w:cs="Arial"/>
        </w:rPr>
        <w:t xml:space="preserve">. </w:t>
      </w:r>
      <w:r>
        <w:rPr>
          <w:rFonts w:cs="Arial"/>
        </w:rPr>
        <w:t xml:space="preserve">Further, </w:t>
      </w:r>
      <w:r>
        <w:t xml:space="preserve">revocation of consent to the </w:t>
      </w:r>
      <w:r w:rsidR="007F35CE">
        <w:t xml:space="preserve">form </w:t>
      </w:r>
      <w:r>
        <w:t>HUD-9886</w:t>
      </w:r>
      <w:r w:rsidR="00295F24">
        <w:t>-A</w:t>
      </w:r>
      <w:r>
        <w:t xml:space="preserve"> by any family member will result in termination of assistance or denial of admission.</w:t>
      </w:r>
      <w:r>
        <w:rPr>
          <w:rFonts w:cs="Arial"/>
        </w:rPr>
        <w:t xml:space="preserve"> </w:t>
      </w:r>
    </w:p>
    <w:p w14:paraId="6D7C672A" w14:textId="77777777" w:rsidR="00042705" w:rsidRDefault="00042705" w:rsidP="00677451">
      <w:pPr>
        <w:pStyle w:val="Heading3"/>
      </w:pPr>
      <w:bookmarkStart w:id="513" w:name="_Toc200375551"/>
      <w:r>
        <w:t>Other HHA-Required Consent Forms</w:t>
      </w:r>
      <w:bookmarkEnd w:id="513"/>
    </w:p>
    <w:p w14:paraId="588EB93B" w14:textId="77777777" w:rsidR="00B3774A" w:rsidRDefault="00B3774A" w:rsidP="00B3774A">
      <w:pPr>
        <w:rPr>
          <w:rFonts w:cs="Arial"/>
          <w:szCs w:val="20"/>
        </w:rPr>
      </w:pPr>
      <w:r w:rsidRPr="00765546">
        <w:rPr>
          <w:rFonts w:cs="Arial"/>
          <w:szCs w:val="20"/>
        </w:rPr>
        <w:t>Additionally, famil</w:t>
      </w:r>
      <w:r>
        <w:rPr>
          <w:rFonts w:cs="Arial"/>
          <w:szCs w:val="20"/>
        </w:rPr>
        <w:t>ies</w:t>
      </w:r>
      <w:r w:rsidRPr="00765546">
        <w:rPr>
          <w:rFonts w:cs="Arial"/>
          <w:szCs w:val="20"/>
        </w:rPr>
        <w:t xml:space="preserve"> are required to sign other </w:t>
      </w:r>
      <w:r>
        <w:rPr>
          <w:rFonts w:cs="Arial"/>
          <w:szCs w:val="20"/>
        </w:rPr>
        <w:t>HHA</w:t>
      </w:r>
      <w:r w:rsidRPr="00765546">
        <w:rPr>
          <w:rFonts w:cs="Arial"/>
          <w:szCs w:val="20"/>
        </w:rPr>
        <w:t xml:space="preserve"> consent forms as needed to collect information relevant to the family’s eligibility and level of assistance. </w:t>
      </w:r>
      <w:r>
        <w:rPr>
          <w:rFonts w:cs="Arial"/>
          <w:szCs w:val="20"/>
        </w:rPr>
        <w:t>HHA</w:t>
      </w:r>
      <w:r w:rsidRPr="00765546">
        <w:rPr>
          <w:rFonts w:cs="Arial"/>
          <w:szCs w:val="20"/>
        </w:rPr>
        <w:t xml:space="preserve"> will deny admission to the program </w:t>
      </w:r>
      <w:r>
        <w:rPr>
          <w:rFonts w:cs="Arial"/>
          <w:szCs w:val="20"/>
        </w:rPr>
        <w:t xml:space="preserve">or terminate assistance </w:t>
      </w:r>
      <w:r w:rsidRPr="00765546">
        <w:rPr>
          <w:rFonts w:cs="Arial"/>
          <w:szCs w:val="20"/>
        </w:rPr>
        <w:t xml:space="preserve">if any member of the applicant family fails to sign and submit the consent forms which allow </w:t>
      </w:r>
      <w:r>
        <w:rPr>
          <w:rFonts w:cs="Arial"/>
          <w:szCs w:val="20"/>
        </w:rPr>
        <w:t>HHA</w:t>
      </w:r>
      <w:r w:rsidRPr="00765546">
        <w:rPr>
          <w:rFonts w:cs="Arial"/>
          <w:szCs w:val="20"/>
        </w:rPr>
        <w:t xml:space="preserve"> to obtain information that </w:t>
      </w:r>
      <w:r>
        <w:rPr>
          <w:rFonts w:cs="Arial"/>
          <w:szCs w:val="20"/>
        </w:rPr>
        <w:t>HHA</w:t>
      </w:r>
      <w:r w:rsidRPr="00765546">
        <w:rPr>
          <w:rFonts w:cs="Arial"/>
          <w:szCs w:val="20"/>
        </w:rPr>
        <w:t xml:space="preserve"> has determined necessary in the administration of the </w:t>
      </w:r>
      <w:r>
        <w:rPr>
          <w:rFonts w:cs="Arial"/>
          <w:szCs w:val="20"/>
        </w:rPr>
        <w:t>public housing</w:t>
      </w:r>
      <w:r w:rsidRPr="00765546">
        <w:rPr>
          <w:rFonts w:cs="Arial"/>
          <w:szCs w:val="20"/>
        </w:rPr>
        <w:t xml:space="preserve"> program. </w:t>
      </w:r>
    </w:p>
    <w:p w14:paraId="7664F9C0" w14:textId="77777777" w:rsidR="00B52A3A" w:rsidRPr="00B52A3A" w:rsidRDefault="00B52A3A" w:rsidP="00BB64BD">
      <w:pPr>
        <w:pStyle w:val="Heading2"/>
      </w:pPr>
      <w:bookmarkStart w:id="514" w:name="_Toc173222659"/>
      <w:bookmarkStart w:id="515" w:name="_Toc200375552"/>
      <w:bookmarkStart w:id="516" w:name="_Toc200376925"/>
      <w:r w:rsidRPr="00B52A3A">
        <w:t>Applicant Screening</w:t>
      </w:r>
      <w:bookmarkEnd w:id="514"/>
      <w:bookmarkEnd w:id="515"/>
      <w:bookmarkEnd w:id="516"/>
    </w:p>
    <w:p w14:paraId="1ACE3B7B" w14:textId="77777777" w:rsidR="00B52A3A" w:rsidRDefault="00B52A3A" w:rsidP="00B52A3A">
      <w:pPr>
        <w:rPr>
          <w:rFonts w:cs="Arial"/>
          <w:szCs w:val="20"/>
        </w:rPr>
      </w:pPr>
      <w:r w:rsidRPr="00B52A3A">
        <w:rPr>
          <w:rFonts w:cs="Arial"/>
          <w:szCs w:val="20"/>
        </w:rPr>
        <w:t>All applicants will be screened in accordance with HUD’s regulations and sound management practices. HHA will determine each applicant household’s ability to comply with the essential lease requirements in accordance with HHA’s policies.</w:t>
      </w:r>
    </w:p>
    <w:p w14:paraId="74CC938E" w14:textId="77777777" w:rsidR="00AE3F8D" w:rsidRPr="00765546" w:rsidRDefault="00AE3F8D" w:rsidP="00AE3F8D">
      <w:pPr>
        <w:rPr>
          <w:rFonts w:cs="Arial"/>
          <w:szCs w:val="20"/>
        </w:rPr>
      </w:pPr>
      <w:r w:rsidRPr="00765546">
        <w:rPr>
          <w:rFonts w:cs="Arial"/>
          <w:szCs w:val="20"/>
        </w:rPr>
        <w:t>Debt, criminal background and sex offender screening policies include basic screening information, reasons for mandatory and non-mandatory denial and mitigating factors. Mitigating factors will be considered for certain screening outcomes.</w:t>
      </w:r>
      <w:r>
        <w:rPr>
          <w:rFonts w:cs="Arial"/>
          <w:szCs w:val="20"/>
        </w:rPr>
        <w:t xml:space="preserve"> </w:t>
      </w:r>
      <w:r w:rsidRPr="00765546">
        <w:rPr>
          <w:rFonts w:cs="Arial"/>
          <w:szCs w:val="20"/>
        </w:rPr>
        <w:t xml:space="preserve">Upon consideration of mitigating factors, </w:t>
      </w:r>
      <w:r>
        <w:rPr>
          <w:rFonts w:cs="Arial"/>
          <w:szCs w:val="20"/>
        </w:rPr>
        <w:t>HHA</w:t>
      </w:r>
      <w:r w:rsidRPr="00765546">
        <w:rPr>
          <w:rFonts w:cs="Arial"/>
          <w:szCs w:val="20"/>
        </w:rPr>
        <w:t xml:space="preserve"> may, on a case-by-case basis, decide not to deny assistance. </w:t>
      </w:r>
    </w:p>
    <w:p w14:paraId="67459F6D" w14:textId="77777777" w:rsidR="00AE3F8D" w:rsidRPr="00765546" w:rsidRDefault="00AE3F8D" w:rsidP="00AE3F8D">
      <w:pPr>
        <w:rPr>
          <w:rFonts w:cs="Arial"/>
          <w:szCs w:val="20"/>
        </w:rPr>
      </w:pPr>
      <w:r w:rsidRPr="00765546">
        <w:rPr>
          <w:rFonts w:cs="Arial"/>
          <w:szCs w:val="20"/>
        </w:rPr>
        <w:t xml:space="preserve">If a tenant is terminated and re-applies, the applicant (former tenant) will be subject to all </w:t>
      </w:r>
      <w:r>
        <w:rPr>
          <w:rFonts w:cs="Arial"/>
          <w:szCs w:val="20"/>
        </w:rPr>
        <w:t>HHA</w:t>
      </w:r>
      <w:r w:rsidRPr="00765546">
        <w:rPr>
          <w:rFonts w:cs="Arial"/>
          <w:szCs w:val="20"/>
        </w:rPr>
        <w:t xml:space="preserve"> required screening elements to determine eligibility and suitability for the program.</w:t>
      </w:r>
    </w:p>
    <w:p w14:paraId="750207B7" w14:textId="77777777" w:rsidR="00B52A3A" w:rsidRDefault="00B52A3A" w:rsidP="00B52A3A">
      <w:pPr>
        <w:rPr>
          <w:rFonts w:cs="Arial"/>
          <w:szCs w:val="20"/>
        </w:rPr>
      </w:pPr>
      <w:r w:rsidRPr="00B52A3A">
        <w:rPr>
          <w:rFonts w:cs="Arial"/>
          <w:szCs w:val="20"/>
        </w:rPr>
        <w:t>Any costs incurred to complete the application process and screening will be paid by HHA.</w:t>
      </w:r>
    </w:p>
    <w:p w14:paraId="69EEDFA1" w14:textId="77777777" w:rsidR="00FA0DB3" w:rsidRDefault="00FA0DB3" w:rsidP="00677451">
      <w:pPr>
        <w:pStyle w:val="Heading3"/>
      </w:pPr>
      <w:bookmarkStart w:id="517" w:name="_Toc143861579"/>
      <w:bookmarkStart w:id="518" w:name="_Toc200375553"/>
      <w:bookmarkStart w:id="519" w:name="_Toc521054825"/>
      <w:bookmarkStart w:id="520" w:name="_Toc527019351"/>
      <w:bookmarkStart w:id="521" w:name="_Toc534706886"/>
      <w:bookmarkStart w:id="522" w:name="_Toc534707564"/>
      <w:bookmarkStart w:id="523" w:name="_Toc534708372"/>
      <w:bookmarkStart w:id="524" w:name="_Toc118115952"/>
      <w:r w:rsidRPr="00765546">
        <w:t>E</w:t>
      </w:r>
      <w:r>
        <w:t>nterprise Income Verification (E</w:t>
      </w:r>
      <w:r w:rsidRPr="00765546">
        <w:t>IV</w:t>
      </w:r>
      <w:r>
        <w:t>)</w:t>
      </w:r>
      <w:r w:rsidRPr="00765546">
        <w:t xml:space="preserve"> </w:t>
      </w:r>
      <w:r>
        <w:t>Screening</w:t>
      </w:r>
      <w:bookmarkEnd w:id="517"/>
      <w:bookmarkEnd w:id="518"/>
    </w:p>
    <w:p w14:paraId="0C060FEA" w14:textId="77777777" w:rsidR="00FA0DB3" w:rsidRPr="00765546" w:rsidRDefault="00FA0DB3" w:rsidP="008E02EE">
      <w:pPr>
        <w:pStyle w:val="Heading4"/>
      </w:pPr>
      <w:r w:rsidRPr="00765546">
        <w:t xml:space="preserve">Existing </w:t>
      </w:r>
      <w:bookmarkEnd w:id="519"/>
      <w:bookmarkEnd w:id="520"/>
      <w:bookmarkEnd w:id="521"/>
      <w:bookmarkEnd w:id="522"/>
      <w:bookmarkEnd w:id="523"/>
      <w:r w:rsidRPr="00765546">
        <w:t>Tenant Search</w:t>
      </w:r>
      <w:bookmarkEnd w:id="524"/>
    </w:p>
    <w:p w14:paraId="5F9D311D" w14:textId="77777777" w:rsidR="00FA0DB3" w:rsidRPr="00765546" w:rsidRDefault="00FA0DB3" w:rsidP="00FA0DB3">
      <w:pPr>
        <w:autoSpaceDE w:val="0"/>
        <w:autoSpaceDN w:val="0"/>
        <w:adjustRightInd w:val="0"/>
        <w:rPr>
          <w:rFonts w:cs="Arial"/>
          <w:szCs w:val="20"/>
        </w:rPr>
      </w:pPr>
      <w:r w:rsidRPr="00765546">
        <w:rPr>
          <w:rFonts w:cs="Arial"/>
          <w:szCs w:val="20"/>
        </w:rPr>
        <w:t xml:space="preserve">Prior to admission to the program, </w:t>
      </w:r>
      <w:r>
        <w:rPr>
          <w:rFonts w:cs="Arial"/>
          <w:szCs w:val="20"/>
        </w:rPr>
        <w:t>HHA</w:t>
      </w:r>
      <w:r w:rsidRPr="00765546">
        <w:rPr>
          <w:rFonts w:cs="Arial"/>
          <w:szCs w:val="20"/>
        </w:rPr>
        <w:t xml:space="preserve"> will search for all household members using the EIV Existing Tenant Search module. </w:t>
      </w:r>
      <w:r>
        <w:rPr>
          <w:rFonts w:cs="Arial"/>
          <w:szCs w:val="20"/>
        </w:rPr>
        <w:t>HHA</w:t>
      </w:r>
      <w:r w:rsidRPr="00765546">
        <w:rPr>
          <w:rFonts w:cs="Arial"/>
          <w:szCs w:val="20"/>
        </w:rPr>
        <w:t xml:space="preserve"> will review the reports for any SSA matches involving another </w:t>
      </w:r>
      <w:r w:rsidR="00B747A0">
        <w:rPr>
          <w:rFonts w:cs="Arial"/>
          <w:szCs w:val="20"/>
        </w:rPr>
        <w:t xml:space="preserve">public </w:t>
      </w:r>
      <w:r>
        <w:rPr>
          <w:rFonts w:cs="Arial"/>
          <w:szCs w:val="20"/>
        </w:rPr>
        <w:t>housing authority</w:t>
      </w:r>
      <w:r w:rsidRPr="00765546">
        <w:rPr>
          <w:rFonts w:cs="Arial"/>
          <w:szCs w:val="20"/>
        </w:rPr>
        <w:t xml:space="preserve"> </w:t>
      </w:r>
      <w:r w:rsidR="00B747A0">
        <w:rPr>
          <w:rFonts w:cs="Arial"/>
          <w:szCs w:val="20"/>
        </w:rPr>
        <w:t xml:space="preserve">(PHA) </w:t>
      </w:r>
      <w:r w:rsidRPr="00765546">
        <w:rPr>
          <w:rFonts w:cs="Arial"/>
          <w:szCs w:val="20"/>
        </w:rPr>
        <w:t xml:space="preserve">or a multifamily entity and follow up on any issues identified. </w:t>
      </w:r>
    </w:p>
    <w:p w14:paraId="2C720CB7" w14:textId="77777777" w:rsidR="00FA0DB3" w:rsidRPr="00765546" w:rsidRDefault="00FA0DB3" w:rsidP="00FA0DB3">
      <w:pPr>
        <w:autoSpaceDE w:val="0"/>
        <w:autoSpaceDN w:val="0"/>
        <w:adjustRightInd w:val="0"/>
        <w:rPr>
          <w:rFonts w:cs="Arial"/>
          <w:szCs w:val="20"/>
        </w:rPr>
      </w:pPr>
      <w:r w:rsidRPr="00765546">
        <w:rPr>
          <w:rFonts w:cs="Arial"/>
          <w:szCs w:val="20"/>
        </w:rPr>
        <w:t xml:space="preserve">If the tenant is a new admission to </w:t>
      </w:r>
      <w:r>
        <w:rPr>
          <w:rFonts w:cs="Arial"/>
          <w:szCs w:val="20"/>
        </w:rPr>
        <w:t>HHA</w:t>
      </w:r>
      <w:r w:rsidRPr="00765546">
        <w:rPr>
          <w:rFonts w:cs="Arial"/>
          <w:szCs w:val="20"/>
        </w:rPr>
        <w:t xml:space="preserve">, and a match is identified, </w:t>
      </w:r>
      <w:r>
        <w:rPr>
          <w:rFonts w:cs="Arial"/>
          <w:szCs w:val="20"/>
        </w:rPr>
        <w:t>HHA</w:t>
      </w:r>
      <w:r w:rsidRPr="00765546">
        <w:rPr>
          <w:rFonts w:cs="Arial"/>
          <w:szCs w:val="20"/>
        </w:rPr>
        <w:t xml:space="preserve"> will contact the PHA or owner identified in the report to confirm that the family has moved out of the unit and obtain documentation of current tenancy status. </w:t>
      </w:r>
      <w:r>
        <w:rPr>
          <w:rFonts w:cs="Arial"/>
          <w:szCs w:val="20"/>
        </w:rPr>
        <w:t>HHA</w:t>
      </w:r>
      <w:r w:rsidRPr="00765546">
        <w:rPr>
          <w:rFonts w:cs="Arial"/>
          <w:szCs w:val="20"/>
        </w:rPr>
        <w:t xml:space="preserve"> will only approve assistance contingent upon the move-out from the currently</w:t>
      </w:r>
      <w:r>
        <w:rPr>
          <w:rFonts w:cs="Arial"/>
          <w:szCs w:val="20"/>
        </w:rPr>
        <w:t xml:space="preserve"> </w:t>
      </w:r>
      <w:r w:rsidRPr="00765546">
        <w:rPr>
          <w:rFonts w:cs="Arial"/>
          <w:szCs w:val="20"/>
        </w:rPr>
        <w:t>occupied assisted unit.</w:t>
      </w:r>
    </w:p>
    <w:p w14:paraId="2E5E8087" w14:textId="77777777" w:rsidR="00FA0DB3" w:rsidRPr="00765546" w:rsidRDefault="00351ACF" w:rsidP="008E02EE">
      <w:pPr>
        <w:pStyle w:val="Heading4"/>
      </w:pPr>
      <w:bookmarkStart w:id="525" w:name="_Toc118115953"/>
      <w:r>
        <w:t>Former Tenant Search/</w:t>
      </w:r>
      <w:r w:rsidR="00FA0DB3" w:rsidRPr="00765546">
        <w:t xml:space="preserve">Debts Owed </w:t>
      </w:r>
      <w:r w:rsidR="00FA0DB3">
        <w:t>a</w:t>
      </w:r>
      <w:r w:rsidR="00FA0DB3" w:rsidRPr="00765546">
        <w:t>nd Terminations</w:t>
      </w:r>
      <w:bookmarkEnd w:id="525"/>
    </w:p>
    <w:p w14:paraId="7A758FC9" w14:textId="77777777" w:rsidR="00FA0DB3" w:rsidRPr="00765546" w:rsidRDefault="00FA0DB3" w:rsidP="00FA0DB3">
      <w:r w:rsidRPr="00765546">
        <w:t>All adult household members must sign the form HUD-52675 Debts Owed to Public Housing and Terminations. Any new members added to the household after admission will be required to sign the form HUD-52675 prior to being added to the household.</w:t>
      </w:r>
    </w:p>
    <w:p w14:paraId="0B19FC92" w14:textId="77777777" w:rsidR="00FA0DB3" w:rsidRPr="00765546" w:rsidRDefault="00FA0DB3" w:rsidP="00FA0DB3">
      <w:r w:rsidRPr="00765546">
        <w:t xml:space="preserve">Prior to admission to the program, </w:t>
      </w:r>
      <w:r>
        <w:t>HHA</w:t>
      </w:r>
      <w:r w:rsidRPr="00765546">
        <w:t xml:space="preserve"> will search for each adult family member in the EIV Debts Owed to PHAs and Terminations module.</w:t>
      </w:r>
    </w:p>
    <w:p w14:paraId="7EFB2BE6" w14:textId="77777777" w:rsidR="00FA0DB3" w:rsidRPr="00765546" w:rsidRDefault="00FA0DB3" w:rsidP="00FA0DB3">
      <w:r w:rsidRPr="00765546">
        <w:t xml:space="preserve">If a current or former tenant disputes the information in the module, the tenant should contact the PHA directly in writing to dispute the information and provide any documentation that supports the dispute. </w:t>
      </w:r>
    </w:p>
    <w:p w14:paraId="04D025F9" w14:textId="77777777" w:rsidR="00FA0DB3" w:rsidRDefault="00FA0DB3" w:rsidP="00FA0DB3">
      <w:r w:rsidRPr="00765546">
        <w:t xml:space="preserve">If </w:t>
      </w:r>
      <w:r>
        <w:t>HHA</w:t>
      </w:r>
      <w:r w:rsidRPr="00765546">
        <w:t xml:space="preserve"> determines that the disputed information is incorrect, </w:t>
      </w:r>
      <w:r>
        <w:t>HHA</w:t>
      </w:r>
      <w:r w:rsidRPr="00765546">
        <w:t xml:space="preserve"> will update or delete the record from EIV. Former tenants may dispute debt and termination information for a period of up to three years from the end of participation date in the program.</w:t>
      </w:r>
    </w:p>
    <w:p w14:paraId="404D680C" w14:textId="77777777" w:rsidR="00FA0DB3" w:rsidRDefault="00FA0DB3" w:rsidP="008E02EE">
      <w:pPr>
        <w:pStyle w:val="Heading4"/>
      </w:pPr>
      <w:r w:rsidRPr="000B4033">
        <w:t>Income and Income Validation Tool (IVT) Reports</w:t>
      </w:r>
    </w:p>
    <w:p w14:paraId="749D5CBD" w14:textId="77777777" w:rsidR="00B52A3A" w:rsidRPr="00765546" w:rsidRDefault="00FA0DB3" w:rsidP="00FA0DB3">
      <w:pPr>
        <w:rPr>
          <w:rFonts w:cs="Arial"/>
          <w:szCs w:val="20"/>
        </w:rPr>
      </w:pPr>
      <w:r>
        <w:t>For each new admission, HHA is required to review the EIV Income and IVT Reports to confirm and validate family reported income within 120 days of the</w:t>
      </w:r>
      <w:r w:rsidR="00B25E53">
        <w:t xml:space="preserve"> dat</w:t>
      </w:r>
      <w:r w:rsidR="0085671A">
        <w:t xml:space="preserve">e the information is submitted to HUD. </w:t>
      </w:r>
      <w:r>
        <w:t>HHA will review the reports and resolve any discrepancies with the family within 60 days of the EIV Income or IVT report dates.</w:t>
      </w:r>
    </w:p>
    <w:p w14:paraId="53FBAA55" w14:textId="77777777" w:rsidR="0097251B" w:rsidRPr="00F5134F" w:rsidRDefault="00D870B2" w:rsidP="00677451">
      <w:pPr>
        <w:pStyle w:val="Heading3"/>
      </w:pPr>
      <w:bookmarkStart w:id="526" w:name="_Toc521054829"/>
      <w:bookmarkStart w:id="527" w:name="_Toc524450317"/>
      <w:bookmarkStart w:id="528" w:name="_Toc527019354"/>
      <w:bookmarkStart w:id="529" w:name="_Toc534706889"/>
      <w:bookmarkStart w:id="530" w:name="_Toc534707567"/>
      <w:bookmarkStart w:id="531" w:name="_Toc534708375"/>
      <w:bookmarkStart w:id="532" w:name="_Ref103929501"/>
      <w:bookmarkStart w:id="533" w:name="_Toc106037755"/>
      <w:bookmarkStart w:id="534" w:name="_Toc106201396"/>
      <w:bookmarkStart w:id="535" w:name="_Toc106201915"/>
      <w:bookmarkStart w:id="536" w:name="_Toc106202441"/>
      <w:bookmarkStart w:id="537" w:name="_Toc113344895"/>
      <w:bookmarkStart w:id="538" w:name="_Toc137460315"/>
      <w:bookmarkStart w:id="539" w:name="_Toc137460560"/>
      <w:bookmarkStart w:id="540" w:name="_Toc137460805"/>
      <w:bookmarkStart w:id="541" w:name="_Toc137461636"/>
      <w:bookmarkStart w:id="542" w:name="_Toc137471227"/>
      <w:bookmarkStart w:id="543" w:name="_Toc137471736"/>
      <w:bookmarkStart w:id="544" w:name="_Toc200375554"/>
      <w:r w:rsidRPr="00F5134F">
        <w:t>Criminal Background Screening</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14:paraId="78C25977" w14:textId="77777777" w:rsidR="0097251B" w:rsidRPr="00F5134F" w:rsidRDefault="0097251B" w:rsidP="0097251B">
      <w:pPr>
        <w:rPr>
          <w:rFonts w:cs="Arial"/>
          <w:szCs w:val="20"/>
        </w:rPr>
      </w:pPr>
      <w:r w:rsidRPr="00F5134F">
        <w:rPr>
          <w:rFonts w:cs="Arial"/>
          <w:szCs w:val="20"/>
        </w:rPr>
        <w:t xml:space="preserve">It is </w:t>
      </w:r>
      <w:r>
        <w:rPr>
          <w:rFonts w:cs="Arial"/>
          <w:szCs w:val="20"/>
        </w:rPr>
        <w:t>HHA</w:t>
      </w:r>
      <w:r w:rsidRPr="00F5134F">
        <w:rPr>
          <w:rFonts w:cs="Arial"/>
          <w:szCs w:val="20"/>
        </w:rPr>
        <w:t xml:space="preserve">’s policy to conduct screening for drug abuse and other criminal activity in an effort to prevent future drug-related and other criminal activity, as well as other patterns of behavior that pose a threat to the health, safety or right to peaceful enjoyment of the premises by other tenants. In conducting screening, </w:t>
      </w:r>
      <w:r>
        <w:rPr>
          <w:rFonts w:cs="Arial"/>
          <w:szCs w:val="20"/>
        </w:rPr>
        <w:t>HHA</w:t>
      </w:r>
      <w:r w:rsidRPr="00F5134F">
        <w:rPr>
          <w:rFonts w:cs="Arial"/>
          <w:szCs w:val="20"/>
        </w:rPr>
        <w:t xml:space="preserve"> will comply with all applicable civil rights requirements contained in the Fair Housing Act, Title VI of the Civil Rights Act of 1964, Section 504 of the Rehabilitation Act and Titles II and II</w:t>
      </w:r>
      <w:r w:rsidR="007E4214">
        <w:rPr>
          <w:rFonts w:cs="Arial"/>
          <w:szCs w:val="20"/>
        </w:rPr>
        <w:t>I</w:t>
      </w:r>
      <w:r w:rsidRPr="00F5134F">
        <w:rPr>
          <w:rFonts w:cs="Arial"/>
          <w:szCs w:val="20"/>
        </w:rPr>
        <w:t xml:space="preserve"> of the Americans with Disabilities Act of 1990 and other equal opportunity provisions listed in 24 CFR 5.105. Such screening will apply to any member of the household who is 18 years of age or older at the time of lease-up or move-in, including live-in aides.</w:t>
      </w:r>
    </w:p>
    <w:p w14:paraId="52EF1B39" w14:textId="77777777" w:rsidR="0097251B" w:rsidRDefault="0097251B" w:rsidP="0097251B">
      <w:pPr>
        <w:rPr>
          <w:rFonts w:cs="Arial"/>
          <w:szCs w:val="20"/>
        </w:rPr>
      </w:pPr>
      <w:r w:rsidRPr="00F5134F">
        <w:rPr>
          <w:rFonts w:cs="Arial"/>
          <w:szCs w:val="20"/>
        </w:rPr>
        <w:t xml:space="preserve">A signed Criminal Background </w:t>
      </w:r>
      <w:r w:rsidR="00685D5A">
        <w:rPr>
          <w:rFonts w:cs="Arial"/>
          <w:szCs w:val="20"/>
        </w:rPr>
        <w:t>Check Release</w:t>
      </w:r>
      <w:r w:rsidRPr="00F5134F">
        <w:rPr>
          <w:rFonts w:cs="Arial"/>
          <w:szCs w:val="20"/>
        </w:rPr>
        <w:t xml:space="preserve"> Form, authorizing the release of criminal records from law enforcement agencies, must be completed by the household members for whom the record is being requested or in the case of a minor the adult responsible for said minor. Failure to sign the consent form will result in the denial of assistance.  </w:t>
      </w:r>
    </w:p>
    <w:p w14:paraId="39F43040" w14:textId="77777777" w:rsidR="00C940FE" w:rsidRDefault="00C940FE" w:rsidP="00C940FE">
      <w:pPr>
        <w:rPr>
          <w:rFonts w:cs="Arial"/>
          <w:szCs w:val="20"/>
        </w:rPr>
      </w:pPr>
      <w:r w:rsidRPr="0008662D">
        <w:rPr>
          <w:rFonts w:cs="Arial"/>
          <w:szCs w:val="20"/>
        </w:rPr>
        <w:t>HHA will perform a criminal background check for every person 18 years of age or older:</w:t>
      </w:r>
    </w:p>
    <w:p w14:paraId="67EBD938" w14:textId="77777777" w:rsidR="00C940FE" w:rsidRDefault="00C940FE" w:rsidP="00CB52D8">
      <w:pPr>
        <w:pStyle w:val="ListParagraph"/>
        <w:numPr>
          <w:ilvl w:val="0"/>
          <w:numId w:val="54"/>
        </w:numPr>
        <w:autoSpaceDE w:val="0"/>
        <w:autoSpaceDN w:val="0"/>
        <w:adjustRightInd w:val="0"/>
        <w:spacing w:after="120"/>
        <w:contextualSpacing w:val="0"/>
        <w:rPr>
          <w:rFonts w:cs="Arial"/>
          <w:szCs w:val="20"/>
        </w:rPr>
      </w:pPr>
      <w:r>
        <w:rPr>
          <w:rFonts w:cs="Arial"/>
          <w:szCs w:val="20"/>
        </w:rPr>
        <w:t>A</w:t>
      </w:r>
      <w:r w:rsidRPr="0008662D">
        <w:rPr>
          <w:rFonts w:cs="Arial"/>
          <w:szCs w:val="20"/>
        </w:rPr>
        <w:t>t the time of application.</w:t>
      </w:r>
    </w:p>
    <w:p w14:paraId="5DF92E9B" w14:textId="77777777" w:rsidR="00C940FE" w:rsidRDefault="00C940FE" w:rsidP="00CB52D8">
      <w:pPr>
        <w:pStyle w:val="ListParagraph"/>
        <w:numPr>
          <w:ilvl w:val="0"/>
          <w:numId w:val="54"/>
        </w:numPr>
        <w:autoSpaceDE w:val="0"/>
        <w:autoSpaceDN w:val="0"/>
        <w:adjustRightInd w:val="0"/>
        <w:spacing w:after="120"/>
        <w:contextualSpacing w:val="0"/>
        <w:rPr>
          <w:rFonts w:cs="Arial"/>
          <w:szCs w:val="20"/>
        </w:rPr>
      </w:pPr>
      <w:r>
        <w:rPr>
          <w:rFonts w:cs="Arial"/>
          <w:szCs w:val="20"/>
        </w:rPr>
        <w:t>W</w:t>
      </w:r>
      <w:r w:rsidRPr="0008662D">
        <w:rPr>
          <w:rFonts w:cs="Arial"/>
          <w:szCs w:val="20"/>
        </w:rPr>
        <w:t>hen being added as a live-in aide.</w:t>
      </w:r>
    </w:p>
    <w:p w14:paraId="3B7DD46A" w14:textId="77777777" w:rsidR="00C940FE" w:rsidRDefault="00C940FE" w:rsidP="00CB52D8">
      <w:pPr>
        <w:pStyle w:val="ListParagraph"/>
        <w:numPr>
          <w:ilvl w:val="0"/>
          <w:numId w:val="54"/>
        </w:numPr>
        <w:autoSpaceDE w:val="0"/>
        <w:autoSpaceDN w:val="0"/>
        <w:adjustRightInd w:val="0"/>
        <w:spacing w:after="120"/>
        <w:contextualSpacing w:val="0"/>
        <w:rPr>
          <w:rFonts w:cs="Arial"/>
          <w:szCs w:val="20"/>
        </w:rPr>
      </w:pPr>
      <w:r>
        <w:rPr>
          <w:rFonts w:cs="Arial"/>
          <w:szCs w:val="20"/>
        </w:rPr>
        <w:t>W</w:t>
      </w:r>
      <w:r w:rsidRPr="0008662D">
        <w:rPr>
          <w:rFonts w:cs="Arial"/>
          <w:szCs w:val="20"/>
        </w:rPr>
        <w:t>hen being added as a new household member.</w:t>
      </w:r>
    </w:p>
    <w:p w14:paraId="654AB3C2" w14:textId="77777777" w:rsidR="00C940FE" w:rsidRDefault="00C940FE" w:rsidP="00CB52D8">
      <w:pPr>
        <w:pStyle w:val="ListParagraph"/>
        <w:numPr>
          <w:ilvl w:val="0"/>
          <w:numId w:val="54"/>
        </w:numPr>
        <w:autoSpaceDE w:val="0"/>
        <w:autoSpaceDN w:val="0"/>
        <w:adjustRightInd w:val="0"/>
        <w:spacing w:after="120"/>
        <w:contextualSpacing w:val="0"/>
        <w:rPr>
          <w:rFonts w:cs="Arial"/>
          <w:szCs w:val="20"/>
        </w:rPr>
      </w:pPr>
      <w:r>
        <w:rPr>
          <w:rFonts w:cs="Arial"/>
          <w:szCs w:val="20"/>
        </w:rPr>
        <w:t xml:space="preserve">At </w:t>
      </w:r>
      <w:r w:rsidRPr="0008662D">
        <w:rPr>
          <w:rFonts w:cs="Arial"/>
          <w:szCs w:val="20"/>
        </w:rPr>
        <w:t xml:space="preserve">any other time if necessary, during the family’s </w:t>
      </w:r>
      <w:r w:rsidR="008D08E2">
        <w:rPr>
          <w:rFonts w:cs="Arial"/>
          <w:szCs w:val="20"/>
        </w:rPr>
        <w:t>tenancy</w:t>
      </w:r>
      <w:r w:rsidRPr="0008662D">
        <w:rPr>
          <w:rFonts w:cs="Arial"/>
          <w:szCs w:val="20"/>
        </w:rPr>
        <w:t xml:space="preserve"> to determine ongoing compliance</w:t>
      </w:r>
      <w:r>
        <w:rPr>
          <w:rFonts w:cs="Arial"/>
          <w:szCs w:val="20"/>
        </w:rPr>
        <w:t>.</w:t>
      </w:r>
    </w:p>
    <w:p w14:paraId="7DDEFDBA" w14:textId="77777777" w:rsidR="00C940FE" w:rsidRDefault="00C940FE" w:rsidP="00CB52D8">
      <w:pPr>
        <w:pStyle w:val="ListParagraph"/>
        <w:numPr>
          <w:ilvl w:val="0"/>
          <w:numId w:val="54"/>
        </w:numPr>
        <w:autoSpaceDE w:val="0"/>
        <w:autoSpaceDN w:val="0"/>
        <w:adjustRightInd w:val="0"/>
        <w:spacing w:after="120"/>
        <w:contextualSpacing w:val="0"/>
        <w:rPr>
          <w:rFonts w:cs="Arial"/>
          <w:szCs w:val="20"/>
        </w:rPr>
      </w:pPr>
      <w:r>
        <w:rPr>
          <w:rFonts w:cs="Arial"/>
          <w:szCs w:val="20"/>
        </w:rPr>
        <w:t>W</w:t>
      </w:r>
      <w:r w:rsidRPr="0008662D">
        <w:rPr>
          <w:rFonts w:cs="Arial"/>
          <w:szCs w:val="20"/>
        </w:rPr>
        <w:t xml:space="preserve">henever HHA has a reasonable belief or report that a </w:t>
      </w:r>
      <w:r w:rsidR="008D08E2">
        <w:rPr>
          <w:rFonts w:cs="Arial"/>
          <w:szCs w:val="20"/>
        </w:rPr>
        <w:t>tenant</w:t>
      </w:r>
      <w:r w:rsidRPr="0008662D">
        <w:rPr>
          <w:rFonts w:cs="Arial"/>
          <w:szCs w:val="20"/>
        </w:rPr>
        <w:t xml:space="preserve"> has engaged in fraudulent or criminal activity.</w:t>
      </w:r>
    </w:p>
    <w:p w14:paraId="6EB8CA1E" w14:textId="77777777" w:rsidR="0097251B" w:rsidRPr="00F5134F" w:rsidRDefault="0097251B" w:rsidP="0097251B">
      <w:pPr>
        <w:rPr>
          <w:rFonts w:cs="Arial"/>
          <w:szCs w:val="20"/>
        </w:rPr>
      </w:pPr>
      <w:r>
        <w:rPr>
          <w:rFonts w:cs="Arial"/>
          <w:szCs w:val="20"/>
        </w:rPr>
        <w:t>HHA</w:t>
      </w:r>
      <w:r w:rsidRPr="00F5134F">
        <w:rPr>
          <w:rFonts w:cs="Arial"/>
          <w:szCs w:val="20"/>
        </w:rPr>
        <w:t xml:space="preserve"> will ensure that adverse housing decisions based upon criminal activity are supported by sufficient evidence that the individual engaged in such activity. </w:t>
      </w:r>
      <w:r>
        <w:rPr>
          <w:rFonts w:cs="Arial"/>
          <w:szCs w:val="20"/>
        </w:rPr>
        <w:t>HHA</w:t>
      </w:r>
      <w:r w:rsidRPr="00F5134F">
        <w:rPr>
          <w:rFonts w:cs="Arial"/>
          <w:szCs w:val="20"/>
        </w:rPr>
        <w:t xml:space="preserve"> uses convictions, not arrest records, to determine that an individual has engaged in criminal activity. </w:t>
      </w:r>
      <w:r>
        <w:rPr>
          <w:rFonts w:cs="Arial"/>
          <w:szCs w:val="20"/>
        </w:rPr>
        <w:t>HHA</w:t>
      </w:r>
      <w:r w:rsidRPr="00F5134F">
        <w:rPr>
          <w:rFonts w:cs="Arial"/>
          <w:szCs w:val="20"/>
        </w:rPr>
        <w:t xml:space="preserve"> may deny admission based upon the conduct underlying an arrest if the conduct indicates that the individual is not suitable for tenancy and </w:t>
      </w:r>
      <w:r>
        <w:rPr>
          <w:rFonts w:cs="Arial"/>
          <w:szCs w:val="20"/>
        </w:rPr>
        <w:t>HHA</w:t>
      </w:r>
      <w:r w:rsidRPr="00F5134F">
        <w:rPr>
          <w:rFonts w:cs="Arial"/>
          <w:szCs w:val="20"/>
        </w:rPr>
        <w:t xml:space="preserve"> has sufficient evidence other than the fact of arrest that the individual engaged in the conduct. The conduct, not the arrest, will be the relevant factor for admissions and tenancy determination. Reliable evidence of a conviction may be the basis for determining that disqualifying conduct occurred.  </w:t>
      </w:r>
    </w:p>
    <w:p w14:paraId="422EE359" w14:textId="77777777" w:rsidR="0097251B" w:rsidRPr="00F5134F" w:rsidRDefault="0097251B" w:rsidP="0097251B">
      <w:pPr>
        <w:rPr>
          <w:rFonts w:cs="Arial"/>
          <w:szCs w:val="20"/>
        </w:rPr>
      </w:pPr>
      <w:r>
        <w:rPr>
          <w:rFonts w:cs="Arial"/>
          <w:szCs w:val="20"/>
        </w:rPr>
        <w:t>HHA</w:t>
      </w:r>
      <w:r w:rsidRPr="00F5134F">
        <w:rPr>
          <w:rFonts w:cs="Arial"/>
          <w:szCs w:val="20"/>
        </w:rPr>
        <w:t xml:space="preserve"> may use other evidence such as police reports detailing the circumstances of the arrest, witness statements and other relevant documentation to assist in making a determination that disqualifying conduct occurred. </w:t>
      </w:r>
    </w:p>
    <w:p w14:paraId="1BD4B051" w14:textId="77777777" w:rsidR="0097251B" w:rsidRPr="00F5134F" w:rsidRDefault="00D870B2" w:rsidP="00677451">
      <w:pPr>
        <w:pStyle w:val="Heading3"/>
      </w:pPr>
      <w:bookmarkStart w:id="545" w:name="_Toc521054832"/>
      <w:bookmarkStart w:id="546" w:name="_Toc524450320"/>
      <w:bookmarkStart w:id="547" w:name="_Toc527019357"/>
      <w:bookmarkStart w:id="548" w:name="_Toc534706892"/>
      <w:bookmarkStart w:id="549" w:name="_Toc534707570"/>
      <w:bookmarkStart w:id="550" w:name="_Toc534708378"/>
      <w:bookmarkStart w:id="551" w:name="_Toc106037758"/>
      <w:bookmarkStart w:id="552" w:name="_Toc106201399"/>
      <w:bookmarkStart w:id="553" w:name="_Toc106201918"/>
      <w:bookmarkStart w:id="554" w:name="_Toc106202444"/>
      <w:bookmarkStart w:id="555" w:name="_Toc113344898"/>
      <w:bookmarkStart w:id="556" w:name="_Toc137460316"/>
      <w:bookmarkStart w:id="557" w:name="_Toc137460561"/>
      <w:bookmarkStart w:id="558" w:name="_Toc137460806"/>
      <w:bookmarkStart w:id="559" w:name="_Toc137461639"/>
      <w:bookmarkStart w:id="560" w:name="_Toc137471230"/>
      <w:bookmarkStart w:id="561" w:name="_Toc137471739"/>
      <w:bookmarkStart w:id="562" w:name="_Toc200375555"/>
      <w:r w:rsidRPr="00F5134F">
        <w:t>Sex Offender Screening</w:t>
      </w:r>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14:paraId="497CC4E1" w14:textId="77777777" w:rsidR="0097251B" w:rsidRPr="00F5134F" w:rsidRDefault="0097251B" w:rsidP="0097251B">
      <w:pPr>
        <w:rPr>
          <w:rFonts w:cs="Arial"/>
          <w:szCs w:val="20"/>
        </w:rPr>
      </w:pPr>
      <w:r>
        <w:rPr>
          <w:rFonts w:cs="Arial"/>
          <w:szCs w:val="20"/>
        </w:rPr>
        <w:t>HHA</w:t>
      </w:r>
      <w:r w:rsidRPr="00F5134F">
        <w:rPr>
          <w:rFonts w:cs="Arial"/>
          <w:szCs w:val="20"/>
        </w:rPr>
        <w:t xml:space="preserve"> will perform criminal background checks necessary to determine whether any household member is subject to a lifetime registration requirement under a state sex offender program in </w:t>
      </w:r>
      <w:r w:rsidR="00D870B2">
        <w:rPr>
          <w:rFonts w:cs="Arial"/>
          <w:szCs w:val="20"/>
        </w:rPr>
        <w:t>Texas</w:t>
      </w:r>
      <w:r w:rsidRPr="00F5134F">
        <w:rPr>
          <w:rFonts w:cs="Arial"/>
          <w:szCs w:val="20"/>
        </w:rPr>
        <w:t xml:space="preserve">, as well as in any other state where a household member is known to have resided. </w:t>
      </w:r>
    </w:p>
    <w:p w14:paraId="5299C115" w14:textId="77777777" w:rsidR="0097251B" w:rsidRPr="00F5134F" w:rsidRDefault="00D870B2" w:rsidP="00677451">
      <w:pPr>
        <w:pStyle w:val="Heading3"/>
      </w:pPr>
      <w:bookmarkStart w:id="563" w:name="_Toc521054835"/>
      <w:bookmarkStart w:id="564" w:name="_Toc524450323"/>
      <w:bookmarkStart w:id="565" w:name="_Toc527019359"/>
      <w:bookmarkStart w:id="566" w:name="_Toc534706894"/>
      <w:bookmarkStart w:id="567" w:name="_Toc534707572"/>
      <w:bookmarkStart w:id="568" w:name="_Toc534708380"/>
      <w:bookmarkStart w:id="569" w:name="_Toc106037760"/>
      <w:bookmarkStart w:id="570" w:name="_Toc106201401"/>
      <w:bookmarkStart w:id="571" w:name="_Toc106201920"/>
      <w:bookmarkStart w:id="572" w:name="_Toc106202446"/>
      <w:bookmarkStart w:id="573" w:name="_Toc113344900"/>
      <w:bookmarkStart w:id="574" w:name="_Toc137460317"/>
      <w:bookmarkStart w:id="575" w:name="_Toc137460562"/>
      <w:bookmarkStart w:id="576" w:name="_Toc137460807"/>
      <w:bookmarkStart w:id="577" w:name="_Toc137461641"/>
      <w:bookmarkStart w:id="578" w:name="_Toc137471232"/>
      <w:bookmarkStart w:id="579" w:name="_Toc137471741"/>
      <w:bookmarkStart w:id="580" w:name="_Toc200375556"/>
      <w:r w:rsidRPr="00F5134F">
        <w:t xml:space="preserve">Screening Based </w:t>
      </w:r>
      <w:r>
        <w:t>o</w:t>
      </w:r>
      <w:r w:rsidRPr="00F5134F">
        <w:t xml:space="preserve">n Past </w:t>
      </w:r>
      <w:r>
        <w:t>o</w:t>
      </w:r>
      <w:r w:rsidRPr="00F5134F">
        <w:t>r Current Behavior</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p>
    <w:p w14:paraId="6F911832" w14:textId="77777777" w:rsidR="0097251B" w:rsidRPr="00F5134F" w:rsidRDefault="0097251B" w:rsidP="0097251B">
      <w:pPr>
        <w:rPr>
          <w:rFonts w:cs="Arial"/>
          <w:szCs w:val="20"/>
        </w:rPr>
      </w:pPr>
      <w:r w:rsidRPr="00F5134F">
        <w:rPr>
          <w:rFonts w:cs="Arial"/>
          <w:szCs w:val="20"/>
        </w:rPr>
        <w:t>Arrest records alone will not be used to make a determination of suitability. In addition to the criminal background check</w:t>
      </w:r>
      <w:r w:rsidR="00CC49C1">
        <w:rPr>
          <w:rFonts w:cs="Arial"/>
          <w:szCs w:val="20"/>
        </w:rPr>
        <w:t xml:space="preserve">, </w:t>
      </w:r>
      <w:r>
        <w:rPr>
          <w:rFonts w:cs="Arial"/>
          <w:szCs w:val="20"/>
        </w:rPr>
        <w:t>HHA</w:t>
      </w:r>
      <w:r w:rsidRPr="00F5134F">
        <w:rPr>
          <w:rFonts w:cs="Arial"/>
          <w:szCs w:val="20"/>
        </w:rPr>
        <w:t xml:space="preserve"> may also use the following as evidence of patterns of current and past unsuitable behavior:</w:t>
      </w:r>
    </w:p>
    <w:p w14:paraId="2C5A20A4" w14:textId="77777777" w:rsidR="0097251B" w:rsidRPr="00D870B2" w:rsidRDefault="0097251B" w:rsidP="007F177E">
      <w:pPr>
        <w:pStyle w:val="ListParagraph"/>
        <w:numPr>
          <w:ilvl w:val="0"/>
          <w:numId w:val="228"/>
        </w:numPr>
        <w:contextualSpacing w:val="0"/>
        <w:rPr>
          <w:rFonts w:cs="Arial"/>
          <w:szCs w:val="20"/>
        </w:rPr>
      </w:pPr>
      <w:r w:rsidRPr="00F5134F">
        <w:rPr>
          <w:rFonts w:cs="Arial"/>
          <w:szCs w:val="20"/>
        </w:rPr>
        <w:t>Police reports detailing the circumstances of the arrest;</w:t>
      </w:r>
    </w:p>
    <w:p w14:paraId="18A2EB67" w14:textId="77777777" w:rsidR="0097251B" w:rsidRPr="00D870B2" w:rsidRDefault="0097251B" w:rsidP="007F177E">
      <w:pPr>
        <w:pStyle w:val="ListParagraph"/>
        <w:numPr>
          <w:ilvl w:val="0"/>
          <w:numId w:val="228"/>
        </w:numPr>
        <w:contextualSpacing w:val="0"/>
        <w:rPr>
          <w:rFonts w:cs="Arial"/>
          <w:szCs w:val="20"/>
        </w:rPr>
      </w:pPr>
      <w:r w:rsidRPr="00F5134F">
        <w:rPr>
          <w:rFonts w:cs="Arial"/>
          <w:szCs w:val="20"/>
        </w:rPr>
        <w:t>Witness statements;</w:t>
      </w:r>
    </w:p>
    <w:p w14:paraId="3D2D8E42" w14:textId="77777777" w:rsidR="0097251B" w:rsidRPr="00D870B2" w:rsidRDefault="0097251B" w:rsidP="007F177E">
      <w:pPr>
        <w:pStyle w:val="ListParagraph"/>
        <w:numPr>
          <w:ilvl w:val="0"/>
          <w:numId w:val="228"/>
        </w:numPr>
        <w:contextualSpacing w:val="0"/>
        <w:rPr>
          <w:rFonts w:cs="Arial"/>
          <w:szCs w:val="20"/>
        </w:rPr>
      </w:pPr>
      <w:r w:rsidRPr="00F5134F">
        <w:rPr>
          <w:rFonts w:cs="Arial"/>
          <w:szCs w:val="20"/>
        </w:rPr>
        <w:t xml:space="preserve">Criminal background checks for drug-related or violent criminal activity of household members within the past </w:t>
      </w:r>
      <w:r w:rsidR="00127C46">
        <w:rPr>
          <w:rFonts w:cs="Arial"/>
          <w:szCs w:val="20"/>
        </w:rPr>
        <w:t>five</w:t>
      </w:r>
      <w:r w:rsidRPr="00F5134F">
        <w:rPr>
          <w:rFonts w:cs="Arial"/>
          <w:szCs w:val="20"/>
        </w:rPr>
        <w:t xml:space="preserve"> years;</w:t>
      </w:r>
    </w:p>
    <w:p w14:paraId="17B74A87" w14:textId="77777777" w:rsidR="0097251B" w:rsidRPr="00D870B2" w:rsidRDefault="0097251B" w:rsidP="007F177E">
      <w:pPr>
        <w:pStyle w:val="ListParagraph"/>
        <w:numPr>
          <w:ilvl w:val="0"/>
          <w:numId w:val="228"/>
        </w:numPr>
        <w:contextualSpacing w:val="0"/>
        <w:rPr>
          <w:rFonts w:cs="Arial"/>
          <w:szCs w:val="20"/>
        </w:rPr>
      </w:pPr>
      <w:r w:rsidRPr="00F5134F">
        <w:rPr>
          <w:rFonts w:cs="Arial"/>
          <w:szCs w:val="20"/>
        </w:rPr>
        <w:t xml:space="preserve">Any record of evictions for suspected drug-related or violent criminal activity of household members within the past </w:t>
      </w:r>
      <w:r w:rsidR="00127C46">
        <w:rPr>
          <w:rFonts w:cs="Arial"/>
          <w:szCs w:val="20"/>
        </w:rPr>
        <w:t>five</w:t>
      </w:r>
      <w:r w:rsidRPr="00F5134F">
        <w:rPr>
          <w:rFonts w:cs="Arial"/>
          <w:szCs w:val="20"/>
        </w:rPr>
        <w:t xml:space="preserve"> years; and/or</w:t>
      </w:r>
    </w:p>
    <w:p w14:paraId="6DB2DAA2" w14:textId="77777777" w:rsidR="0097251B" w:rsidRPr="00D870B2" w:rsidRDefault="0097251B" w:rsidP="007F177E">
      <w:pPr>
        <w:pStyle w:val="ListParagraph"/>
        <w:numPr>
          <w:ilvl w:val="0"/>
          <w:numId w:val="228"/>
        </w:numPr>
        <w:contextualSpacing w:val="0"/>
        <w:rPr>
          <w:rFonts w:cs="Arial"/>
          <w:szCs w:val="20"/>
        </w:rPr>
      </w:pPr>
      <w:r w:rsidRPr="00F5134F">
        <w:rPr>
          <w:rFonts w:cs="Arial"/>
          <w:szCs w:val="20"/>
        </w:rPr>
        <w:t xml:space="preserve">Other relevant documentation to assist </w:t>
      </w:r>
      <w:r>
        <w:rPr>
          <w:rFonts w:cs="Arial"/>
          <w:szCs w:val="20"/>
        </w:rPr>
        <w:t>HHA</w:t>
      </w:r>
      <w:r w:rsidRPr="00F5134F">
        <w:rPr>
          <w:rFonts w:cs="Arial"/>
          <w:szCs w:val="20"/>
        </w:rPr>
        <w:t xml:space="preserve"> in making a determination that disqualifying conduct occurred.</w:t>
      </w:r>
    </w:p>
    <w:p w14:paraId="017A5E89" w14:textId="77777777" w:rsidR="0069485B" w:rsidRPr="00AA0899" w:rsidRDefault="00B001F3" w:rsidP="00677451">
      <w:pPr>
        <w:pStyle w:val="Heading3"/>
      </w:pPr>
      <w:bookmarkStart w:id="581" w:name="_Toc200375557"/>
      <w:r w:rsidRPr="00AA0899">
        <w:t>Other Screening</w:t>
      </w:r>
      <w:bookmarkEnd w:id="581"/>
    </w:p>
    <w:p w14:paraId="4E894D9D" w14:textId="77777777" w:rsidR="00E82A9A" w:rsidRDefault="009769B1" w:rsidP="007567AD">
      <w:pPr>
        <w:rPr>
          <w:rFonts w:cs="Arial"/>
          <w:szCs w:val="20"/>
        </w:rPr>
      </w:pPr>
      <w:r>
        <w:rPr>
          <w:rFonts w:cs="Arial"/>
          <w:szCs w:val="20"/>
        </w:rPr>
        <w:t>HHA will also screen applicant families</w:t>
      </w:r>
      <w:r w:rsidR="00CF5142">
        <w:rPr>
          <w:rFonts w:cs="Arial"/>
          <w:szCs w:val="20"/>
        </w:rPr>
        <w:t xml:space="preserve"> to ensure:</w:t>
      </w:r>
    </w:p>
    <w:p w14:paraId="04736172" w14:textId="77777777" w:rsidR="00CF5142" w:rsidRDefault="00EB2C98" w:rsidP="00CB52D8">
      <w:pPr>
        <w:pStyle w:val="ListParagraph"/>
        <w:numPr>
          <w:ilvl w:val="0"/>
          <w:numId w:val="27"/>
        </w:numPr>
        <w:contextualSpacing w:val="0"/>
        <w:rPr>
          <w:rFonts w:cs="Arial"/>
          <w:szCs w:val="20"/>
        </w:rPr>
      </w:pPr>
      <w:r>
        <w:rPr>
          <w:rFonts w:cs="Arial"/>
          <w:szCs w:val="20"/>
        </w:rPr>
        <w:t>HHA has an appropriate size and type of unit for the family;</w:t>
      </w:r>
      <w:r w:rsidR="007567AD">
        <w:rPr>
          <w:rFonts w:cs="Arial"/>
          <w:szCs w:val="20"/>
        </w:rPr>
        <w:t xml:space="preserve"> and</w:t>
      </w:r>
    </w:p>
    <w:p w14:paraId="596E1673" w14:textId="77777777" w:rsidR="007567AD" w:rsidRPr="007567AD" w:rsidRDefault="00EB2C98" w:rsidP="00CB52D8">
      <w:pPr>
        <w:pStyle w:val="ListParagraph"/>
        <w:numPr>
          <w:ilvl w:val="0"/>
          <w:numId w:val="27"/>
        </w:numPr>
        <w:contextualSpacing w:val="0"/>
        <w:rPr>
          <w:rFonts w:cs="Arial"/>
          <w:szCs w:val="20"/>
        </w:rPr>
      </w:pPr>
      <w:r>
        <w:rPr>
          <w:rFonts w:cs="Arial"/>
          <w:szCs w:val="20"/>
        </w:rPr>
        <w:t>The family has not been removed from the waiting list within the last 12 months</w:t>
      </w:r>
      <w:r w:rsidR="007567AD">
        <w:rPr>
          <w:rFonts w:cs="Arial"/>
          <w:szCs w:val="20"/>
        </w:rPr>
        <w:t>.</w:t>
      </w:r>
    </w:p>
    <w:p w14:paraId="6F6010EB" w14:textId="77777777" w:rsidR="00B001F3" w:rsidRDefault="007567AD" w:rsidP="007567AD">
      <w:pPr>
        <w:rPr>
          <w:rFonts w:cs="Arial"/>
          <w:szCs w:val="20"/>
        </w:rPr>
      </w:pPr>
      <w:r>
        <w:rPr>
          <w:rFonts w:cs="Arial"/>
          <w:szCs w:val="20"/>
        </w:rPr>
        <w:t>If an applicant family does not meet these requirements, they may be determined to be ineligible for the public housing program.</w:t>
      </w:r>
    </w:p>
    <w:p w14:paraId="5375EABA" w14:textId="77777777" w:rsidR="0064273F" w:rsidRDefault="0064273F" w:rsidP="00F44E5C">
      <w:pPr>
        <w:rPr>
          <w:rFonts w:cs="Arial"/>
          <w:szCs w:val="20"/>
        </w:rPr>
      </w:pPr>
      <w:r>
        <w:rPr>
          <w:rFonts w:cs="Arial"/>
          <w:szCs w:val="20"/>
        </w:rPr>
        <w:t>Additionally, families who are deemed eligible for public housing may be denied</w:t>
      </w:r>
      <w:r w:rsidR="00902B48">
        <w:rPr>
          <w:rFonts w:cs="Arial"/>
          <w:szCs w:val="20"/>
        </w:rPr>
        <w:t xml:space="preserve"> lease up if:</w:t>
      </w:r>
    </w:p>
    <w:p w14:paraId="6DBAB603" w14:textId="77777777" w:rsidR="009B6DA6" w:rsidRDefault="009B6DA6" w:rsidP="007F177E">
      <w:pPr>
        <w:pStyle w:val="ListParagraph"/>
        <w:numPr>
          <w:ilvl w:val="0"/>
          <w:numId w:val="229"/>
        </w:numPr>
        <w:contextualSpacing w:val="0"/>
        <w:rPr>
          <w:rFonts w:cs="Arial"/>
          <w:szCs w:val="20"/>
        </w:rPr>
      </w:pPr>
      <w:r>
        <w:rPr>
          <w:rFonts w:cs="Arial"/>
          <w:szCs w:val="20"/>
        </w:rPr>
        <w:t>The applicant fails to complete the Pre-Occupancy Orientation;</w:t>
      </w:r>
    </w:p>
    <w:p w14:paraId="2EE58621" w14:textId="77777777" w:rsidR="009B6DA6" w:rsidRDefault="00F44E5C" w:rsidP="007F177E">
      <w:pPr>
        <w:pStyle w:val="ListParagraph"/>
        <w:numPr>
          <w:ilvl w:val="0"/>
          <w:numId w:val="229"/>
        </w:numPr>
        <w:contextualSpacing w:val="0"/>
        <w:rPr>
          <w:rFonts w:cs="Arial"/>
          <w:szCs w:val="20"/>
        </w:rPr>
      </w:pPr>
      <w:r>
        <w:rPr>
          <w:rFonts w:cs="Arial"/>
          <w:szCs w:val="20"/>
        </w:rPr>
        <w:t>HHA determines the applicant is unable or unwilling to comply with the term’s of HHA’s lease; and/or</w:t>
      </w:r>
    </w:p>
    <w:p w14:paraId="36576F57" w14:textId="77777777" w:rsidR="00F44E5C" w:rsidRPr="00902B48" w:rsidRDefault="00F44E5C" w:rsidP="007F177E">
      <w:pPr>
        <w:pStyle w:val="ListParagraph"/>
        <w:numPr>
          <w:ilvl w:val="0"/>
          <w:numId w:val="229"/>
        </w:numPr>
        <w:contextualSpacing w:val="0"/>
        <w:rPr>
          <w:rFonts w:cs="Arial"/>
          <w:szCs w:val="20"/>
        </w:rPr>
      </w:pPr>
      <w:r>
        <w:rPr>
          <w:rFonts w:cs="Arial"/>
          <w:szCs w:val="20"/>
        </w:rPr>
        <w:t xml:space="preserve">The applicant refuses a </w:t>
      </w:r>
      <w:r w:rsidR="00914F14">
        <w:rPr>
          <w:rFonts w:cs="Arial"/>
          <w:szCs w:val="20"/>
        </w:rPr>
        <w:t xml:space="preserve">second </w:t>
      </w:r>
      <w:r>
        <w:rPr>
          <w:rFonts w:cs="Arial"/>
          <w:szCs w:val="20"/>
        </w:rPr>
        <w:t>unit offer without good cause.</w:t>
      </w:r>
    </w:p>
    <w:p w14:paraId="53571DCB" w14:textId="77777777" w:rsidR="00C6585C" w:rsidRDefault="00074C86" w:rsidP="00BB64BD">
      <w:pPr>
        <w:pStyle w:val="Heading2"/>
      </w:pPr>
      <w:bookmarkStart w:id="582" w:name="_Toc173222660"/>
      <w:bookmarkStart w:id="583" w:name="_Toc200375558"/>
      <w:bookmarkStart w:id="584" w:name="_Toc200376926"/>
      <w:r>
        <w:t>Denial of Assistance</w:t>
      </w:r>
      <w:bookmarkEnd w:id="582"/>
      <w:bookmarkEnd w:id="583"/>
      <w:bookmarkEnd w:id="584"/>
    </w:p>
    <w:p w14:paraId="501ECFA2" w14:textId="77777777" w:rsidR="00C44BC7" w:rsidRDefault="0015374B" w:rsidP="00677451">
      <w:pPr>
        <w:pStyle w:val="Heading3"/>
      </w:pPr>
      <w:bookmarkStart w:id="585" w:name="_Toc200375559"/>
      <w:bookmarkStart w:id="586" w:name="_Toc524511739"/>
      <w:bookmarkStart w:id="587" w:name="_Toc527019364"/>
      <w:bookmarkStart w:id="588" w:name="_Toc534706899"/>
      <w:bookmarkStart w:id="589" w:name="_Toc534707577"/>
      <w:bookmarkStart w:id="590" w:name="_Toc534708385"/>
      <w:bookmarkStart w:id="591" w:name="_Toc106037764"/>
      <w:bookmarkStart w:id="592" w:name="_Toc106201405"/>
      <w:bookmarkStart w:id="593" w:name="_Toc106201924"/>
      <w:bookmarkStart w:id="594" w:name="_Toc106202450"/>
      <w:bookmarkStart w:id="595" w:name="_Toc113344904"/>
      <w:bookmarkStart w:id="596" w:name="_Toc137460319"/>
      <w:bookmarkStart w:id="597" w:name="_Toc137460564"/>
      <w:bookmarkStart w:id="598" w:name="_Toc137460809"/>
      <w:bookmarkStart w:id="599" w:name="_Toc137461645"/>
      <w:bookmarkStart w:id="600" w:name="_Toc137471236"/>
      <w:bookmarkStart w:id="601" w:name="_Toc137471745"/>
      <w:r>
        <w:t>Required</w:t>
      </w:r>
      <w:r w:rsidR="00311562">
        <w:t xml:space="preserve"> Denials</w:t>
      </w:r>
      <w:bookmarkEnd w:id="585"/>
    </w:p>
    <w:p w14:paraId="4910605A" w14:textId="77777777" w:rsidR="004334D8" w:rsidRDefault="008D2E8B" w:rsidP="004334D8">
      <w:r>
        <w:t>HHA will</w:t>
      </w:r>
      <w:r w:rsidR="004334D8">
        <w:t xml:space="preserve"> deny assistance in the following cases:</w:t>
      </w:r>
    </w:p>
    <w:p w14:paraId="144D491F" w14:textId="77777777" w:rsidR="00252B29" w:rsidRDefault="00252B29" w:rsidP="00252B29">
      <w:pPr>
        <w:pStyle w:val="Heading4"/>
      </w:pPr>
      <w:r>
        <w:t>Denials Related to Ineligibility for Assistance or Failure to Comply with Screening Process</w:t>
      </w:r>
    </w:p>
    <w:p w14:paraId="73FAD75E" w14:textId="77777777" w:rsidR="00CE22AB" w:rsidRPr="008954E6" w:rsidRDefault="008954E6" w:rsidP="00CB52D8">
      <w:pPr>
        <w:pStyle w:val="ListParagraph"/>
        <w:numPr>
          <w:ilvl w:val="0"/>
          <w:numId w:val="32"/>
        </w:numPr>
        <w:contextualSpacing w:val="0"/>
        <w:rPr>
          <w:rFonts w:cs="Arial"/>
          <w:szCs w:val="20"/>
        </w:rPr>
      </w:pPr>
      <w:r w:rsidRPr="008954E6">
        <w:rPr>
          <w:rFonts w:cs="Arial"/>
          <w:szCs w:val="20"/>
        </w:rPr>
        <w:t>Any member of the applicant family fails to sign and submit consent forms or revokes consent forms which allow HHA to obtain information it has determined is necessary in the administration of the public housing program. This includes but is</w:t>
      </w:r>
      <w:r w:rsidR="008106C7" w:rsidRPr="008954E6">
        <w:rPr>
          <w:rFonts w:cs="Arial"/>
          <w:szCs w:val="20"/>
        </w:rPr>
        <w:t xml:space="preserve"> not limited to, </w:t>
      </w:r>
      <w:r>
        <w:rPr>
          <w:rFonts w:cs="Arial"/>
          <w:szCs w:val="20"/>
        </w:rPr>
        <w:t xml:space="preserve">failure to provide </w:t>
      </w:r>
      <w:r w:rsidR="008106C7" w:rsidRPr="008954E6">
        <w:rPr>
          <w:rFonts w:cs="Arial"/>
          <w:szCs w:val="20"/>
        </w:rPr>
        <w:t>required evidence of citizenship or eligible immigration status</w:t>
      </w:r>
      <w:r w:rsidR="00CE22AB" w:rsidRPr="008954E6">
        <w:rPr>
          <w:rFonts w:cs="Arial"/>
          <w:szCs w:val="20"/>
        </w:rPr>
        <w:t xml:space="preserve"> (24 CFR 960.259(a)</w:t>
      </w:r>
      <w:r w:rsidR="00AE6880" w:rsidRPr="008954E6">
        <w:rPr>
          <w:rFonts w:cs="Arial"/>
          <w:szCs w:val="20"/>
        </w:rPr>
        <w:t>(</w:t>
      </w:r>
      <w:r w:rsidR="00F93424" w:rsidRPr="008954E6">
        <w:rPr>
          <w:rFonts w:cs="Arial"/>
          <w:szCs w:val="20"/>
        </w:rPr>
        <w:t>1</w:t>
      </w:r>
      <w:r w:rsidR="00AE6880" w:rsidRPr="008954E6">
        <w:rPr>
          <w:rFonts w:cs="Arial"/>
          <w:szCs w:val="20"/>
        </w:rPr>
        <w:t>)</w:t>
      </w:r>
      <w:r w:rsidR="00CE39D5" w:rsidRPr="008954E6">
        <w:rPr>
          <w:rFonts w:cs="Arial"/>
          <w:szCs w:val="20"/>
        </w:rPr>
        <w:t xml:space="preserve">; </w:t>
      </w:r>
      <w:r w:rsidR="00DA6021" w:rsidRPr="008954E6">
        <w:rPr>
          <w:rFonts w:cs="Arial"/>
          <w:szCs w:val="20"/>
        </w:rPr>
        <w:t>24 CFR 960.259(a)(4)</w:t>
      </w:r>
      <w:r w:rsidR="00CE39D5" w:rsidRPr="008954E6">
        <w:rPr>
          <w:rFonts w:cs="Arial"/>
          <w:szCs w:val="20"/>
        </w:rPr>
        <w:t>; 24 CFR 5</w:t>
      </w:r>
      <w:r w:rsidR="00207142" w:rsidRPr="008954E6">
        <w:rPr>
          <w:rFonts w:cs="Arial"/>
          <w:szCs w:val="20"/>
        </w:rPr>
        <w:t>.508(b)</w:t>
      </w:r>
      <w:r w:rsidR="00273069" w:rsidRPr="008954E6">
        <w:rPr>
          <w:rFonts w:cs="Arial"/>
          <w:szCs w:val="20"/>
        </w:rPr>
        <w:t>)</w:t>
      </w:r>
      <w:r w:rsidR="00DA6021" w:rsidRPr="008954E6">
        <w:rPr>
          <w:rFonts w:cs="Arial"/>
          <w:szCs w:val="20"/>
        </w:rPr>
        <w:t>.</w:t>
      </w:r>
    </w:p>
    <w:p w14:paraId="79251852" w14:textId="77777777" w:rsidR="00DA6021" w:rsidRDefault="00DA6021" w:rsidP="00CB52D8">
      <w:pPr>
        <w:pStyle w:val="ListParagraph"/>
        <w:numPr>
          <w:ilvl w:val="0"/>
          <w:numId w:val="32"/>
        </w:numPr>
        <w:contextualSpacing w:val="0"/>
        <w:rPr>
          <w:rFonts w:cs="Arial"/>
          <w:szCs w:val="20"/>
        </w:rPr>
      </w:pPr>
      <w:r>
        <w:rPr>
          <w:rFonts w:cs="Arial"/>
          <w:szCs w:val="20"/>
        </w:rPr>
        <w:t xml:space="preserve">Any </w:t>
      </w:r>
      <w:r w:rsidR="008D2610">
        <w:rPr>
          <w:rFonts w:cs="Arial"/>
          <w:szCs w:val="20"/>
        </w:rPr>
        <w:t>family member does not disclose and provide verification of their Social Security number (24 CFR 960.259(3)(i)</w:t>
      </w:r>
      <w:r w:rsidR="00273069">
        <w:rPr>
          <w:rFonts w:cs="Arial"/>
          <w:szCs w:val="20"/>
        </w:rPr>
        <w:t>)</w:t>
      </w:r>
      <w:r w:rsidR="008D2610">
        <w:rPr>
          <w:rFonts w:cs="Arial"/>
          <w:szCs w:val="20"/>
        </w:rPr>
        <w:t>.</w:t>
      </w:r>
    </w:p>
    <w:p w14:paraId="1F2306A4" w14:textId="77777777" w:rsidR="00BF77AE" w:rsidRDefault="00207142" w:rsidP="00CB52D8">
      <w:pPr>
        <w:pStyle w:val="ListParagraph"/>
        <w:numPr>
          <w:ilvl w:val="0"/>
          <w:numId w:val="32"/>
        </w:numPr>
        <w:contextualSpacing w:val="0"/>
        <w:rPr>
          <w:rFonts w:cs="Arial"/>
          <w:szCs w:val="20"/>
        </w:rPr>
      </w:pPr>
      <w:r>
        <w:rPr>
          <w:rFonts w:cs="Arial"/>
          <w:szCs w:val="20"/>
        </w:rPr>
        <w:t>The family does not contain at least one member who is a U.S. citizen/national or eligible noncitizen (24 CFR 5.506).</w:t>
      </w:r>
    </w:p>
    <w:p w14:paraId="1DC27701" w14:textId="77777777" w:rsidR="0004607D" w:rsidRDefault="0004607D" w:rsidP="00CB52D8">
      <w:pPr>
        <w:pStyle w:val="ListParagraph"/>
        <w:numPr>
          <w:ilvl w:val="0"/>
          <w:numId w:val="32"/>
        </w:numPr>
        <w:contextualSpacing w:val="0"/>
        <w:rPr>
          <w:rFonts w:cs="Arial"/>
          <w:szCs w:val="20"/>
        </w:rPr>
      </w:pPr>
      <w:r>
        <w:rPr>
          <w:rFonts w:cs="Arial"/>
          <w:szCs w:val="20"/>
        </w:rPr>
        <w:t xml:space="preserve">The family is ineligible due to </w:t>
      </w:r>
      <w:r w:rsidR="0056517B">
        <w:rPr>
          <w:rFonts w:cs="Arial"/>
          <w:szCs w:val="20"/>
        </w:rPr>
        <w:t xml:space="preserve">failure to comply with </w:t>
      </w:r>
      <w:r w:rsidR="0056517B" w:rsidRPr="0056517B">
        <w:rPr>
          <w:rFonts w:cs="Arial"/>
          <w:b/>
          <w:bCs/>
          <w:color w:val="0070C0"/>
          <w:szCs w:val="20"/>
        </w:rPr>
        <w:fldChar w:fldCharType="begin"/>
      </w:r>
      <w:r w:rsidR="0056517B" w:rsidRPr="0056517B">
        <w:rPr>
          <w:rFonts w:cs="Arial"/>
          <w:b/>
          <w:bCs/>
          <w:color w:val="0070C0"/>
          <w:szCs w:val="20"/>
        </w:rPr>
        <w:instrText xml:space="preserve"> REF _Ref144892635 \h </w:instrText>
      </w:r>
      <w:r w:rsidR="0056517B">
        <w:rPr>
          <w:rFonts w:cs="Arial"/>
          <w:b/>
          <w:bCs/>
          <w:color w:val="0070C0"/>
          <w:szCs w:val="20"/>
        </w:rPr>
        <w:instrText xml:space="preserve"> \* MERGEFORMAT </w:instrText>
      </w:r>
      <w:r w:rsidR="0056517B" w:rsidRPr="0056517B">
        <w:rPr>
          <w:rFonts w:cs="Arial"/>
          <w:b/>
          <w:bCs/>
          <w:color w:val="0070C0"/>
          <w:szCs w:val="20"/>
        </w:rPr>
      </w:r>
      <w:r w:rsidR="0056517B" w:rsidRPr="0056517B">
        <w:rPr>
          <w:rFonts w:cs="Arial"/>
          <w:b/>
          <w:bCs/>
          <w:color w:val="0070C0"/>
          <w:szCs w:val="20"/>
        </w:rPr>
        <w:fldChar w:fldCharType="separate"/>
      </w:r>
      <w:r w:rsidR="0056517B" w:rsidRPr="0056517B">
        <w:rPr>
          <w:b/>
          <w:bCs/>
          <w:color w:val="0070C0"/>
        </w:rPr>
        <w:t>Asset Restrictions</w:t>
      </w:r>
      <w:r w:rsidR="0056517B" w:rsidRPr="0056517B">
        <w:rPr>
          <w:rFonts w:cs="Arial"/>
          <w:b/>
          <w:bCs/>
          <w:color w:val="0070C0"/>
          <w:szCs w:val="20"/>
        </w:rPr>
        <w:fldChar w:fldCharType="end"/>
      </w:r>
      <w:r w:rsidR="0056517B">
        <w:rPr>
          <w:rFonts w:cs="Arial"/>
          <w:szCs w:val="20"/>
        </w:rPr>
        <w:t>.</w:t>
      </w:r>
    </w:p>
    <w:p w14:paraId="485C2865" w14:textId="77777777" w:rsidR="005A1981" w:rsidRDefault="00E432CF" w:rsidP="00CB52D8">
      <w:pPr>
        <w:pStyle w:val="ListParagraph"/>
        <w:numPr>
          <w:ilvl w:val="0"/>
          <w:numId w:val="32"/>
        </w:numPr>
        <w:contextualSpacing w:val="0"/>
        <w:rPr>
          <w:rFonts w:cs="Arial"/>
          <w:szCs w:val="20"/>
        </w:rPr>
      </w:pPr>
      <w:r>
        <w:rPr>
          <w:rFonts w:cs="Arial"/>
          <w:szCs w:val="20"/>
        </w:rPr>
        <w:t xml:space="preserve">The family does not meet the required </w:t>
      </w:r>
      <w:r w:rsidRPr="00E432CF">
        <w:rPr>
          <w:rFonts w:cs="Arial"/>
          <w:b/>
          <w:bCs/>
          <w:color w:val="0070C0"/>
          <w:szCs w:val="20"/>
        </w:rPr>
        <w:fldChar w:fldCharType="begin"/>
      </w:r>
      <w:r w:rsidRPr="00E432CF">
        <w:rPr>
          <w:rFonts w:cs="Arial"/>
          <w:b/>
          <w:bCs/>
          <w:color w:val="0070C0"/>
          <w:szCs w:val="20"/>
        </w:rPr>
        <w:instrText xml:space="preserve"> REF _Ref146095338 \h </w:instrText>
      </w:r>
      <w:r>
        <w:rPr>
          <w:rFonts w:cs="Arial"/>
          <w:b/>
          <w:bCs/>
          <w:color w:val="0070C0"/>
          <w:szCs w:val="20"/>
        </w:rPr>
        <w:instrText xml:space="preserve"> \* MERGEFORMAT </w:instrText>
      </w:r>
      <w:r w:rsidRPr="00E432CF">
        <w:rPr>
          <w:rFonts w:cs="Arial"/>
          <w:b/>
          <w:bCs/>
          <w:color w:val="0070C0"/>
          <w:szCs w:val="20"/>
        </w:rPr>
      </w:r>
      <w:r w:rsidRPr="00E432CF">
        <w:rPr>
          <w:rFonts w:cs="Arial"/>
          <w:b/>
          <w:bCs/>
          <w:color w:val="0070C0"/>
          <w:szCs w:val="20"/>
        </w:rPr>
        <w:fldChar w:fldCharType="separate"/>
      </w:r>
      <w:r w:rsidRPr="00E432CF">
        <w:rPr>
          <w:b/>
          <w:bCs/>
          <w:color w:val="0070C0"/>
        </w:rPr>
        <w:t>Income Limits for Eligibility</w:t>
      </w:r>
      <w:r w:rsidRPr="00E432CF">
        <w:rPr>
          <w:rFonts w:cs="Arial"/>
          <w:b/>
          <w:bCs/>
          <w:color w:val="0070C0"/>
          <w:szCs w:val="20"/>
        </w:rPr>
        <w:fldChar w:fldCharType="end"/>
      </w:r>
      <w:r>
        <w:rPr>
          <w:rFonts w:cs="Arial"/>
          <w:szCs w:val="20"/>
        </w:rPr>
        <w:t>.</w:t>
      </w:r>
    </w:p>
    <w:p w14:paraId="12868C07" w14:textId="77777777" w:rsidR="005A1981" w:rsidRPr="005A1981" w:rsidRDefault="005A1981" w:rsidP="00CB52D8">
      <w:pPr>
        <w:pStyle w:val="ListParagraph"/>
        <w:numPr>
          <w:ilvl w:val="0"/>
          <w:numId w:val="32"/>
        </w:numPr>
        <w:contextualSpacing w:val="0"/>
        <w:rPr>
          <w:rFonts w:cs="Arial"/>
          <w:szCs w:val="20"/>
        </w:rPr>
      </w:pPr>
      <w:r w:rsidRPr="005A1981">
        <w:rPr>
          <w:rFonts w:cs="Arial"/>
          <w:szCs w:val="20"/>
        </w:rPr>
        <w:t>Evidence of citizenship and eligible immigration status is not submitted when required (including any extensions) and/or eligible immigration status is not verified by the appropriate federal agency (24 CFR 5.514(c)(1)).</w:t>
      </w:r>
    </w:p>
    <w:p w14:paraId="4EB69A25" w14:textId="77777777" w:rsidR="005C049D" w:rsidRDefault="005C049D" w:rsidP="00CB52D8">
      <w:pPr>
        <w:pStyle w:val="ListParagraph"/>
        <w:numPr>
          <w:ilvl w:val="0"/>
          <w:numId w:val="32"/>
        </w:numPr>
        <w:autoSpaceDE w:val="0"/>
        <w:autoSpaceDN w:val="0"/>
        <w:adjustRightInd w:val="0"/>
        <w:spacing w:after="120"/>
        <w:contextualSpacing w:val="0"/>
        <w:rPr>
          <w:rFonts w:cs="Arial"/>
          <w:szCs w:val="20"/>
        </w:rPr>
      </w:pPr>
      <w:r w:rsidRPr="00B33664">
        <w:rPr>
          <w:rFonts w:cs="Arial"/>
          <w:szCs w:val="20"/>
        </w:rPr>
        <w:t>HHA determines the family has misrepresented any information related to eligibility, award of preference for admission, allowances, family composition, or rent</w:t>
      </w:r>
      <w:r w:rsidR="00513D02">
        <w:rPr>
          <w:rFonts w:cs="Arial"/>
          <w:szCs w:val="20"/>
        </w:rPr>
        <w:t>.</w:t>
      </w:r>
      <w:r w:rsidRPr="00B33664">
        <w:rPr>
          <w:rFonts w:cs="Arial"/>
          <w:szCs w:val="20"/>
        </w:rPr>
        <w:t xml:space="preserve"> </w:t>
      </w:r>
    </w:p>
    <w:p w14:paraId="4E4460B9" w14:textId="77777777" w:rsidR="005C049D" w:rsidRPr="00B33664" w:rsidRDefault="005C049D" w:rsidP="00CB52D8">
      <w:pPr>
        <w:pStyle w:val="ListParagraph"/>
        <w:numPr>
          <w:ilvl w:val="0"/>
          <w:numId w:val="32"/>
        </w:numPr>
        <w:autoSpaceDE w:val="0"/>
        <w:autoSpaceDN w:val="0"/>
        <w:adjustRightInd w:val="0"/>
        <w:spacing w:after="120"/>
        <w:contextualSpacing w:val="0"/>
        <w:rPr>
          <w:rFonts w:cs="Arial"/>
          <w:szCs w:val="20"/>
        </w:rPr>
      </w:pPr>
      <w:r w:rsidRPr="00B33664">
        <w:rPr>
          <w:rFonts w:cs="Arial"/>
          <w:szCs w:val="20"/>
        </w:rPr>
        <w:t>The family:</w:t>
      </w:r>
    </w:p>
    <w:p w14:paraId="303F6689" w14:textId="77777777" w:rsidR="005C049D" w:rsidRDefault="005C049D" w:rsidP="007F177E">
      <w:pPr>
        <w:pStyle w:val="ListParagraph"/>
        <w:numPr>
          <w:ilvl w:val="1"/>
          <w:numId w:val="230"/>
        </w:numPr>
        <w:contextualSpacing w:val="0"/>
        <w:rPr>
          <w:rFonts w:cs="Arial"/>
          <w:szCs w:val="20"/>
        </w:rPr>
      </w:pPr>
      <w:r>
        <w:rPr>
          <w:rFonts w:cs="Arial"/>
          <w:szCs w:val="20"/>
        </w:rPr>
        <w:t>O</w:t>
      </w:r>
      <w:r w:rsidRPr="004334D8">
        <w:rPr>
          <w:rFonts w:cs="Arial"/>
          <w:szCs w:val="20"/>
        </w:rPr>
        <w:t>wes rent or other amounts to HHA or any other PHA or owner in connection with any assisted housing program, and/or</w:t>
      </w:r>
    </w:p>
    <w:p w14:paraId="0B4D5AA2" w14:textId="77777777" w:rsidR="005C049D" w:rsidRDefault="005C049D" w:rsidP="007F177E">
      <w:pPr>
        <w:pStyle w:val="ListParagraph"/>
        <w:numPr>
          <w:ilvl w:val="1"/>
          <w:numId w:val="230"/>
        </w:numPr>
        <w:contextualSpacing w:val="0"/>
        <w:rPr>
          <w:rFonts w:cs="Arial"/>
          <w:szCs w:val="20"/>
        </w:rPr>
      </w:pPr>
      <w:r w:rsidRPr="004334D8">
        <w:rPr>
          <w:rFonts w:cs="Arial"/>
          <w:szCs w:val="20"/>
        </w:rPr>
        <w:t xml:space="preserve">Has breached a repayment agreement with HHA or another PHA entered in connection with participation in the HCV or public housing program under the 1937 Act, and the amount is not fully repaid within </w:t>
      </w:r>
      <w:r w:rsidR="00D62920">
        <w:rPr>
          <w:rFonts w:cs="Arial"/>
          <w:szCs w:val="20"/>
        </w:rPr>
        <w:t>15 calendar</w:t>
      </w:r>
      <w:r w:rsidRPr="004334D8">
        <w:rPr>
          <w:rFonts w:cs="Arial"/>
          <w:szCs w:val="20"/>
        </w:rPr>
        <w:t xml:space="preserve"> days from the date of the screening appointment. </w:t>
      </w:r>
    </w:p>
    <w:p w14:paraId="319AA98E" w14:textId="77777777" w:rsidR="005C049D" w:rsidRPr="00F5134F" w:rsidRDefault="005C049D" w:rsidP="00CB52D8">
      <w:pPr>
        <w:pStyle w:val="ListParagraph"/>
        <w:numPr>
          <w:ilvl w:val="0"/>
          <w:numId w:val="32"/>
        </w:numPr>
        <w:autoSpaceDE w:val="0"/>
        <w:autoSpaceDN w:val="0"/>
        <w:adjustRightInd w:val="0"/>
        <w:spacing w:after="120"/>
        <w:contextualSpacing w:val="0"/>
        <w:rPr>
          <w:rFonts w:cs="Arial"/>
          <w:szCs w:val="20"/>
        </w:rPr>
      </w:pPr>
      <w:r>
        <w:rPr>
          <w:rFonts w:cs="Arial"/>
          <w:szCs w:val="20"/>
        </w:rPr>
        <w:t>A</w:t>
      </w:r>
      <w:r w:rsidRPr="00F5134F">
        <w:rPr>
          <w:rFonts w:cs="Arial"/>
          <w:szCs w:val="20"/>
        </w:rPr>
        <w:t xml:space="preserve">ny member of the family has engaged in or threatened violent or abusive behavior toward </w:t>
      </w:r>
      <w:r>
        <w:rPr>
          <w:rFonts w:cs="Arial"/>
          <w:szCs w:val="20"/>
        </w:rPr>
        <w:t>P</w:t>
      </w:r>
      <w:r w:rsidRPr="00F5134F">
        <w:rPr>
          <w:rFonts w:cs="Arial"/>
          <w:szCs w:val="20"/>
        </w:rPr>
        <w:t>HA personnel.</w:t>
      </w:r>
    </w:p>
    <w:p w14:paraId="156788FA" w14:textId="77777777" w:rsidR="005C049D" w:rsidRPr="00F5134F" w:rsidRDefault="005C049D" w:rsidP="007F177E">
      <w:pPr>
        <w:pStyle w:val="ListParagraph"/>
        <w:numPr>
          <w:ilvl w:val="1"/>
          <w:numId w:val="231"/>
        </w:numPr>
        <w:autoSpaceDE w:val="0"/>
        <w:autoSpaceDN w:val="0"/>
        <w:adjustRightInd w:val="0"/>
        <w:contextualSpacing w:val="0"/>
        <w:rPr>
          <w:rFonts w:cs="Arial"/>
          <w:szCs w:val="20"/>
        </w:rPr>
      </w:pPr>
      <w:r w:rsidRPr="003677C2">
        <w:rPr>
          <w:rFonts w:cs="Arial"/>
          <w:i/>
          <w:iCs/>
          <w:color w:val="000000"/>
          <w:spacing w:val="-2"/>
          <w:szCs w:val="20"/>
        </w:rPr>
        <w:t xml:space="preserve">Abusive or violent behavior towards PHA personnel </w:t>
      </w:r>
      <w:r w:rsidRPr="003677C2">
        <w:rPr>
          <w:rFonts w:cs="Arial"/>
          <w:color w:val="000000"/>
          <w:spacing w:val="-2"/>
          <w:szCs w:val="20"/>
        </w:rPr>
        <w:t>includes verbal as well as physical abuse or violence. Use of racial epithets, or other language, written or oral, that is customarily used to intimidate may be considered abusive or violent behavior</w:t>
      </w:r>
      <w:r w:rsidRPr="00F5134F">
        <w:rPr>
          <w:rFonts w:cs="Arial"/>
          <w:color w:val="000000"/>
          <w:szCs w:val="20"/>
        </w:rPr>
        <w:t xml:space="preserve">. </w:t>
      </w:r>
    </w:p>
    <w:p w14:paraId="3FFE90DF" w14:textId="77777777" w:rsidR="005C049D" w:rsidRPr="00AE2B61" w:rsidRDefault="005C049D" w:rsidP="007F177E">
      <w:pPr>
        <w:pStyle w:val="ListParagraph"/>
        <w:numPr>
          <w:ilvl w:val="1"/>
          <w:numId w:val="231"/>
        </w:numPr>
        <w:autoSpaceDE w:val="0"/>
        <w:autoSpaceDN w:val="0"/>
        <w:adjustRightInd w:val="0"/>
        <w:contextualSpacing w:val="0"/>
        <w:rPr>
          <w:rFonts w:cs="Arial"/>
          <w:szCs w:val="20"/>
        </w:rPr>
      </w:pPr>
      <w:r w:rsidRPr="00F5134F">
        <w:rPr>
          <w:rFonts w:cs="Arial"/>
          <w:i/>
          <w:iCs/>
          <w:color w:val="000000"/>
          <w:szCs w:val="20"/>
        </w:rPr>
        <w:t xml:space="preserve">Threatening </w:t>
      </w:r>
      <w:r w:rsidRPr="00F5134F">
        <w:rPr>
          <w:rFonts w:cs="Arial"/>
          <w:color w:val="000000"/>
          <w:szCs w:val="20"/>
        </w:rPr>
        <w:t>refers to oral or written threats or physical gestures that communicate intent to abuse or commit violence.</w:t>
      </w:r>
    </w:p>
    <w:p w14:paraId="2408A1BE" w14:textId="77777777" w:rsidR="00B45108" w:rsidRPr="00A73165" w:rsidRDefault="00B45108" w:rsidP="00B45108">
      <w:pPr>
        <w:pStyle w:val="Heading4"/>
      </w:pPr>
      <w:r>
        <w:t>Required Denials Related to Criminal Activity</w:t>
      </w:r>
    </w:p>
    <w:p w14:paraId="7A31AA9F" w14:textId="77777777" w:rsidR="00073A2B" w:rsidRPr="002652EC" w:rsidRDefault="00073A2B" w:rsidP="00CB52D8">
      <w:pPr>
        <w:pStyle w:val="ListParagraph"/>
        <w:numPr>
          <w:ilvl w:val="0"/>
          <w:numId w:val="32"/>
        </w:numPr>
        <w:contextualSpacing w:val="0"/>
        <w:rPr>
          <w:rFonts w:cs="Arial"/>
          <w:szCs w:val="20"/>
        </w:rPr>
      </w:pPr>
      <w:r w:rsidRPr="002652EC">
        <w:rPr>
          <w:rFonts w:cs="Arial"/>
          <w:szCs w:val="20"/>
        </w:rPr>
        <w:t xml:space="preserve">Any member of the household has been evicted from federally assisted housing in the last </w:t>
      </w:r>
      <w:r w:rsidR="005F570D">
        <w:rPr>
          <w:rFonts w:cs="Arial"/>
          <w:szCs w:val="20"/>
        </w:rPr>
        <w:t>five (5</w:t>
      </w:r>
      <w:r w:rsidRPr="002652EC">
        <w:rPr>
          <w:rFonts w:cs="Arial"/>
          <w:szCs w:val="20"/>
        </w:rPr>
        <w:t>) years for drug-related criminal activity</w:t>
      </w:r>
      <w:r w:rsidR="00DB1F53">
        <w:rPr>
          <w:rFonts w:cs="Arial"/>
          <w:szCs w:val="20"/>
        </w:rPr>
        <w:t xml:space="preserve"> 24 CFR 960.204(a)(1)</w:t>
      </w:r>
      <w:r w:rsidRPr="002652EC">
        <w:rPr>
          <w:rFonts w:cs="Arial"/>
          <w:szCs w:val="20"/>
        </w:rPr>
        <w:t>.</w:t>
      </w:r>
    </w:p>
    <w:p w14:paraId="5E6B833B" w14:textId="77777777" w:rsidR="002652EC" w:rsidRPr="002652EC" w:rsidRDefault="002652EC" w:rsidP="007F177E">
      <w:pPr>
        <w:pStyle w:val="ListParagraph"/>
        <w:numPr>
          <w:ilvl w:val="1"/>
          <w:numId w:val="232"/>
        </w:numPr>
        <w:autoSpaceDE w:val="0"/>
        <w:autoSpaceDN w:val="0"/>
        <w:adjustRightInd w:val="0"/>
        <w:contextualSpacing w:val="0"/>
        <w:rPr>
          <w:rFonts w:cs="Arial"/>
          <w:szCs w:val="20"/>
        </w:rPr>
      </w:pPr>
      <w:r w:rsidRPr="002652EC">
        <w:rPr>
          <w:rFonts w:cs="Arial"/>
          <w:szCs w:val="20"/>
        </w:rPr>
        <w:t>HUD permits but does not require HHA to admit an otherwise-eligible family if HHA determines that the household member has completed a supervised drug rehabilitation program or the circumstances which led to eviction no longer exist (e.g., the person involved in the criminal activity no longer lives in the household due to death or imprisonment).</w:t>
      </w:r>
    </w:p>
    <w:p w14:paraId="5D9656CF" w14:textId="77777777" w:rsidR="00B23B09" w:rsidRDefault="00B23B09" w:rsidP="00CB52D8">
      <w:pPr>
        <w:pStyle w:val="ListParagraph"/>
        <w:numPr>
          <w:ilvl w:val="0"/>
          <w:numId w:val="32"/>
        </w:numPr>
        <w:autoSpaceDE w:val="0"/>
        <w:autoSpaceDN w:val="0"/>
        <w:adjustRightInd w:val="0"/>
        <w:spacing w:after="120"/>
        <w:contextualSpacing w:val="0"/>
        <w:rPr>
          <w:rFonts w:cs="Arial"/>
          <w:szCs w:val="20"/>
        </w:rPr>
      </w:pPr>
      <w:r w:rsidRPr="00A73165">
        <w:rPr>
          <w:rFonts w:cs="Arial"/>
          <w:szCs w:val="20"/>
        </w:rPr>
        <w:t>HHA determines that any household member is currently engaged in the use of illegal drugs</w:t>
      </w:r>
      <w:r w:rsidR="00DB1F53">
        <w:rPr>
          <w:rFonts w:cs="Arial"/>
          <w:szCs w:val="20"/>
        </w:rPr>
        <w:t xml:space="preserve"> (24 CFR 960.204(</w:t>
      </w:r>
      <w:r w:rsidR="002D76BA">
        <w:rPr>
          <w:rFonts w:cs="Arial"/>
          <w:szCs w:val="20"/>
        </w:rPr>
        <w:t>a)(2)(i)</w:t>
      </w:r>
      <w:r w:rsidRPr="00A73165">
        <w:rPr>
          <w:rFonts w:cs="Arial"/>
          <w:szCs w:val="20"/>
        </w:rPr>
        <w:t xml:space="preserve">. </w:t>
      </w:r>
    </w:p>
    <w:p w14:paraId="6B8D1E03" w14:textId="77777777" w:rsidR="00B23B09" w:rsidRPr="000222A2" w:rsidRDefault="00B23B09" w:rsidP="007F177E">
      <w:pPr>
        <w:pStyle w:val="ListParagraph"/>
        <w:numPr>
          <w:ilvl w:val="0"/>
          <w:numId w:val="234"/>
        </w:numPr>
        <w:autoSpaceDE w:val="0"/>
        <w:autoSpaceDN w:val="0"/>
        <w:adjustRightInd w:val="0"/>
        <w:spacing w:after="120"/>
        <w:ind w:left="1440"/>
        <w:rPr>
          <w:rFonts w:cs="Arial"/>
          <w:szCs w:val="20"/>
        </w:rPr>
      </w:pPr>
      <w:r w:rsidRPr="000222A2">
        <w:rPr>
          <w:rFonts w:cs="Arial"/>
          <w:i/>
          <w:iCs/>
          <w:szCs w:val="20"/>
        </w:rPr>
        <w:t>Currently engaged</w:t>
      </w:r>
      <w:r w:rsidRPr="000222A2">
        <w:rPr>
          <w:rFonts w:cs="Arial"/>
          <w:szCs w:val="20"/>
        </w:rPr>
        <w:t xml:space="preserve"> in is defined here as any use of illegal drugs during the previous six months.</w:t>
      </w:r>
    </w:p>
    <w:p w14:paraId="1FC538A0" w14:textId="77777777" w:rsidR="00B23B09" w:rsidRDefault="00B23B09" w:rsidP="00CB52D8">
      <w:pPr>
        <w:pStyle w:val="ListParagraph"/>
        <w:numPr>
          <w:ilvl w:val="0"/>
          <w:numId w:val="32"/>
        </w:numPr>
        <w:autoSpaceDE w:val="0"/>
        <w:autoSpaceDN w:val="0"/>
        <w:adjustRightInd w:val="0"/>
        <w:spacing w:after="120"/>
        <w:contextualSpacing w:val="0"/>
        <w:rPr>
          <w:rFonts w:cs="Arial"/>
          <w:szCs w:val="20"/>
        </w:rPr>
      </w:pPr>
      <w:r w:rsidRPr="00A73165">
        <w:rPr>
          <w:rFonts w:cs="Arial"/>
          <w:szCs w:val="20"/>
        </w:rPr>
        <w:t>HHA has reasonable cause to believe that any household member</w:t>
      </w:r>
      <w:r w:rsidR="009F2871">
        <w:rPr>
          <w:rFonts w:cs="Arial"/>
          <w:szCs w:val="20"/>
        </w:rPr>
        <w:t>’</w:t>
      </w:r>
      <w:r w:rsidRPr="00A73165">
        <w:rPr>
          <w:rFonts w:cs="Arial"/>
          <w:szCs w:val="20"/>
        </w:rPr>
        <w:t>s current use or pattern of use of illegal drugs, or current abuse or pattern of abuse of alcohol, may threaten the health, safety, or right to peaceful enjoyment of the premises by other residents</w:t>
      </w:r>
      <w:r w:rsidR="002D76BA">
        <w:rPr>
          <w:rFonts w:cs="Arial"/>
          <w:szCs w:val="20"/>
        </w:rPr>
        <w:t xml:space="preserve"> (24 CFR 960.204(a)(2)(ii)</w:t>
      </w:r>
      <w:r w:rsidR="002D76BA" w:rsidRPr="00A73165">
        <w:rPr>
          <w:rFonts w:cs="Arial"/>
          <w:szCs w:val="20"/>
        </w:rPr>
        <w:t>.</w:t>
      </w:r>
    </w:p>
    <w:p w14:paraId="6C1A1C60" w14:textId="77777777" w:rsidR="00B23B09" w:rsidRPr="003D71F8" w:rsidRDefault="00B23B09" w:rsidP="007F177E">
      <w:pPr>
        <w:pStyle w:val="ListParagraph"/>
        <w:numPr>
          <w:ilvl w:val="1"/>
          <w:numId w:val="233"/>
        </w:numPr>
        <w:autoSpaceDE w:val="0"/>
        <w:autoSpaceDN w:val="0"/>
        <w:adjustRightInd w:val="0"/>
        <w:spacing w:after="120"/>
        <w:contextualSpacing w:val="0"/>
        <w:rPr>
          <w:rFonts w:cs="Arial"/>
          <w:szCs w:val="20"/>
        </w:rPr>
      </w:pPr>
      <w:r w:rsidRPr="003D71F8">
        <w:rPr>
          <w:rFonts w:cs="Arial"/>
          <w:szCs w:val="20"/>
        </w:rPr>
        <w:t>In determining reasonable cause, the HHA will consider all credible evidence, including but not limited to, any record of convictions, arrests, or evictions of household members related to the use of illegal drugs or the abuse of alcohol. A record or records of arrest will not be used as the sole basis of determining reasonable cause. HHA will also consider evidence from treatment providers or community-based organizations providing</w:t>
      </w:r>
      <w:r>
        <w:rPr>
          <w:rFonts w:cs="Arial"/>
          <w:szCs w:val="20"/>
        </w:rPr>
        <w:t xml:space="preserve"> </w:t>
      </w:r>
      <w:r w:rsidRPr="003D71F8">
        <w:rPr>
          <w:rFonts w:cs="Arial"/>
          <w:szCs w:val="20"/>
        </w:rPr>
        <w:t>services to household members</w:t>
      </w:r>
      <w:r w:rsidR="00BC72A7">
        <w:rPr>
          <w:rFonts w:cs="Arial"/>
          <w:szCs w:val="20"/>
        </w:rPr>
        <w:t>.</w:t>
      </w:r>
    </w:p>
    <w:p w14:paraId="40BF8F4D" w14:textId="77777777" w:rsidR="005F570D" w:rsidRDefault="005F570D" w:rsidP="00CB52D8">
      <w:pPr>
        <w:pStyle w:val="ListParagraph"/>
        <w:numPr>
          <w:ilvl w:val="0"/>
          <w:numId w:val="32"/>
        </w:numPr>
        <w:contextualSpacing w:val="0"/>
      </w:pPr>
      <w:r w:rsidRPr="00110DB0">
        <w:rPr>
          <w:i/>
        </w:rPr>
        <w:t>Drug-related criminal activity</w:t>
      </w:r>
      <w:r>
        <w:t>, defined by HUD as the illegal manufacture, sale, distribution, or use of a drug, or the possession of a drug with intent to manufacture, sell, distribute or use the drug (24 CFR 5.100).</w:t>
      </w:r>
    </w:p>
    <w:p w14:paraId="0FE963B4" w14:textId="77777777" w:rsidR="005F570D" w:rsidRDefault="005F570D" w:rsidP="00CB52D8">
      <w:pPr>
        <w:pStyle w:val="ListParagraph"/>
        <w:numPr>
          <w:ilvl w:val="0"/>
          <w:numId w:val="32"/>
        </w:numPr>
        <w:contextualSpacing w:val="0"/>
      </w:pPr>
      <w:r w:rsidRPr="00110DB0">
        <w:rPr>
          <w:i/>
        </w:rPr>
        <w:t>Violent criminal activity</w:t>
      </w:r>
      <w:r>
        <w:t>, defined by HUD as any criminal activity that has as one of its elements the use, attempted use, or threatened use of physical force substantial enough to cause, or be reasonably likely to cause, serious bodily injury or property damage (24 CFR 5.100).</w:t>
      </w:r>
    </w:p>
    <w:p w14:paraId="07A2A4FE" w14:textId="77777777" w:rsidR="005F570D" w:rsidRDefault="005F570D" w:rsidP="00CB52D8">
      <w:pPr>
        <w:pStyle w:val="ListParagraph"/>
        <w:numPr>
          <w:ilvl w:val="0"/>
          <w:numId w:val="32"/>
        </w:numPr>
        <w:contextualSpacing w:val="0"/>
      </w:pPr>
      <w:r>
        <w:t>Criminal sexual conduct, including but not limited to sexual assault, incest, open and gross lewdness, or child abuse.</w:t>
      </w:r>
    </w:p>
    <w:p w14:paraId="05A06B62" w14:textId="77777777" w:rsidR="005F570D" w:rsidRDefault="005F570D" w:rsidP="00CB52D8">
      <w:pPr>
        <w:pStyle w:val="ListParagraph"/>
        <w:numPr>
          <w:ilvl w:val="0"/>
          <w:numId w:val="32"/>
        </w:numPr>
        <w:contextualSpacing w:val="0"/>
      </w:pPr>
      <w:r>
        <w:t>Has committed fraud, bribery, or any other corrupt or criminal act in connection with any federal housing program in the last five years.</w:t>
      </w:r>
    </w:p>
    <w:p w14:paraId="76445089" w14:textId="77777777" w:rsidR="00B23B09" w:rsidRPr="00A73165" w:rsidRDefault="00B23B09" w:rsidP="00CB52D8">
      <w:pPr>
        <w:pStyle w:val="ListParagraph"/>
        <w:numPr>
          <w:ilvl w:val="0"/>
          <w:numId w:val="32"/>
        </w:numPr>
        <w:autoSpaceDE w:val="0"/>
        <w:autoSpaceDN w:val="0"/>
        <w:adjustRightInd w:val="0"/>
        <w:spacing w:after="120"/>
        <w:contextualSpacing w:val="0"/>
        <w:rPr>
          <w:rFonts w:cs="Arial"/>
          <w:szCs w:val="20"/>
        </w:rPr>
      </w:pPr>
      <w:r w:rsidRPr="00A73165">
        <w:rPr>
          <w:rFonts w:cs="Arial"/>
          <w:szCs w:val="20"/>
        </w:rPr>
        <w:t>Any household member has ever been convicted of drug-related criminal activity for the production or manufacture of methamphetamine on the premises of federally assisted housing</w:t>
      </w:r>
      <w:r w:rsidR="002D76BA">
        <w:rPr>
          <w:rFonts w:cs="Arial"/>
          <w:szCs w:val="20"/>
        </w:rPr>
        <w:t xml:space="preserve"> (24 CFR 960.204(a)(3)</w:t>
      </w:r>
      <w:r w:rsidRPr="00A73165">
        <w:rPr>
          <w:rFonts w:cs="Arial"/>
          <w:szCs w:val="20"/>
        </w:rPr>
        <w:t>.</w:t>
      </w:r>
    </w:p>
    <w:p w14:paraId="35D291FB" w14:textId="77777777" w:rsidR="00B33664" w:rsidRDefault="00B23B09" w:rsidP="00CB52D8">
      <w:pPr>
        <w:pStyle w:val="ListParagraph"/>
        <w:numPr>
          <w:ilvl w:val="0"/>
          <w:numId w:val="32"/>
        </w:numPr>
        <w:autoSpaceDE w:val="0"/>
        <w:autoSpaceDN w:val="0"/>
        <w:adjustRightInd w:val="0"/>
        <w:spacing w:after="120"/>
        <w:contextualSpacing w:val="0"/>
        <w:rPr>
          <w:rFonts w:cs="Arial"/>
          <w:szCs w:val="20"/>
        </w:rPr>
      </w:pPr>
      <w:r w:rsidRPr="00A73165">
        <w:rPr>
          <w:rFonts w:cs="Arial"/>
          <w:szCs w:val="20"/>
        </w:rPr>
        <w:t xml:space="preserve">Any household member subject to a lifetime registration requirement under a </w:t>
      </w:r>
      <w:r>
        <w:rPr>
          <w:rFonts w:cs="Arial"/>
          <w:szCs w:val="20"/>
        </w:rPr>
        <w:t>s</w:t>
      </w:r>
      <w:r w:rsidRPr="00A73165">
        <w:rPr>
          <w:rFonts w:cs="Arial"/>
          <w:szCs w:val="20"/>
        </w:rPr>
        <w:t>tate sex offender registration program</w:t>
      </w:r>
      <w:r w:rsidR="002D76BA">
        <w:rPr>
          <w:rFonts w:cs="Arial"/>
          <w:szCs w:val="20"/>
        </w:rPr>
        <w:t xml:space="preserve"> (24 CFR 960.204(a)(4).</w:t>
      </w:r>
    </w:p>
    <w:p w14:paraId="6A37078C" w14:textId="77777777" w:rsidR="00AE2B61" w:rsidRPr="00F5134F" w:rsidRDefault="00BC7FE9" w:rsidP="00677451">
      <w:pPr>
        <w:pStyle w:val="Heading3"/>
      </w:pPr>
      <w:bookmarkStart w:id="602" w:name="_Toc200375560"/>
      <w:r>
        <w:t>Other Possible Reasons for Denial</w:t>
      </w:r>
      <w:bookmarkEnd w:id="602"/>
    </w:p>
    <w:p w14:paraId="5C297CFE" w14:textId="77777777" w:rsidR="00FB279F" w:rsidRDefault="00545D3B" w:rsidP="00FB279F">
      <w:pPr>
        <w:pStyle w:val="Heading4"/>
      </w:pPr>
      <w:bookmarkStart w:id="603" w:name="_Hlk99089473"/>
      <w:r>
        <w:t>Possible Denials Related to Criminal Activity</w:t>
      </w:r>
    </w:p>
    <w:p w14:paraId="3EAD1522" w14:textId="77777777" w:rsidR="00110DB0" w:rsidRPr="00110DB0" w:rsidRDefault="00110DB0" w:rsidP="00110DB0">
      <w:pPr>
        <w:rPr>
          <w:rFonts w:cs="Arial"/>
          <w:szCs w:val="20"/>
        </w:rPr>
      </w:pPr>
      <w:r>
        <w:t xml:space="preserve">If any household member is currently engaged in or has engaged in any of the following criminal activities within the past </w:t>
      </w:r>
      <w:r w:rsidR="00E9651B">
        <w:t>five</w:t>
      </w:r>
      <w:r>
        <w:t xml:space="preserve"> years, the family may be denied admission:</w:t>
      </w:r>
    </w:p>
    <w:p w14:paraId="111092AB" w14:textId="77777777" w:rsidR="00110DB0" w:rsidRDefault="00110DB0" w:rsidP="00CB52D8">
      <w:pPr>
        <w:pStyle w:val="ListParagraph"/>
        <w:numPr>
          <w:ilvl w:val="0"/>
          <w:numId w:val="34"/>
        </w:numPr>
        <w:contextualSpacing w:val="0"/>
      </w:pPr>
      <w:r>
        <w:t>Criminal activity that may threaten the health, safety, or welfare of other tenants (24</w:t>
      </w:r>
      <w:r w:rsidR="0047669E">
        <w:t xml:space="preserve"> </w:t>
      </w:r>
      <w:r>
        <w:t>CFR</w:t>
      </w:r>
      <w:r w:rsidR="0047669E">
        <w:t xml:space="preserve"> </w:t>
      </w:r>
      <w:r>
        <w:t>960.203(c)(3)).</w:t>
      </w:r>
    </w:p>
    <w:p w14:paraId="43D77161" w14:textId="77777777" w:rsidR="00110DB0" w:rsidRDefault="00110DB0" w:rsidP="00CB52D8">
      <w:pPr>
        <w:pStyle w:val="ListParagraph"/>
        <w:numPr>
          <w:ilvl w:val="0"/>
          <w:numId w:val="34"/>
        </w:numPr>
        <w:contextualSpacing w:val="0"/>
      </w:pPr>
      <w:r>
        <w:t>Criminal activity that may threaten the health or safety of HHA staff, contractors, subcontractors, or agents.</w:t>
      </w:r>
    </w:p>
    <w:p w14:paraId="3B25661D" w14:textId="77777777" w:rsidR="00A30F19" w:rsidRPr="006F05B5" w:rsidRDefault="00A30F19" w:rsidP="00CB52D8">
      <w:pPr>
        <w:pStyle w:val="ListParagraph"/>
        <w:numPr>
          <w:ilvl w:val="0"/>
          <w:numId w:val="34"/>
        </w:numPr>
        <w:autoSpaceDE w:val="0"/>
        <w:autoSpaceDN w:val="0"/>
        <w:adjustRightInd w:val="0"/>
        <w:spacing w:after="120"/>
        <w:contextualSpacing w:val="0"/>
        <w:rPr>
          <w:rFonts w:cs="Arial"/>
          <w:szCs w:val="20"/>
        </w:rPr>
      </w:pPr>
      <w:r w:rsidRPr="006F05B5">
        <w:rPr>
          <w:rFonts w:cs="Arial"/>
          <w:szCs w:val="20"/>
        </w:rPr>
        <w:t>Any abuse of alcohol or pattern of abuse of alcohol by any household member that may threaten the health, safety or right to peaceful enjoyment of the premises by other residents.</w:t>
      </w:r>
    </w:p>
    <w:p w14:paraId="24CB3224" w14:textId="77777777" w:rsidR="00A30F19" w:rsidRDefault="00A30F19" w:rsidP="00CB52D8">
      <w:pPr>
        <w:pStyle w:val="ListParagraph"/>
        <w:numPr>
          <w:ilvl w:val="0"/>
          <w:numId w:val="34"/>
        </w:numPr>
        <w:autoSpaceDE w:val="0"/>
        <w:autoSpaceDN w:val="0"/>
        <w:adjustRightInd w:val="0"/>
        <w:spacing w:after="120"/>
        <w:contextualSpacing w:val="0"/>
        <w:rPr>
          <w:rFonts w:cs="Arial"/>
          <w:szCs w:val="20"/>
        </w:rPr>
      </w:pPr>
      <w:r w:rsidRPr="006F05B5">
        <w:rPr>
          <w:rFonts w:cs="Arial"/>
          <w:szCs w:val="20"/>
        </w:rPr>
        <w:t>Illegal possession or use of a firearm or aggravated assault weapon in violation of federal, state or local criminal or civil laws.</w:t>
      </w:r>
    </w:p>
    <w:p w14:paraId="224F4D1F" w14:textId="77777777" w:rsidR="00FB279F" w:rsidRDefault="00545D3B" w:rsidP="00654B60">
      <w:pPr>
        <w:pStyle w:val="Heading4"/>
      </w:pPr>
      <w:r>
        <w:t>Possible</w:t>
      </w:r>
      <w:r w:rsidR="00654B60">
        <w:t xml:space="preserve"> Denial</w:t>
      </w:r>
      <w:r w:rsidR="00B7409F">
        <w:t>s Related to Suitability as a Tenant</w:t>
      </w:r>
    </w:p>
    <w:p w14:paraId="574E6106" w14:textId="77777777" w:rsidR="00CA29DD" w:rsidRPr="00C52FC1" w:rsidRDefault="00841898" w:rsidP="00841898">
      <w:r>
        <w:t>HHA</w:t>
      </w:r>
      <w:r w:rsidR="00CA29DD">
        <w:t xml:space="preserve"> </w:t>
      </w:r>
      <w:r w:rsidR="006846F8">
        <w:t>may</w:t>
      </w:r>
      <w:r w:rsidR="00CA29DD">
        <w:t xml:space="preserve"> deny admission to an applicant family if the </w:t>
      </w:r>
      <w:r>
        <w:t>H</w:t>
      </w:r>
      <w:r w:rsidR="00CA29DD">
        <w:t>HA determines that the family:</w:t>
      </w:r>
    </w:p>
    <w:p w14:paraId="74ECF6F2" w14:textId="77777777" w:rsidR="00CA29DD" w:rsidRDefault="00CA29DD" w:rsidP="00CB52D8">
      <w:pPr>
        <w:pStyle w:val="ListParagraph"/>
        <w:numPr>
          <w:ilvl w:val="0"/>
          <w:numId w:val="35"/>
        </w:numPr>
        <w:contextualSpacing w:val="0"/>
      </w:pPr>
      <w:r>
        <w:t>Has a pattern of u</w:t>
      </w:r>
      <w:r w:rsidRPr="004772C1">
        <w:t>nsuitable past performance in meeting financial obligations, including r</w:t>
      </w:r>
      <w:r>
        <w:t xml:space="preserve">ent within the past </w:t>
      </w:r>
      <w:r w:rsidR="00EF1CE3">
        <w:t>five</w:t>
      </w:r>
      <w:r>
        <w:t xml:space="preserve"> years.</w:t>
      </w:r>
    </w:p>
    <w:p w14:paraId="41CAA4F7" w14:textId="77777777" w:rsidR="00CA29DD" w:rsidRDefault="00CA29DD" w:rsidP="00CB52D8">
      <w:pPr>
        <w:pStyle w:val="ListParagraph"/>
        <w:numPr>
          <w:ilvl w:val="0"/>
          <w:numId w:val="35"/>
        </w:numPr>
        <w:contextualSpacing w:val="0"/>
      </w:pPr>
      <w:r>
        <w:t>Has a</w:t>
      </w:r>
      <w:r w:rsidRPr="004772C1">
        <w:t xml:space="preserve"> </w:t>
      </w:r>
      <w:r>
        <w:t>pattern</w:t>
      </w:r>
      <w:r w:rsidRPr="004772C1">
        <w:t xml:space="preserve"> of disturbance of neighbors, destruction of property, or living or housekeeping habits at prior residences within the past </w:t>
      </w:r>
      <w:r w:rsidR="00EF1CE3">
        <w:t>five (5</w:t>
      </w:r>
      <w:r w:rsidR="00EC065D">
        <w:t>)</w:t>
      </w:r>
      <w:r w:rsidRPr="004772C1">
        <w:t xml:space="preserve"> years which may adversely affect the health, safety, or welfare of other tenants</w:t>
      </w:r>
      <w:r>
        <w:t>.</w:t>
      </w:r>
    </w:p>
    <w:p w14:paraId="162765BC" w14:textId="77777777" w:rsidR="00B07C3F" w:rsidRDefault="00B07C3F" w:rsidP="00B07C3F">
      <w:r w:rsidRPr="00B07C3F">
        <w:rPr>
          <w:rFonts w:cs="Arial"/>
          <w:szCs w:val="20"/>
        </w:rPr>
        <w:t>Where denial is not mandatory, prior to making a final determination on denial of assistance, HHA may consider</w:t>
      </w:r>
      <w:r>
        <w:rPr>
          <w:rFonts w:cs="Arial"/>
          <w:szCs w:val="20"/>
        </w:rPr>
        <w:t xml:space="preserve"> </w:t>
      </w:r>
      <w:r w:rsidRPr="00B07C3F">
        <w:rPr>
          <w:rStyle w:val="OurLinksChar"/>
        </w:rPr>
        <w:fldChar w:fldCharType="begin"/>
      </w:r>
      <w:r w:rsidRPr="00B07C3F">
        <w:rPr>
          <w:rStyle w:val="OurLinksChar"/>
        </w:rPr>
        <w:instrText xml:space="preserve"> REF _Ref146098204 \h </w:instrText>
      </w:r>
      <w:r>
        <w:rPr>
          <w:rStyle w:val="OurLinksChar"/>
        </w:rPr>
        <w:instrText xml:space="preserve"> \* MERGEFORMAT </w:instrText>
      </w:r>
      <w:r w:rsidRPr="00B07C3F">
        <w:rPr>
          <w:rStyle w:val="OurLinksChar"/>
        </w:rPr>
      </w:r>
      <w:r w:rsidRPr="00B07C3F">
        <w:rPr>
          <w:rStyle w:val="OurLinksChar"/>
        </w:rPr>
        <w:fldChar w:fldCharType="separate"/>
      </w:r>
      <w:r w:rsidRPr="00B07C3F">
        <w:rPr>
          <w:rStyle w:val="OurLinksChar"/>
        </w:rPr>
        <w:t>Mitigating Factors</w:t>
      </w:r>
      <w:r w:rsidRPr="00B07C3F">
        <w:rPr>
          <w:rStyle w:val="OurLinksChar"/>
        </w:rPr>
        <w:fldChar w:fldCharType="end"/>
      </w:r>
      <w:r w:rsidRPr="00B07C3F">
        <w:rPr>
          <w:rFonts w:cs="Arial"/>
          <w:szCs w:val="20"/>
        </w:rPr>
        <w:t>.</w:t>
      </w:r>
    </w:p>
    <w:p w14:paraId="00769426" w14:textId="77777777" w:rsidR="00CB7D64" w:rsidRDefault="00CB7D64" w:rsidP="00677451">
      <w:pPr>
        <w:pStyle w:val="Heading3"/>
      </w:pPr>
      <w:bookmarkStart w:id="604" w:name="_Ref146098204"/>
      <w:bookmarkStart w:id="605" w:name="_Toc200375561"/>
      <w:bookmarkEnd w:id="603"/>
      <w:r>
        <w:t>Mitigating Factors</w:t>
      </w:r>
      <w:bookmarkEnd w:id="604"/>
      <w:bookmarkEnd w:id="605"/>
    </w:p>
    <w:p w14:paraId="601E27C8" w14:textId="77777777" w:rsidR="00620DA1" w:rsidRDefault="00620DA1" w:rsidP="00CB7D64">
      <w:pPr>
        <w:rPr>
          <w:rFonts w:cs="Arial"/>
          <w:szCs w:val="20"/>
        </w:rPr>
      </w:pPr>
      <w:r w:rsidRPr="00620DA1">
        <w:rPr>
          <w:rFonts w:cs="Arial"/>
          <w:szCs w:val="20"/>
        </w:rPr>
        <w:t>HHA will consider the following mitigating factors:</w:t>
      </w:r>
      <w:r>
        <w:rPr>
          <w:rFonts w:cs="Arial"/>
          <w:szCs w:val="20"/>
        </w:rPr>
        <w:t xml:space="preserve"> </w:t>
      </w:r>
    </w:p>
    <w:p w14:paraId="7FE9036A" w14:textId="77777777" w:rsidR="00303649" w:rsidRPr="00303649" w:rsidRDefault="00AB2B9A" w:rsidP="00CB52D8">
      <w:pPr>
        <w:pStyle w:val="ListParagraph"/>
        <w:numPr>
          <w:ilvl w:val="0"/>
          <w:numId w:val="33"/>
        </w:numPr>
        <w:contextualSpacing w:val="0"/>
        <w:rPr>
          <w:rFonts w:cs="Arial"/>
          <w:szCs w:val="20"/>
        </w:rPr>
      </w:pPr>
      <w:r>
        <w:t xml:space="preserve">HHA may admit an otherwise-eligible family who has been evicted from federally-assisted housing in the last </w:t>
      </w:r>
      <w:r w:rsidR="00EF1CE3">
        <w:t>five (5</w:t>
      </w:r>
      <w:r w:rsidR="0098767C">
        <w:t>)</w:t>
      </w:r>
      <w:r>
        <w:t xml:space="preserve"> years (from the date of eviction) for drug-related criminal activity, if HHA determines that</w:t>
      </w:r>
      <w:r w:rsidR="00303649">
        <w:t>:</w:t>
      </w:r>
    </w:p>
    <w:p w14:paraId="2934E40F" w14:textId="77777777" w:rsidR="00303649" w:rsidRPr="00303649" w:rsidRDefault="00303649" w:rsidP="007F177E">
      <w:pPr>
        <w:pStyle w:val="ListParagraph"/>
        <w:numPr>
          <w:ilvl w:val="1"/>
          <w:numId w:val="235"/>
        </w:numPr>
        <w:contextualSpacing w:val="0"/>
        <w:rPr>
          <w:rFonts w:cs="Arial"/>
          <w:szCs w:val="20"/>
        </w:rPr>
      </w:pPr>
      <w:r>
        <w:t>T</w:t>
      </w:r>
      <w:r w:rsidR="00AB2B9A">
        <w:t>he household member who has engaged in the criminal activity has completed a supervised drug rehabilitation program</w:t>
      </w:r>
      <w:r>
        <w:t>,</w:t>
      </w:r>
      <w:r w:rsidR="00AB2B9A">
        <w:t xml:space="preserve"> </w:t>
      </w:r>
      <w:r>
        <w:t>and/</w:t>
      </w:r>
      <w:r w:rsidR="00AB2B9A">
        <w:t xml:space="preserve">or </w:t>
      </w:r>
    </w:p>
    <w:p w14:paraId="6D1DD250" w14:textId="77777777" w:rsidR="00AB2B9A" w:rsidRPr="00807BE6" w:rsidRDefault="00303649" w:rsidP="007F177E">
      <w:pPr>
        <w:pStyle w:val="ListParagraph"/>
        <w:numPr>
          <w:ilvl w:val="1"/>
          <w:numId w:val="235"/>
        </w:numPr>
        <w:contextualSpacing w:val="0"/>
        <w:rPr>
          <w:rFonts w:cs="Arial"/>
          <w:szCs w:val="20"/>
        </w:rPr>
      </w:pPr>
      <w:r>
        <w:t>T</w:t>
      </w:r>
      <w:r w:rsidR="00AB2B9A">
        <w:t>he circumstances which led to eviction no longer exist (e.g., the person involved in the criminal activity no longer lives in the household due to death or imprisonment).</w:t>
      </w:r>
    </w:p>
    <w:p w14:paraId="2C1A301D" w14:textId="77777777" w:rsidR="00183B2C" w:rsidRPr="00CB7D64" w:rsidRDefault="00183B2C" w:rsidP="00CB52D8">
      <w:pPr>
        <w:pStyle w:val="ListParagraph"/>
        <w:numPr>
          <w:ilvl w:val="0"/>
          <w:numId w:val="33"/>
        </w:numPr>
        <w:contextualSpacing w:val="0"/>
        <w:rPr>
          <w:rFonts w:cs="Arial"/>
          <w:szCs w:val="20"/>
        </w:rPr>
      </w:pPr>
      <w:r w:rsidRPr="00CB7D64">
        <w:rPr>
          <w:rFonts w:cs="Arial"/>
          <w:szCs w:val="20"/>
        </w:rPr>
        <w:t>The seriousness of the case, especially with respect to how it would affect other tenants</w:t>
      </w:r>
      <w:r w:rsidR="0039794A">
        <w:rPr>
          <w:rFonts w:cs="Arial"/>
          <w:szCs w:val="20"/>
        </w:rPr>
        <w:t>;</w:t>
      </w:r>
    </w:p>
    <w:p w14:paraId="03B4957E" w14:textId="77777777" w:rsidR="00183B2C" w:rsidRPr="00F5134F" w:rsidRDefault="00183B2C" w:rsidP="00CB52D8">
      <w:pPr>
        <w:pStyle w:val="ListParagraph"/>
        <w:numPr>
          <w:ilvl w:val="0"/>
          <w:numId w:val="33"/>
        </w:numPr>
        <w:contextualSpacing w:val="0"/>
        <w:rPr>
          <w:rFonts w:cs="Arial"/>
          <w:szCs w:val="20"/>
        </w:rPr>
      </w:pPr>
      <w:r w:rsidRPr="00F5134F">
        <w:rPr>
          <w:rFonts w:cs="Arial"/>
          <w:szCs w:val="20"/>
        </w:rPr>
        <w:t>The effects that denial of assistance may have on other members of the family who were not involved in the action or failure</w:t>
      </w:r>
      <w:r w:rsidR="0039794A">
        <w:rPr>
          <w:rFonts w:cs="Arial"/>
          <w:szCs w:val="20"/>
        </w:rPr>
        <w:t>;</w:t>
      </w:r>
    </w:p>
    <w:p w14:paraId="41D7A4CB" w14:textId="77777777" w:rsidR="00183B2C" w:rsidRPr="00F5134F" w:rsidRDefault="00183B2C" w:rsidP="00CB52D8">
      <w:pPr>
        <w:pStyle w:val="ListParagraph"/>
        <w:numPr>
          <w:ilvl w:val="0"/>
          <w:numId w:val="33"/>
        </w:numPr>
        <w:contextualSpacing w:val="0"/>
        <w:rPr>
          <w:rFonts w:cs="Arial"/>
          <w:szCs w:val="20"/>
        </w:rPr>
      </w:pPr>
      <w:r w:rsidRPr="00F5134F">
        <w:rPr>
          <w:rFonts w:cs="Arial"/>
          <w:szCs w:val="20"/>
        </w:rPr>
        <w:t xml:space="preserve">The extent of participation or culpability of individual family members, including whether the culpable family member is a minor or a person with disabilities, or a victim of </w:t>
      </w:r>
      <w:r w:rsidR="00891743" w:rsidRPr="006279F1">
        <w:rPr>
          <w:rFonts w:cs="Arial"/>
          <w:spacing w:val="-2"/>
        </w:rPr>
        <w:t>domestic violence, dating violence, sexual assault, stalking and/or human trafficking</w:t>
      </w:r>
      <w:r w:rsidR="0039794A">
        <w:rPr>
          <w:rFonts w:cs="Arial"/>
          <w:szCs w:val="20"/>
        </w:rPr>
        <w:t>;</w:t>
      </w:r>
    </w:p>
    <w:p w14:paraId="08D9C50F" w14:textId="77777777" w:rsidR="00183B2C" w:rsidRPr="00F5134F" w:rsidRDefault="00183B2C" w:rsidP="00CB52D8">
      <w:pPr>
        <w:pStyle w:val="ListParagraph"/>
        <w:numPr>
          <w:ilvl w:val="0"/>
          <w:numId w:val="33"/>
        </w:numPr>
        <w:contextualSpacing w:val="0"/>
        <w:rPr>
          <w:rFonts w:cs="Arial"/>
          <w:szCs w:val="20"/>
        </w:rPr>
      </w:pPr>
      <w:r w:rsidRPr="00F5134F">
        <w:rPr>
          <w:rFonts w:cs="Arial"/>
          <w:szCs w:val="20"/>
        </w:rPr>
        <w:t>The length of time since the violation occurred, the family’s recent history and the likelihood of favorable conduct in the future</w:t>
      </w:r>
      <w:r w:rsidR="0039794A">
        <w:rPr>
          <w:rFonts w:cs="Arial"/>
          <w:szCs w:val="20"/>
        </w:rPr>
        <w:t>;</w:t>
      </w:r>
      <w:r w:rsidRPr="00F5134F">
        <w:rPr>
          <w:rFonts w:cs="Arial"/>
          <w:szCs w:val="20"/>
        </w:rPr>
        <w:t xml:space="preserve">    </w:t>
      </w:r>
    </w:p>
    <w:p w14:paraId="2569849A" w14:textId="77777777" w:rsidR="00183B2C" w:rsidRDefault="00183B2C" w:rsidP="00CB52D8">
      <w:pPr>
        <w:pStyle w:val="ListParagraph"/>
        <w:numPr>
          <w:ilvl w:val="0"/>
          <w:numId w:val="33"/>
        </w:numPr>
        <w:contextualSpacing w:val="0"/>
        <w:rPr>
          <w:rFonts w:cs="Arial"/>
          <w:szCs w:val="20"/>
        </w:rPr>
      </w:pPr>
      <w:r w:rsidRPr="00F5134F">
        <w:rPr>
          <w:rFonts w:cs="Arial"/>
          <w:szCs w:val="20"/>
        </w:rPr>
        <w:t xml:space="preserve">Evidence of the family’s </w:t>
      </w:r>
      <w:r w:rsidR="004B0506">
        <w:rPr>
          <w:rFonts w:cs="Arial"/>
          <w:szCs w:val="20"/>
        </w:rPr>
        <w:t xml:space="preserve">or family member’s </w:t>
      </w:r>
      <w:r w:rsidRPr="00F5134F">
        <w:rPr>
          <w:rFonts w:cs="Arial"/>
          <w:szCs w:val="20"/>
        </w:rPr>
        <w:t>participation in or willingness to participate in social service</w:t>
      </w:r>
      <w:r w:rsidR="007C529E">
        <w:rPr>
          <w:rFonts w:cs="Arial"/>
          <w:szCs w:val="20"/>
        </w:rPr>
        <w:t>s</w:t>
      </w:r>
      <w:r w:rsidRPr="00F5134F">
        <w:rPr>
          <w:rFonts w:cs="Arial"/>
          <w:szCs w:val="20"/>
        </w:rPr>
        <w:t xml:space="preserve"> or other appropriate counseling service programs</w:t>
      </w:r>
      <w:r w:rsidR="0039794A">
        <w:rPr>
          <w:rFonts w:cs="Arial"/>
          <w:szCs w:val="20"/>
        </w:rPr>
        <w:t>;</w:t>
      </w:r>
    </w:p>
    <w:p w14:paraId="5C10CB9B" w14:textId="77777777" w:rsidR="00A56D1D" w:rsidRPr="00A56D1D" w:rsidRDefault="00A56D1D" w:rsidP="00CB52D8">
      <w:pPr>
        <w:pStyle w:val="ListParagraph"/>
        <w:numPr>
          <w:ilvl w:val="0"/>
          <w:numId w:val="33"/>
        </w:numPr>
        <w:contextualSpacing w:val="0"/>
        <w:rPr>
          <w:rFonts w:cs="Arial"/>
          <w:szCs w:val="20"/>
        </w:rPr>
      </w:pPr>
      <w:r w:rsidRPr="00A56D1D">
        <w:rPr>
          <w:rFonts w:cs="Arial"/>
          <w:szCs w:val="20"/>
        </w:rPr>
        <w:t>In the case of drug or alcohol abuse, whether the culpable household member is participating in or has successfully completed a supervised drug or alcohol rehabilitation program or has otherwise been rehabilitated successfully</w:t>
      </w:r>
    </w:p>
    <w:p w14:paraId="0B5FD3FA" w14:textId="77777777" w:rsidR="00183B2C" w:rsidRDefault="00183B2C" w:rsidP="00CB52D8">
      <w:pPr>
        <w:pStyle w:val="ListParagraph"/>
        <w:numPr>
          <w:ilvl w:val="0"/>
          <w:numId w:val="33"/>
        </w:numPr>
        <w:contextualSpacing w:val="0"/>
        <w:rPr>
          <w:rFonts w:cs="Arial"/>
          <w:szCs w:val="20"/>
        </w:rPr>
      </w:pPr>
      <w:r w:rsidRPr="00F5134F">
        <w:rPr>
          <w:rFonts w:cs="Arial"/>
          <w:szCs w:val="20"/>
        </w:rPr>
        <w:t>Removal of the culpable family member from the application. In such instances, the head of household must certify that the family member will not be permitted to visit or to stay as a guest in the assisted unit</w:t>
      </w:r>
      <w:r w:rsidR="0037500D">
        <w:rPr>
          <w:rFonts w:cs="Arial"/>
          <w:szCs w:val="20"/>
        </w:rPr>
        <w:t>;</w:t>
      </w:r>
    </w:p>
    <w:p w14:paraId="7653C90D" w14:textId="77777777" w:rsidR="00443996" w:rsidRDefault="00443996" w:rsidP="00CB52D8">
      <w:pPr>
        <w:pStyle w:val="ListParagraph"/>
        <w:numPr>
          <w:ilvl w:val="0"/>
          <w:numId w:val="33"/>
        </w:numPr>
        <w:contextualSpacing w:val="0"/>
        <w:rPr>
          <w:rFonts w:cs="Arial"/>
          <w:szCs w:val="20"/>
        </w:rPr>
      </w:pPr>
      <w:r>
        <w:rPr>
          <w:rFonts w:cs="Arial"/>
          <w:szCs w:val="20"/>
        </w:rPr>
        <w:t>For debt-related denials</w:t>
      </w:r>
      <w:r w:rsidR="003950EF">
        <w:rPr>
          <w:rFonts w:cs="Arial"/>
          <w:szCs w:val="20"/>
        </w:rPr>
        <w:t xml:space="preserve"> (including denials due to breach of repayment agreements)</w:t>
      </w:r>
      <w:r>
        <w:rPr>
          <w:rFonts w:cs="Arial"/>
          <w:szCs w:val="20"/>
        </w:rPr>
        <w:t>, HHA will also consider:</w:t>
      </w:r>
    </w:p>
    <w:p w14:paraId="0754F083" w14:textId="77777777" w:rsidR="00443996" w:rsidRPr="00443996" w:rsidRDefault="00443996" w:rsidP="007F177E">
      <w:pPr>
        <w:pStyle w:val="ListParagraph"/>
        <w:numPr>
          <w:ilvl w:val="1"/>
          <w:numId w:val="236"/>
        </w:numPr>
        <w:contextualSpacing w:val="0"/>
        <w:rPr>
          <w:rFonts w:cs="Arial"/>
          <w:szCs w:val="20"/>
        </w:rPr>
      </w:pPr>
      <w:r w:rsidRPr="00443996">
        <w:rPr>
          <w:rFonts w:cs="Arial"/>
          <w:szCs w:val="20"/>
        </w:rPr>
        <w:t>Circumstances which led to the creation of the debt, i.e., death of a household member, economy-related layoff</w:t>
      </w:r>
      <w:r w:rsidR="00303649">
        <w:rPr>
          <w:rFonts w:cs="Arial"/>
          <w:szCs w:val="20"/>
        </w:rPr>
        <w:t>;</w:t>
      </w:r>
    </w:p>
    <w:p w14:paraId="609B7D92" w14:textId="77777777" w:rsidR="00443996" w:rsidRPr="00F5134F" w:rsidRDefault="00443996" w:rsidP="007F177E">
      <w:pPr>
        <w:pStyle w:val="ListParagraph"/>
        <w:numPr>
          <w:ilvl w:val="1"/>
          <w:numId w:val="236"/>
        </w:numPr>
        <w:contextualSpacing w:val="0"/>
        <w:rPr>
          <w:rFonts w:cs="Arial"/>
          <w:szCs w:val="20"/>
        </w:rPr>
      </w:pPr>
      <w:r w:rsidRPr="00F5134F">
        <w:rPr>
          <w:rFonts w:cs="Arial"/>
          <w:szCs w:val="20"/>
        </w:rPr>
        <w:t>Current financial circumstances</w:t>
      </w:r>
      <w:r w:rsidR="00303649">
        <w:rPr>
          <w:rFonts w:cs="Arial"/>
          <w:szCs w:val="20"/>
        </w:rPr>
        <w:t>;</w:t>
      </w:r>
      <w:r w:rsidR="0037500D">
        <w:rPr>
          <w:rFonts w:cs="Arial"/>
          <w:szCs w:val="20"/>
        </w:rPr>
        <w:t xml:space="preserve"> and</w:t>
      </w:r>
    </w:p>
    <w:p w14:paraId="482D3BC8" w14:textId="77777777" w:rsidR="00CA29DD" w:rsidRDefault="00443996" w:rsidP="007F177E">
      <w:pPr>
        <w:pStyle w:val="ListParagraph"/>
        <w:numPr>
          <w:ilvl w:val="1"/>
          <w:numId w:val="236"/>
        </w:numPr>
        <w:contextualSpacing w:val="0"/>
        <w:rPr>
          <w:rFonts w:cs="Arial"/>
          <w:szCs w:val="20"/>
        </w:rPr>
      </w:pPr>
      <w:r w:rsidRPr="00F5134F">
        <w:rPr>
          <w:rFonts w:cs="Arial"/>
          <w:szCs w:val="20"/>
        </w:rPr>
        <w:t xml:space="preserve">The length of time since the debt was incurred, the family’s recent history and the likelihood of favorable conduct in the future.   </w:t>
      </w:r>
    </w:p>
    <w:p w14:paraId="0A5B3729" w14:textId="77777777" w:rsidR="006E08BF" w:rsidRDefault="00853607" w:rsidP="00CB52D8">
      <w:pPr>
        <w:pStyle w:val="ListParagraph"/>
        <w:numPr>
          <w:ilvl w:val="0"/>
          <w:numId w:val="33"/>
        </w:numPr>
        <w:rPr>
          <w:rFonts w:cs="Arial"/>
          <w:szCs w:val="20"/>
        </w:rPr>
      </w:pPr>
      <w:r>
        <w:rPr>
          <w:rFonts w:cs="Arial"/>
          <w:szCs w:val="20"/>
        </w:rPr>
        <w:t xml:space="preserve">For failure to meet prior financial obligations, HHA will consider </w:t>
      </w:r>
      <w:r w:rsidR="006931AE">
        <w:rPr>
          <w:rFonts w:cs="Arial"/>
          <w:szCs w:val="20"/>
        </w:rPr>
        <w:t>factors such as the loss of employment or other financial difficulties</w:t>
      </w:r>
      <w:r w:rsidR="006E08BF">
        <w:rPr>
          <w:rFonts w:cs="Arial"/>
          <w:szCs w:val="20"/>
        </w:rPr>
        <w:t>.</w:t>
      </w:r>
    </w:p>
    <w:p w14:paraId="685FC8A7" w14:textId="77777777" w:rsidR="001106D5" w:rsidRPr="00F21175" w:rsidRDefault="001106D5" w:rsidP="00677451">
      <w:pPr>
        <w:pStyle w:val="Heading3"/>
      </w:pPr>
      <w:bookmarkStart w:id="606" w:name="_Toc508698439"/>
      <w:bookmarkStart w:id="607" w:name="_Toc520796692"/>
      <w:bookmarkStart w:id="608" w:name="_Toc527019366"/>
      <w:bookmarkStart w:id="609" w:name="_Toc534706901"/>
      <w:bookmarkStart w:id="610" w:name="_Toc534707579"/>
      <w:bookmarkStart w:id="611" w:name="_Toc534708387"/>
      <w:bookmarkStart w:id="612" w:name="_Toc106037766"/>
      <w:bookmarkStart w:id="613" w:name="_Toc106201407"/>
      <w:bookmarkStart w:id="614" w:name="_Toc106201926"/>
      <w:bookmarkStart w:id="615" w:name="_Toc106202452"/>
      <w:bookmarkStart w:id="616" w:name="_Toc113344906"/>
      <w:bookmarkStart w:id="617" w:name="_Toc137460321"/>
      <w:bookmarkStart w:id="618" w:name="_Toc137460566"/>
      <w:bookmarkStart w:id="619" w:name="_Toc137460811"/>
      <w:bookmarkStart w:id="620" w:name="_Toc137461647"/>
      <w:bookmarkStart w:id="621" w:name="_Toc137471238"/>
      <w:bookmarkStart w:id="622" w:name="_Toc137471747"/>
      <w:bookmarkStart w:id="623" w:name="_Toc200375562"/>
      <w:r w:rsidRPr="00F21175">
        <w:t xml:space="preserve">Criteria for </w:t>
      </w:r>
      <w:bookmarkEnd w:id="606"/>
      <w:bookmarkEnd w:id="607"/>
      <w:bookmarkEnd w:id="608"/>
      <w:bookmarkEnd w:id="609"/>
      <w:bookmarkEnd w:id="610"/>
      <w:bookmarkEnd w:id="611"/>
      <w:bookmarkEnd w:id="612"/>
      <w:bookmarkEnd w:id="613"/>
      <w:bookmarkEnd w:id="614"/>
      <w:bookmarkEnd w:id="615"/>
      <w:r w:rsidRPr="00F21175">
        <w:t>Deciding to Deny Admission</w:t>
      </w:r>
      <w:bookmarkEnd w:id="616"/>
      <w:bookmarkEnd w:id="617"/>
      <w:bookmarkEnd w:id="618"/>
      <w:bookmarkEnd w:id="619"/>
      <w:bookmarkEnd w:id="620"/>
      <w:bookmarkEnd w:id="621"/>
      <w:bookmarkEnd w:id="622"/>
      <w:bookmarkEnd w:id="623"/>
    </w:p>
    <w:p w14:paraId="3DA1A7AD" w14:textId="77777777" w:rsidR="001106D5" w:rsidRPr="008079C4" w:rsidRDefault="001106D5" w:rsidP="001106D5">
      <w:pPr>
        <w:autoSpaceDE w:val="0"/>
        <w:autoSpaceDN w:val="0"/>
        <w:adjustRightInd w:val="0"/>
        <w:rPr>
          <w:rFonts w:cs="Arial"/>
          <w:szCs w:val="20"/>
        </w:rPr>
      </w:pPr>
      <w:bookmarkStart w:id="624" w:name="_Hlk118204741"/>
      <w:r>
        <w:rPr>
          <w:rFonts w:cs="Arial"/>
          <w:szCs w:val="20"/>
        </w:rPr>
        <w:t>HHA</w:t>
      </w:r>
      <w:r w:rsidRPr="008079C4">
        <w:rPr>
          <w:rFonts w:cs="Arial"/>
          <w:szCs w:val="20"/>
        </w:rPr>
        <w:t xml:space="preserve"> will use the preponderance of the evidence as the standard for making all</w:t>
      </w:r>
      <w:r>
        <w:rPr>
          <w:rFonts w:cs="Arial"/>
          <w:szCs w:val="20"/>
        </w:rPr>
        <w:t xml:space="preserve"> </w:t>
      </w:r>
      <w:r w:rsidRPr="008079C4">
        <w:rPr>
          <w:rFonts w:cs="Arial"/>
          <w:szCs w:val="20"/>
        </w:rPr>
        <w:t>admission decisions.</w:t>
      </w:r>
    </w:p>
    <w:p w14:paraId="7DAA7F18" w14:textId="77777777" w:rsidR="001106D5" w:rsidRDefault="001106D5" w:rsidP="001106D5">
      <w:pPr>
        <w:autoSpaceDE w:val="0"/>
        <w:autoSpaceDN w:val="0"/>
        <w:adjustRightInd w:val="0"/>
        <w:rPr>
          <w:rFonts w:cs="Arial"/>
          <w:szCs w:val="20"/>
        </w:rPr>
      </w:pPr>
      <w:r w:rsidRPr="008079C4">
        <w:rPr>
          <w:rFonts w:cs="Arial"/>
          <w:i/>
          <w:iCs/>
          <w:szCs w:val="20"/>
        </w:rPr>
        <w:t xml:space="preserve">Preponderance of the evidence </w:t>
      </w:r>
      <w:r w:rsidRPr="008079C4">
        <w:rPr>
          <w:rFonts w:cs="Arial"/>
          <w:szCs w:val="20"/>
        </w:rPr>
        <w:t>is defined as evidence which is of greater weight or more</w:t>
      </w:r>
      <w:r>
        <w:rPr>
          <w:rFonts w:cs="Arial"/>
          <w:szCs w:val="20"/>
        </w:rPr>
        <w:t xml:space="preserve"> </w:t>
      </w:r>
      <w:r w:rsidRPr="008079C4">
        <w:rPr>
          <w:rFonts w:cs="Arial"/>
          <w:szCs w:val="20"/>
        </w:rPr>
        <w:t>convincing than the evidence which is offered in opposition to it; that is, evidence which</w:t>
      </w:r>
      <w:r>
        <w:rPr>
          <w:rFonts w:cs="Arial"/>
          <w:szCs w:val="20"/>
        </w:rPr>
        <w:t xml:space="preserve"> </w:t>
      </w:r>
      <w:r w:rsidRPr="008079C4">
        <w:rPr>
          <w:rFonts w:cs="Arial"/>
          <w:szCs w:val="20"/>
        </w:rPr>
        <w:t>as a whole shows that the fact sought to be proved is more probable than not.</w:t>
      </w:r>
      <w:r>
        <w:rPr>
          <w:rFonts w:cs="Arial"/>
          <w:szCs w:val="20"/>
        </w:rPr>
        <w:t xml:space="preserve"> </w:t>
      </w:r>
      <w:r w:rsidRPr="008079C4">
        <w:rPr>
          <w:rFonts w:cs="Arial"/>
          <w:szCs w:val="20"/>
        </w:rPr>
        <w:t>Preponderance of the evidence may not be determined by the number of witnesses, but by</w:t>
      </w:r>
      <w:r>
        <w:rPr>
          <w:rFonts w:cs="Arial"/>
          <w:szCs w:val="20"/>
        </w:rPr>
        <w:t xml:space="preserve"> </w:t>
      </w:r>
      <w:r w:rsidRPr="008079C4">
        <w:rPr>
          <w:rFonts w:cs="Arial"/>
          <w:szCs w:val="20"/>
        </w:rPr>
        <w:t>the greater weight of all evidence.</w:t>
      </w:r>
    </w:p>
    <w:p w14:paraId="10DAC777" w14:textId="77777777" w:rsidR="00CB3050" w:rsidRDefault="00CB3050" w:rsidP="00CB3050">
      <w:pPr>
        <w:autoSpaceDE w:val="0"/>
        <w:autoSpaceDN w:val="0"/>
        <w:adjustRightInd w:val="0"/>
        <w:rPr>
          <w:rFonts w:cs="Arial"/>
          <w:szCs w:val="20"/>
        </w:rPr>
      </w:pPr>
      <w:r>
        <w:rPr>
          <w:rFonts w:cs="Arial"/>
          <w:szCs w:val="20"/>
        </w:rPr>
        <w:t xml:space="preserve">Additionally, HHA will consider any mitigating factors, including those listed in the </w:t>
      </w:r>
      <w:hyperlink w:anchor="_Mitigating_Factors_1" w:history="1">
        <w:r w:rsidRPr="00CB3050">
          <w:rPr>
            <w:rStyle w:val="OurLinksChar"/>
          </w:rPr>
          <w:fldChar w:fldCharType="begin"/>
        </w:r>
        <w:r w:rsidRPr="00CB3050">
          <w:rPr>
            <w:rStyle w:val="OurLinksChar"/>
          </w:rPr>
          <w:instrText xml:space="preserve"> REF _Ref146098204 \h </w:instrText>
        </w:r>
        <w:r>
          <w:rPr>
            <w:rStyle w:val="OurLinksChar"/>
          </w:rPr>
          <w:instrText xml:space="preserve"> \* MERGEFORMAT </w:instrText>
        </w:r>
        <w:r w:rsidRPr="00CB3050">
          <w:rPr>
            <w:rStyle w:val="OurLinksChar"/>
          </w:rPr>
        </w:r>
        <w:r w:rsidRPr="00CB3050">
          <w:rPr>
            <w:rStyle w:val="OurLinksChar"/>
          </w:rPr>
          <w:fldChar w:fldCharType="separate"/>
        </w:r>
        <w:r w:rsidRPr="00CB3050">
          <w:rPr>
            <w:rStyle w:val="OurLinksChar"/>
          </w:rPr>
          <w:t>Mitigating Factors</w:t>
        </w:r>
        <w:r w:rsidRPr="00CB3050">
          <w:rPr>
            <w:rStyle w:val="OurLinksChar"/>
          </w:rPr>
          <w:fldChar w:fldCharType="end"/>
        </w:r>
      </w:hyperlink>
      <w:r>
        <w:rPr>
          <w:rFonts w:cs="Arial"/>
          <w:szCs w:val="20"/>
        </w:rPr>
        <w:t xml:space="preserve"> section, as well as any VAWA-related or disability-related considerations. See </w:t>
      </w:r>
      <w:hyperlink w:anchor="_APPENDIX_A:_REASONABLE" w:history="1">
        <w:r w:rsidRPr="00CB3050">
          <w:rPr>
            <w:rStyle w:val="OurLinksChar"/>
          </w:rPr>
          <w:fldChar w:fldCharType="begin"/>
        </w:r>
        <w:r w:rsidRPr="00CB3050">
          <w:rPr>
            <w:rStyle w:val="OurLinksChar"/>
          </w:rPr>
          <w:instrText xml:space="preserve"> REF _Ref144897645 \h </w:instrText>
        </w:r>
        <w:r>
          <w:rPr>
            <w:rStyle w:val="OurLinksChar"/>
          </w:rPr>
          <w:instrText xml:space="preserve"> \* MERGEFORMAT </w:instrText>
        </w:r>
        <w:r w:rsidRPr="00CB3050">
          <w:rPr>
            <w:rStyle w:val="OurLinksChar"/>
          </w:rPr>
        </w:r>
        <w:r w:rsidRPr="00CB3050">
          <w:rPr>
            <w:rStyle w:val="OurLinksChar"/>
          </w:rPr>
          <w:fldChar w:fldCharType="separate"/>
        </w:r>
        <w:r w:rsidRPr="00CB3050">
          <w:rPr>
            <w:rStyle w:val="OurLinksChar"/>
          </w:rPr>
          <w:t>APPENDIX A: REASONABLE ACCOMMODATION POLICY AND PROCEDURES</w:t>
        </w:r>
        <w:r w:rsidRPr="00CB3050">
          <w:rPr>
            <w:rStyle w:val="OurLinksChar"/>
          </w:rPr>
          <w:fldChar w:fldCharType="end"/>
        </w:r>
      </w:hyperlink>
      <w:r>
        <w:rPr>
          <w:rFonts w:cs="Arial"/>
          <w:szCs w:val="20"/>
        </w:rPr>
        <w:t xml:space="preserve"> and </w:t>
      </w:r>
      <w:hyperlink w:anchor="_APPENDIX_C:_VIOLENCE" w:history="1">
        <w:r w:rsidRPr="00CB3050">
          <w:rPr>
            <w:rStyle w:val="OurLinksChar"/>
          </w:rPr>
          <w:fldChar w:fldCharType="begin"/>
        </w:r>
        <w:r w:rsidRPr="00CB3050">
          <w:rPr>
            <w:rStyle w:val="OurLinksChar"/>
          </w:rPr>
          <w:instrText xml:space="preserve"> REF _Ref144993796 \h </w:instrText>
        </w:r>
        <w:r>
          <w:rPr>
            <w:rStyle w:val="OurLinksChar"/>
          </w:rPr>
          <w:instrText xml:space="preserve"> \* MERGEFORMAT </w:instrText>
        </w:r>
        <w:r w:rsidRPr="00CB3050">
          <w:rPr>
            <w:rStyle w:val="OurLinksChar"/>
          </w:rPr>
        </w:r>
        <w:r w:rsidRPr="00CB3050">
          <w:rPr>
            <w:rStyle w:val="OurLinksChar"/>
          </w:rPr>
          <w:fldChar w:fldCharType="separate"/>
        </w:r>
        <w:r w:rsidRPr="00CB3050">
          <w:rPr>
            <w:rStyle w:val="OurLinksChar"/>
          </w:rPr>
          <w:t>APPENDIX C: VIOLENCE AGAINST WOMEN ACT (VAWA) POLICY</w:t>
        </w:r>
        <w:r w:rsidRPr="00CB3050">
          <w:rPr>
            <w:rStyle w:val="OurLinksChar"/>
          </w:rPr>
          <w:fldChar w:fldCharType="end"/>
        </w:r>
      </w:hyperlink>
      <w:r>
        <w:rPr>
          <w:rFonts w:cs="Arial"/>
          <w:szCs w:val="20"/>
        </w:rPr>
        <w:t>.</w:t>
      </w:r>
    </w:p>
    <w:p w14:paraId="3422CA91" w14:textId="77777777" w:rsidR="0097251B" w:rsidRPr="00122C89" w:rsidRDefault="00D870B2" w:rsidP="00BB64BD">
      <w:pPr>
        <w:pStyle w:val="Heading2"/>
      </w:pPr>
      <w:bookmarkStart w:id="625" w:name="_Toc173222661"/>
      <w:bookmarkStart w:id="626" w:name="_Toc200375563"/>
      <w:bookmarkStart w:id="627" w:name="_Toc200376927"/>
      <w:bookmarkEnd w:id="624"/>
      <w:r w:rsidRPr="00122C89">
        <w:t xml:space="preserve">Notice </w:t>
      </w:r>
      <w:r>
        <w:t>o</w:t>
      </w:r>
      <w:r w:rsidRPr="00122C89">
        <w:t xml:space="preserve">f </w:t>
      </w:r>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001106D5">
        <w:t>Determination</w:t>
      </w:r>
      <w:bookmarkEnd w:id="625"/>
      <w:bookmarkEnd w:id="626"/>
      <w:bookmarkEnd w:id="627"/>
    </w:p>
    <w:p w14:paraId="35C1E834" w14:textId="77777777" w:rsidR="001106D5" w:rsidRPr="00573084" w:rsidRDefault="001106D5" w:rsidP="00677451">
      <w:pPr>
        <w:pStyle w:val="Heading3"/>
      </w:pPr>
      <w:bookmarkStart w:id="628" w:name="_Toc200375564"/>
      <w:r w:rsidRPr="00573084">
        <w:t>Notice of Eligibility</w:t>
      </w:r>
      <w:bookmarkEnd w:id="628"/>
    </w:p>
    <w:p w14:paraId="6AF5F053" w14:textId="77777777" w:rsidR="0097251B" w:rsidRPr="00122C89" w:rsidRDefault="0097251B" w:rsidP="0097251B">
      <w:pPr>
        <w:rPr>
          <w:rFonts w:cs="Arial"/>
          <w:szCs w:val="20"/>
        </w:rPr>
      </w:pPr>
      <w:r w:rsidRPr="00122C89">
        <w:rPr>
          <w:rFonts w:cs="Arial"/>
          <w:szCs w:val="20"/>
        </w:rPr>
        <w:t xml:space="preserve">If </w:t>
      </w:r>
      <w:r>
        <w:rPr>
          <w:rFonts w:cs="Arial"/>
          <w:szCs w:val="20"/>
        </w:rPr>
        <w:t>HHA</w:t>
      </w:r>
      <w:r w:rsidRPr="00122C89">
        <w:rPr>
          <w:rFonts w:cs="Arial"/>
          <w:szCs w:val="20"/>
        </w:rPr>
        <w:t xml:space="preserve"> determines that the family is eligible to receive assistance, </w:t>
      </w:r>
      <w:r>
        <w:rPr>
          <w:rFonts w:cs="Arial"/>
          <w:szCs w:val="20"/>
        </w:rPr>
        <w:t>HHA</w:t>
      </w:r>
      <w:r w:rsidRPr="00122C89">
        <w:rPr>
          <w:rFonts w:cs="Arial"/>
          <w:szCs w:val="20"/>
        </w:rPr>
        <w:t xml:space="preserve"> will notify the family of the eligibility determination and</w:t>
      </w:r>
      <w:r>
        <w:rPr>
          <w:rFonts w:cs="Arial"/>
          <w:szCs w:val="20"/>
        </w:rPr>
        <w:t xml:space="preserve"> next steps in the unit offer process. </w:t>
      </w:r>
    </w:p>
    <w:p w14:paraId="78118D65" w14:textId="77777777" w:rsidR="001106D5" w:rsidRDefault="00B160C3" w:rsidP="00677451">
      <w:pPr>
        <w:pStyle w:val="Heading3"/>
      </w:pPr>
      <w:bookmarkStart w:id="629" w:name="_Toc200375565"/>
      <w:r>
        <w:t>Denial of Assistance</w:t>
      </w:r>
      <w:bookmarkEnd w:id="629"/>
    </w:p>
    <w:p w14:paraId="546A5599" w14:textId="77777777" w:rsidR="0097251B" w:rsidRPr="00122C89" w:rsidRDefault="0097251B" w:rsidP="0097251B">
      <w:pPr>
        <w:rPr>
          <w:rFonts w:cs="Arial"/>
          <w:szCs w:val="20"/>
        </w:rPr>
      </w:pPr>
      <w:r w:rsidRPr="00122C89">
        <w:rPr>
          <w:rFonts w:cs="Arial"/>
          <w:szCs w:val="20"/>
        </w:rPr>
        <w:t xml:space="preserve">If </w:t>
      </w:r>
      <w:r>
        <w:rPr>
          <w:rFonts w:cs="Arial"/>
          <w:szCs w:val="20"/>
        </w:rPr>
        <w:t>HHA</w:t>
      </w:r>
      <w:r w:rsidRPr="00122C89">
        <w:rPr>
          <w:rFonts w:cs="Arial"/>
          <w:szCs w:val="20"/>
        </w:rPr>
        <w:t xml:space="preserve"> determines that the family is ineligible, </w:t>
      </w:r>
      <w:r>
        <w:rPr>
          <w:rFonts w:cs="Arial"/>
          <w:szCs w:val="20"/>
        </w:rPr>
        <w:t>HHA</w:t>
      </w:r>
      <w:r w:rsidRPr="00122C89">
        <w:rPr>
          <w:rFonts w:cs="Arial"/>
          <w:szCs w:val="20"/>
        </w:rPr>
        <w:t xml:space="preserve"> will notify the family in writing in a timely manner of the determination. The notice will specify:</w:t>
      </w:r>
    </w:p>
    <w:p w14:paraId="0E62BCCE" w14:textId="77777777" w:rsidR="0097251B" w:rsidRPr="00122C89" w:rsidRDefault="0097251B" w:rsidP="00CB52D8">
      <w:pPr>
        <w:pStyle w:val="ListParagraph"/>
        <w:numPr>
          <w:ilvl w:val="0"/>
          <w:numId w:val="52"/>
        </w:numPr>
        <w:contextualSpacing w:val="0"/>
        <w:rPr>
          <w:rFonts w:cs="Arial"/>
          <w:szCs w:val="20"/>
        </w:rPr>
      </w:pPr>
      <w:r w:rsidRPr="00122C89">
        <w:rPr>
          <w:rFonts w:cs="Arial"/>
          <w:szCs w:val="20"/>
        </w:rPr>
        <w:t xml:space="preserve">The reasons for ineligibility, </w:t>
      </w:r>
    </w:p>
    <w:p w14:paraId="7CF1E5BA" w14:textId="77777777" w:rsidR="0097251B" w:rsidRPr="00122C89" w:rsidRDefault="0097251B" w:rsidP="00CB52D8">
      <w:pPr>
        <w:pStyle w:val="ListParagraph"/>
        <w:numPr>
          <w:ilvl w:val="0"/>
          <w:numId w:val="52"/>
        </w:numPr>
        <w:contextualSpacing w:val="0"/>
        <w:rPr>
          <w:rFonts w:cs="Arial"/>
          <w:szCs w:val="20"/>
        </w:rPr>
      </w:pPr>
      <w:r w:rsidRPr="00122C89">
        <w:rPr>
          <w:rFonts w:cs="Arial"/>
          <w:szCs w:val="20"/>
        </w:rPr>
        <w:t>The family</w:t>
      </w:r>
      <w:r>
        <w:rPr>
          <w:rFonts w:cs="Arial"/>
          <w:szCs w:val="20"/>
        </w:rPr>
        <w:t>’</w:t>
      </w:r>
      <w:r w:rsidRPr="00122C89">
        <w:rPr>
          <w:rFonts w:cs="Arial"/>
          <w:szCs w:val="20"/>
        </w:rPr>
        <w:t xml:space="preserve">s right to an informal </w:t>
      </w:r>
      <w:r>
        <w:rPr>
          <w:rFonts w:cs="Arial"/>
          <w:szCs w:val="20"/>
        </w:rPr>
        <w:t>hearing</w:t>
      </w:r>
      <w:r w:rsidR="00075F36">
        <w:rPr>
          <w:rFonts w:cs="Arial"/>
          <w:szCs w:val="20"/>
        </w:rPr>
        <w:t xml:space="preserve"> (see </w:t>
      </w:r>
      <w:r w:rsidR="00075F36" w:rsidRPr="00075F36">
        <w:rPr>
          <w:rFonts w:cs="Arial"/>
          <w:b/>
          <w:bCs/>
          <w:color w:val="0070C0"/>
          <w:szCs w:val="20"/>
        </w:rPr>
        <w:fldChar w:fldCharType="begin"/>
      </w:r>
      <w:r w:rsidR="00075F36" w:rsidRPr="00075F36">
        <w:rPr>
          <w:rFonts w:cs="Arial"/>
          <w:b/>
          <w:bCs/>
          <w:color w:val="0070C0"/>
          <w:szCs w:val="20"/>
        </w:rPr>
        <w:instrText xml:space="preserve"> REF _Ref488211622 \h </w:instrText>
      </w:r>
      <w:r w:rsidR="00075F36">
        <w:rPr>
          <w:rFonts w:cs="Arial"/>
          <w:b/>
          <w:bCs/>
          <w:color w:val="0070C0"/>
          <w:szCs w:val="20"/>
        </w:rPr>
        <w:instrText xml:space="preserve"> \* MERGEFORMAT </w:instrText>
      </w:r>
      <w:r w:rsidR="00075F36" w:rsidRPr="00075F36">
        <w:rPr>
          <w:rFonts w:cs="Arial"/>
          <w:b/>
          <w:bCs/>
          <w:color w:val="0070C0"/>
          <w:szCs w:val="20"/>
        </w:rPr>
      </w:r>
      <w:r w:rsidR="00075F36" w:rsidRPr="00075F36">
        <w:rPr>
          <w:rFonts w:cs="Arial"/>
          <w:b/>
          <w:bCs/>
          <w:color w:val="0070C0"/>
          <w:szCs w:val="20"/>
        </w:rPr>
        <w:fldChar w:fldCharType="separate"/>
      </w:r>
      <w:r w:rsidR="00075F36" w:rsidRPr="00075F36">
        <w:rPr>
          <w:b/>
          <w:bCs/>
          <w:color w:val="0070C0"/>
        </w:rPr>
        <w:t>Informal Hearings for Applicants</w:t>
      </w:r>
      <w:r w:rsidR="00075F36" w:rsidRPr="00075F36">
        <w:rPr>
          <w:rFonts w:cs="Arial"/>
          <w:b/>
          <w:bCs/>
          <w:color w:val="0070C0"/>
          <w:szCs w:val="20"/>
        </w:rPr>
        <w:fldChar w:fldCharType="end"/>
      </w:r>
      <w:r w:rsidR="00075F36">
        <w:rPr>
          <w:rFonts w:cs="Arial"/>
          <w:szCs w:val="20"/>
        </w:rPr>
        <w:t>)</w:t>
      </w:r>
      <w:r w:rsidRPr="00122C89">
        <w:rPr>
          <w:rFonts w:cs="Arial"/>
          <w:szCs w:val="20"/>
        </w:rPr>
        <w:t>,</w:t>
      </w:r>
    </w:p>
    <w:p w14:paraId="670707EE" w14:textId="77777777" w:rsidR="0097251B" w:rsidRPr="00122C89" w:rsidRDefault="0097251B" w:rsidP="00CB52D8">
      <w:pPr>
        <w:pStyle w:val="ListParagraph"/>
        <w:numPr>
          <w:ilvl w:val="0"/>
          <w:numId w:val="52"/>
        </w:numPr>
        <w:contextualSpacing w:val="0"/>
        <w:rPr>
          <w:rFonts w:cs="Arial"/>
          <w:szCs w:val="20"/>
        </w:rPr>
      </w:pPr>
      <w:r w:rsidRPr="00122C89">
        <w:rPr>
          <w:rFonts w:cs="Arial"/>
          <w:szCs w:val="20"/>
        </w:rPr>
        <w:t>The process for obtaining the informa</w:t>
      </w:r>
      <w:r>
        <w:rPr>
          <w:rFonts w:cs="Arial"/>
          <w:szCs w:val="20"/>
        </w:rPr>
        <w:t>l hearing</w:t>
      </w:r>
      <w:r w:rsidRPr="00122C89">
        <w:rPr>
          <w:rFonts w:cs="Arial"/>
          <w:szCs w:val="20"/>
        </w:rPr>
        <w:t>,</w:t>
      </w:r>
    </w:p>
    <w:p w14:paraId="13C81CF1" w14:textId="77777777" w:rsidR="0097251B" w:rsidRPr="00122C89" w:rsidRDefault="0097251B" w:rsidP="00CB52D8">
      <w:pPr>
        <w:pStyle w:val="ListParagraph"/>
        <w:numPr>
          <w:ilvl w:val="0"/>
          <w:numId w:val="52"/>
        </w:numPr>
        <w:contextualSpacing w:val="0"/>
        <w:rPr>
          <w:rFonts w:cs="Arial"/>
          <w:szCs w:val="20"/>
        </w:rPr>
      </w:pPr>
      <w:r w:rsidRPr="00122C89">
        <w:rPr>
          <w:rFonts w:cs="Arial"/>
          <w:szCs w:val="20"/>
        </w:rPr>
        <w:t xml:space="preserve">Notification of applicant protections against denial, confidentiality requirements and request for documentation as provided by VAWA.  </w:t>
      </w:r>
    </w:p>
    <w:p w14:paraId="7F0AF71B" w14:textId="77777777" w:rsidR="00C92B00" w:rsidRPr="00C92B00" w:rsidRDefault="00C92B00" w:rsidP="00E652E3">
      <w:pPr>
        <w:rPr>
          <w:rFonts w:cs="Arial"/>
          <w:szCs w:val="20"/>
        </w:rPr>
      </w:pPr>
      <w:r w:rsidRPr="00C92B00">
        <w:rPr>
          <w:rFonts w:cs="Arial"/>
          <w:szCs w:val="20"/>
        </w:rPr>
        <w:t xml:space="preserve">If a criminal record or sex offender registration is the basis of the denial, a copy of the record must accompany the notice. In addition, a copy of the criminal record must be provided to the subject of the record. The applicant will be given an opportunity to dispute the accuracy and relevance of the information before HHA can move to deny the application. The family will be given </w:t>
      </w:r>
      <w:r w:rsidR="00054CEF">
        <w:rPr>
          <w:rFonts w:cs="Arial"/>
          <w:szCs w:val="20"/>
        </w:rPr>
        <w:t xml:space="preserve">15 </w:t>
      </w:r>
      <w:r w:rsidRPr="00C92B00">
        <w:rPr>
          <w:rFonts w:cs="Arial"/>
          <w:szCs w:val="20"/>
        </w:rPr>
        <w:t xml:space="preserve">calendar days to dispute the accuracy and relevance of the information. If the family does not contact HHA to dispute the information within that </w:t>
      </w:r>
      <w:r w:rsidR="00C17AC8">
        <w:rPr>
          <w:rFonts w:cs="Arial"/>
          <w:szCs w:val="20"/>
        </w:rPr>
        <w:t>15</w:t>
      </w:r>
      <w:r w:rsidRPr="00C92B00">
        <w:rPr>
          <w:rFonts w:cs="Arial"/>
          <w:szCs w:val="20"/>
        </w:rPr>
        <w:t xml:space="preserve">-calendar day period, HHA will proceed with issuing the notice of denial of admission. A family that does not exercise their right to dispute the accuracy of the information prior to issuance of the official denial letter will still be given the opportunity to do so as part of the </w:t>
      </w:r>
      <w:r w:rsidR="00075F36" w:rsidRPr="00075F36">
        <w:rPr>
          <w:rFonts w:cs="Arial"/>
          <w:b/>
          <w:bCs/>
          <w:color w:val="0070C0"/>
          <w:szCs w:val="20"/>
        </w:rPr>
        <w:fldChar w:fldCharType="begin"/>
      </w:r>
      <w:r w:rsidR="00075F36" w:rsidRPr="00075F36">
        <w:rPr>
          <w:rFonts w:cs="Arial"/>
          <w:b/>
          <w:bCs/>
          <w:color w:val="0070C0"/>
          <w:szCs w:val="20"/>
        </w:rPr>
        <w:instrText xml:space="preserve"> REF _Ref488211622 \h </w:instrText>
      </w:r>
      <w:r w:rsidR="00075F36">
        <w:rPr>
          <w:rFonts w:cs="Arial"/>
          <w:b/>
          <w:bCs/>
          <w:color w:val="0070C0"/>
          <w:szCs w:val="20"/>
        </w:rPr>
        <w:instrText xml:space="preserve"> \* MERGEFORMAT </w:instrText>
      </w:r>
      <w:r w:rsidR="00075F36" w:rsidRPr="00075F36">
        <w:rPr>
          <w:rFonts w:cs="Arial"/>
          <w:b/>
          <w:bCs/>
          <w:color w:val="0070C0"/>
          <w:szCs w:val="20"/>
        </w:rPr>
      </w:r>
      <w:r w:rsidR="00075F36" w:rsidRPr="00075F36">
        <w:rPr>
          <w:rFonts w:cs="Arial"/>
          <w:b/>
          <w:bCs/>
          <w:color w:val="0070C0"/>
          <w:szCs w:val="20"/>
        </w:rPr>
        <w:fldChar w:fldCharType="separate"/>
      </w:r>
      <w:r w:rsidR="00075F36" w:rsidRPr="00075F36">
        <w:rPr>
          <w:b/>
          <w:bCs/>
          <w:color w:val="0070C0"/>
        </w:rPr>
        <w:t>Informal Hearings for Applicants</w:t>
      </w:r>
      <w:r w:rsidR="00075F36" w:rsidRPr="00075F36">
        <w:rPr>
          <w:rFonts w:cs="Arial"/>
          <w:b/>
          <w:bCs/>
          <w:color w:val="0070C0"/>
          <w:szCs w:val="20"/>
        </w:rPr>
        <w:fldChar w:fldCharType="end"/>
      </w:r>
      <w:r w:rsidR="00075F36">
        <w:rPr>
          <w:rFonts w:cs="Arial"/>
          <w:b/>
          <w:bCs/>
          <w:color w:val="0070C0"/>
          <w:szCs w:val="20"/>
        </w:rPr>
        <w:t xml:space="preserve"> </w:t>
      </w:r>
      <w:r w:rsidRPr="00C92B00">
        <w:rPr>
          <w:rFonts w:cs="Arial"/>
          <w:szCs w:val="20"/>
        </w:rPr>
        <w:t>process.</w:t>
      </w:r>
    </w:p>
    <w:p w14:paraId="62B6B16E" w14:textId="77777777" w:rsidR="00CC15A7" w:rsidRPr="006D1709" w:rsidRDefault="00CC15A7" w:rsidP="006D1709">
      <w:pPr>
        <w:rPr>
          <w:rFonts w:cs="Arial"/>
          <w:szCs w:val="20"/>
        </w:rPr>
      </w:pPr>
    </w:p>
    <w:p w14:paraId="15C1B516" w14:textId="77777777" w:rsidR="00E6140F" w:rsidRPr="00122C89" w:rsidRDefault="00E6140F" w:rsidP="00732E95">
      <w:pPr>
        <w:rPr>
          <w:rFonts w:cs="Arial"/>
          <w:szCs w:val="20"/>
        </w:rPr>
      </w:pPr>
    </w:p>
    <w:p w14:paraId="434CC497" w14:textId="77777777" w:rsidR="00A95B1E" w:rsidRDefault="00A95B1E" w:rsidP="00E6140F">
      <w:pPr>
        <w:pStyle w:val="Heading1"/>
        <w:numPr>
          <w:ilvl w:val="0"/>
          <w:numId w:val="0"/>
        </w:numPr>
        <w:ind w:left="72" w:hanging="72"/>
        <w:sectPr w:rsidR="00A95B1E" w:rsidSect="00EE2233">
          <w:pgSz w:w="12240" w:h="15840"/>
          <w:pgMar w:top="1440" w:right="1440" w:bottom="1440" w:left="1440" w:header="720" w:footer="720" w:gutter="0"/>
          <w:cols w:space="720"/>
          <w:docGrid w:linePitch="360"/>
        </w:sectPr>
      </w:pPr>
    </w:p>
    <w:p w14:paraId="731EA626" w14:textId="77777777" w:rsidR="00A95B1E" w:rsidRPr="005315DA" w:rsidRDefault="00A62BA0" w:rsidP="00A95B1E">
      <w:pPr>
        <w:pStyle w:val="Heading1"/>
        <w:ind w:left="0" w:firstLine="0"/>
      </w:pPr>
      <w:bookmarkStart w:id="630" w:name="_Toc173222662"/>
      <w:bookmarkStart w:id="631" w:name="_Toc200375566"/>
      <w:bookmarkStart w:id="632" w:name="_Toc200376928"/>
      <w:r w:rsidRPr="005315DA">
        <w:t>OCCUPANCY STANDARDS AND UNIT OFFERS</w:t>
      </w:r>
      <w:bookmarkEnd w:id="630"/>
      <w:bookmarkEnd w:id="631"/>
      <w:bookmarkEnd w:id="632"/>
    </w:p>
    <w:p w14:paraId="79D90313" w14:textId="77777777" w:rsidR="009C0E73" w:rsidRDefault="009C0E73" w:rsidP="00BB64BD">
      <w:pPr>
        <w:pStyle w:val="Heading2"/>
      </w:pPr>
      <w:bookmarkStart w:id="633" w:name="_Toc173222663"/>
      <w:bookmarkStart w:id="634" w:name="_Toc200375567"/>
      <w:bookmarkStart w:id="635" w:name="_Toc200376929"/>
      <w:r>
        <w:t>Overview</w:t>
      </w:r>
      <w:bookmarkEnd w:id="633"/>
      <w:bookmarkEnd w:id="634"/>
      <w:bookmarkEnd w:id="635"/>
    </w:p>
    <w:p w14:paraId="1557F919" w14:textId="77777777" w:rsidR="007C569D" w:rsidRDefault="007C569D" w:rsidP="006014C9">
      <w:pPr>
        <w:tabs>
          <w:tab w:val="left" w:pos="881"/>
        </w:tabs>
        <w:spacing w:before="121"/>
      </w:pPr>
      <w:r w:rsidRPr="00A2158C">
        <w:t>Units will be occupied by families of the appropriate size. This policy maintains the usefulness of the unit, while preserving them from excessive wear and tear and</w:t>
      </w:r>
      <w:r w:rsidRPr="00A2158C">
        <w:rPr>
          <w:spacing w:val="-10"/>
        </w:rPr>
        <w:t xml:space="preserve"> </w:t>
      </w:r>
      <w:r w:rsidRPr="00A2158C">
        <w:t>underutilization.</w:t>
      </w:r>
    </w:p>
    <w:p w14:paraId="6AFBFE09" w14:textId="77777777" w:rsidR="009C0E73" w:rsidRPr="00A2158C" w:rsidRDefault="009C0E73" w:rsidP="00BB64BD">
      <w:pPr>
        <w:pStyle w:val="Heading2"/>
      </w:pPr>
      <w:bookmarkStart w:id="636" w:name="_Toc173222664"/>
      <w:bookmarkStart w:id="637" w:name="_Toc200375568"/>
      <w:bookmarkStart w:id="638" w:name="_Toc200376930"/>
      <w:r>
        <w:t>Minimum and Maximum Persons in a Unit</w:t>
      </w:r>
      <w:bookmarkEnd w:id="636"/>
      <w:bookmarkEnd w:id="637"/>
      <w:bookmarkEnd w:id="638"/>
    </w:p>
    <w:p w14:paraId="604D83D2" w14:textId="77777777" w:rsidR="003C1B08" w:rsidRDefault="003C1B08" w:rsidP="003C1B08">
      <w:r w:rsidRPr="00867B80">
        <w:rPr>
          <w:rFonts w:eastAsia="Arial"/>
        </w:rPr>
        <w:t>This table below provides general occupancy standard guidelines</w:t>
      </w:r>
      <w:r w:rsidRPr="00867B80">
        <w:t xml:space="preserve">. </w:t>
      </w:r>
      <w:r w:rsidRPr="00772113">
        <w:t xml:space="preserve">This table must be used in conjunction with the narrative policies </w:t>
      </w:r>
      <w:r w:rsidRPr="00F91D78">
        <w:t xml:space="preserve">included in the Occupancy Guidelines portion </w:t>
      </w:r>
      <w:r w:rsidRPr="00772113">
        <w:t xml:space="preserve">of the ACOP. </w:t>
      </w:r>
    </w:p>
    <w:tbl>
      <w:tblPr>
        <w:tblW w:w="0" w:type="auto"/>
        <w:tblInd w:w="1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3"/>
        <w:gridCol w:w="2284"/>
        <w:gridCol w:w="2340"/>
      </w:tblGrid>
      <w:tr w:rsidR="007C569D" w:rsidRPr="00A2158C" w14:paraId="265135F7" w14:textId="77777777" w:rsidTr="00CB0828">
        <w:trPr>
          <w:trHeight w:val="366"/>
        </w:trPr>
        <w:tc>
          <w:tcPr>
            <w:tcW w:w="6927" w:type="dxa"/>
            <w:gridSpan w:val="3"/>
          </w:tcPr>
          <w:p w14:paraId="18C70681" w14:textId="77777777" w:rsidR="007C569D" w:rsidRPr="00474168" w:rsidRDefault="007C569D" w:rsidP="00F8304F">
            <w:pPr>
              <w:pStyle w:val="TableParagraph"/>
              <w:spacing w:line="265" w:lineRule="exact"/>
              <w:ind w:left="52"/>
              <w:jc w:val="center"/>
              <w:rPr>
                <w:rFonts w:ascii="Arial" w:hAnsi="Arial"/>
                <w:b/>
                <w:bCs/>
                <w:i/>
              </w:rPr>
            </w:pPr>
            <w:r w:rsidRPr="00474168">
              <w:rPr>
                <w:rFonts w:ascii="Arial" w:hAnsi="Arial"/>
                <w:b/>
                <w:bCs/>
                <w:i/>
              </w:rPr>
              <w:t>Minimum and Maximum-Number-of-Persons-Per Unit Standard</w:t>
            </w:r>
          </w:p>
        </w:tc>
      </w:tr>
      <w:tr w:rsidR="007C569D" w:rsidRPr="00A2158C" w14:paraId="12BA77F5" w14:textId="77777777" w:rsidTr="00F8304F">
        <w:trPr>
          <w:trHeight w:val="369"/>
        </w:trPr>
        <w:tc>
          <w:tcPr>
            <w:tcW w:w="2303" w:type="dxa"/>
          </w:tcPr>
          <w:p w14:paraId="149019ED" w14:textId="77777777" w:rsidR="007C569D" w:rsidRPr="00F8304F" w:rsidRDefault="007C569D" w:rsidP="00CB0828">
            <w:pPr>
              <w:pStyle w:val="TableParagraph"/>
              <w:spacing w:line="268" w:lineRule="exact"/>
              <w:ind w:left="117" w:right="110"/>
              <w:jc w:val="center"/>
              <w:rPr>
                <w:rFonts w:ascii="Arial" w:hAnsi="Arial"/>
                <w:b/>
                <w:bCs/>
              </w:rPr>
            </w:pPr>
            <w:r w:rsidRPr="00F8304F">
              <w:rPr>
                <w:rFonts w:ascii="Arial" w:hAnsi="Arial"/>
                <w:b/>
                <w:bCs/>
              </w:rPr>
              <w:t>Number of Bedrooms</w:t>
            </w:r>
          </w:p>
        </w:tc>
        <w:tc>
          <w:tcPr>
            <w:tcW w:w="2284" w:type="dxa"/>
          </w:tcPr>
          <w:p w14:paraId="773F60BA" w14:textId="77777777" w:rsidR="007C569D" w:rsidRPr="00474168" w:rsidRDefault="007C569D" w:rsidP="00CB0828">
            <w:pPr>
              <w:pStyle w:val="TableParagraph"/>
              <w:spacing w:line="268" w:lineRule="exact"/>
              <w:ind w:left="320" w:right="312"/>
              <w:jc w:val="center"/>
              <w:rPr>
                <w:rFonts w:ascii="Arial" w:hAnsi="Arial"/>
                <w:b/>
                <w:bCs/>
                <w:i/>
              </w:rPr>
            </w:pPr>
            <w:r w:rsidRPr="00474168">
              <w:rPr>
                <w:rFonts w:ascii="Arial" w:hAnsi="Arial"/>
                <w:b/>
                <w:bCs/>
                <w:i/>
              </w:rPr>
              <w:t>Min Persons/Unit</w:t>
            </w:r>
          </w:p>
        </w:tc>
        <w:tc>
          <w:tcPr>
            <w:tcW w:w="2340" w:type="dxa"/>
          </w:tcPr>
          <w:p w14:paraId="556EB249" w14:textId="77777777" w:rsidR="007C569D" w:rsidRPr="00474168" w:rsidRDefault="007C569D" w:rsidP="00CB0828">
            <w:pPr>
              <w:pStyle w:val="TableParagraph"/>
              <w:spacing w:line="268" w:lineRule="exact"/>
              <w:ind w:left="321" w:right="312"/>
              <w:jc w:val="center"/>
              <w:rPr>
                <w:rFonts w:ascii="Arial" w:hAnsi="Arial"/>
                <w:b/>
                <w:bCs/>
                <w:i/>
              </w:rPr>
            </w:pPr>
            <w:r w:rsidRPr="00474168">
              <w:rPr>
                <w:rFonts w:ascii="Arial" w:hAnsi="Arial"/>
                <w:b/>
                <w:bCs/>
                <w:i/>
              </w:rPr>
              <w:t>Max Persons/Unit</w:t>
            </w:r>
          </w:p>
        </w:tc>
      </w:tr>
      <w:tr w:rsidR="007C569D" w:rsidRPr="00A2158C" w14:paraId="0706B386" w14:textId="77777777" w:rsidTr="00F8304F">
        <w:trPr>
          <w:trHeight w:val="369"/>
        </w:trPr>
        <w:tc>
          <w:tcPr>
            <w:tcW w:w="2303" w:type="dxa"/>
          </w:tcPr>
          <w:p w14:paraId="1698B8E4" w14:textId="77777777" w:rsidR="007C569D" w:rsidRPr="00F8304F" w:rsidRDefault="007C569D" w:rsidP="00CB0828">
            <w:pPr>
              <w:pStyle w:val="TableParagraph"/>
              <w:spacing w:line="265" w:lineRule="exact"/>
              <w:ind w:left="117" w:right="109"/>
              <w:jc w:val="center"/>
              <w:rPr>
                <w:rFonts w:ascii="Arial" w:hAnsi="Arial"/>
              </w:rPr>
            </w:pPr>
            <w:r w:rsidRPr="00F8304F">
              <w:rPr>
                <w:rFonts w:ascii="Arial" w:hAnsi="Arial"/>
              </w:rPr>
              <w:t>0 BR</w:t>
            </w:r>
          </w:p>
        </w:tc>
        <w:tc>
          <w:tcPr>
            <w:tcW w:w="2284" w:type="dxa"/>
          </w:tcPr>
          <w:p w14:paraId="7BF9AFDB" w14:textId="77777777" w:rsidR="007C569D" w:rsidRPr="00F8304F" w:rsidRDefault="007C569D" w:rsidP="00CB0828">
            <w:pPr>
              <w:pStyle w:val="TableParagraph"/>
              <w:spacing w:line="265" w:lineRule="exact"/>
              <w:ind w:left="8"/>
              <w:jc w:val="center"/>
              <w:rPr>
                <w:rFonts w:ascii="Arial" w:hAnsi="Arial"/>
                <w:iCs/>
              </w:rPr>
            </w:pPr>
            <w:r w:rsidRPr="00F8304F">
              <w:rPr>
                <w:rFonts w:ascii="Arial" w:hAnsi="Arial"/>
                <w:iCs/>
              </w:rPr>
              <w:t>1</w:t>
            </w:r>
          </w:p>
        </w:tc>
        <w:tc>
          <w:tcPr>
            <w:tcW w:w="2340" w:type="dxa"/>
          </w:tcPr>
          <w:p w14:paraId="34DC6B21" w14:textId="77777777" w:rsidR="007C569D" w:rsidRPr="00F8304F" w:rsidRDefault="007C569D" w:rsidP="00CB0828">
            <w:pPr>
              <w:pStyle w:val="TableParagraph"/>
              <w:spacing w:line="265" w:lineRule="exact"/>
              <w:ind w:left="9"/>
              <w:jc w:val="center"/>
              <w:rPr>
                <w:rFonts w:ascii="Arial" w:hAnsi="Arial"/>
                <w:iCs/>
              </w:rPr>
            </w:pPr>
            <w:r w:rsidRPr="00F8304F">
              <w:rPr>
                <w:rFonts w:ascii="Arial" w:hAnsi="Arial"/>
                <w:iCs/>
              </w:rPr>
              <w:t>1</w:t>
            </w:r>
          </w:p>
        </w:tc>
      </w:tr>
      <w:tr w:rsidR="007C569D" w:rsidRPr="00A2158C" w14:paraId="30E2A895" w14:textId="77777777" w:rsidTr="00F8304F">
        <w:trPr>
          <w:trHeight w:val="369"/>
        </w:trPr>
        <w:tc>
          <w:tcPr>
            <w:tcW w:w="2303" w:type="dxa"/>
          </w:tcPr>
          <w:p w14:paraId="2721C9B0" w14:textId="77777777" w:rsidR="007C569D" w:rsidRPr="00F8304F" w:rsidRDefault="007C569D" w:rsidP="00CB0828">
            <w:pPr>
              <w:pStyle w:val="TableParagraph"/>
              <w:spacing w:line="265" w:lineRule="exact"/>
              <w:ind w:left="117" w:right="109"/>
              <w:jc w:val="center"/>
              <w:rPr>
                <w:rFonts w:ascii="Arial" w:hAnsi="Arial"/>
              </w:rPr>
            </w:pPr>
            <w:r w:rsidRPr="00F8304F">
              <w:rPr>
                <w:rFonts w:ascii="Arial" w:hAnsi="Arial"/>
              </w:rPr>
              <w:t>1 BR</w:t>
            </w:r>
          </w:p>
        </w:tc>
        <w:tc>
          <w:tcPr>
            <w:tcW w:w="2284" w:type="dxa"/>
          </w:tcPr>
          <w:p w14:paraId="56432CA5" w14:textId="77777777" w:rsidR="007C569D" w:rsidRPr="00F8304F" w:rsidRDefault="007C569D" w:rsidP="00CB0828">
            <w:pPr>
              <w:pStyle w:val="TableParagraph"/>
              <w:spacing w:line="265" w:lineRule="exact"/>
              <w:ind w:left="8"/>
              <w:jc w:val="center"/>
              <w:rPr>
                <w:rFonts w:ascii="Arial" w:hAnsi="Arial"/>
                <w:iCs/>
              </w:rPr>
            </w:pPr>
            <w:r w:rsidRPr="00F8304F">
              <w:rPr>
                <w:rFonts w:ascii="Arial" w:hAnsi="Arial"/>
                <w:iCs/>
              </w:rPr>
              <w:t>1</w:t>
            </w:r>
          </w:p>
        </w:tc>
        <w:tc>
          <w:tcPr>
            <w:tcW w:w="2340" w:type="dxa"/>
          </w:tcPr>
          <w:p w14:paraId="6A148942" w14:textId="77777777" w:rsidR="007C569D" w:rsidRPr="00F8304F" w:rsidRDefault="007C569D" w:rsidP="00CB0828">
            <w:pPr>
              <w:pStyle w:val="TableParagraph"/>
              <w:spacing w:line="265" w:lineRule="exact"/>
              <w:ind w:left="9"/>
              <w:jc w:val="center"/>
              <w:rPr>
                <w:rFonts w:ascii="Arial" w:hAnsi="Arial"/>
                <w:iCs/>
              </w:rPr>
            </w:pPr>
            <w:r w:rsidRPr="00F8304F">
              <w:rPr>
                <w:rFonts w:ascii="Arial" w:hAnsi="Arial"/>
                <w:iCs/>
              </w:rPr>
              <w:t>2</w:t>
            </w:r>
          </w:p>
        </w:tc>
      </w:tr>
      <w:tr w:rsidR="007C569D" w:rsidRPr="00A2158C" w14:paraId="132B4B4E" w14:textId="77777777" w:rsidTr="00F8304F">
        <w:trPr>
          <w:trHeight w:val="366"/>
        </w:trPr>
        <w:tc>
          <w:tcPr>
            <w:tcW w:w="2303" w:type="dxa"/>
          </w:tcPr>
          <w:p w14:paraId="026A1C6C" w14:textId="77777777" w:rsidR="007C569D" w:rsidRPr="00F8304F" w:rsidRDefault="007C569D" w:rsidP="00CB0828">
            <w:pPr>
              <w:pStyle w:val="TableParagraph"/>
              <w:spacing w:line="265" w:lineRule="exact"/>
              <w:ind w:left="117" w:right="109"/>
              <w:jc w:val="center"/>
              <w:rPr>
                <w:rFonts w:ascii="Arial" w:hAnsi="Arial"/>
              </w:rPr>
            </w:pPr>
            <w:r w:rsidRPr="00F8304F">
              <w:rPr>
                <w:rFonts w:ascii="Arial" w:hAnsi="Arial"/>
              </w:rPr>
              <w:t>2 BR</w:t>
            </w:r>
          </w:p>
        </w:tc>
        <w:tc>
          <w:tcPr>
            <w:tcW w:w="2284" w:type="dxa"/>
          </w:tcPr>
          <w:p w14:paraId="3BD108DE" w14:textId="77777777" w:rsidR="007C569D" w:rsidRPr="00F8304F" w:rsidRDefault="007C569D" w:rsidP="00CB0828">
            <w:pPr>
              <w:pStyle w:val="TableParagraph"/>
              <w:spacing w:line="265" w:lineRule="exact"/>
              <w:ind w:left="8"/>
              <w:jc w:val="center"/>
              <w:rPr>
                <w:rFonts w:ascii="Arial" w:hAnsi="Arial"/>
                <w:iCs/>
              </w:rPr>
            </w:pPr>
            <w:r w:rsidRPr="00F8304F">
              <w:rPr>
                <w:rFonts w:ascii="Arial" w:hAnsi="Arial"/>
                <w:iCs/>
              </w:rPr>
              <w:t>2</w:t>
            </w:r>
          </w:p>
        </w:tc>
        <w:tc>
          <w:tcPr>
            <w:tcW w:w="2340" w:type="dxa"/>
          </w:tcPr>
          <w:p w14:paraId="5D4DF7E1" w14:textId="77777777" w:rsidR="007C569D" w:rsidRPr="00F8304F" w:rsidRDefault="007C569D" w:rsidP="00CB0828">
            <w:pPr>
              <w:pStyle w:val="TableParagraph"/>
              <w:spacing w:line="265" w:lineRule="exact"/>
              <w:ind w:left="9"/>
              <w:jc w:val="center"/>
              <w:rPr>
                <w:rFonts w:ascii="Arial" w:hAnsi="Arial"/>
                <w:iCs/>
              </w:rPr>
            </w:pPr>
            <w:r w:rsidRPr="00F8304F">
              <w:rPr>
                <w:rFonts w:ascii="Arial" w:hAnsi="Arial"/>
                <w:iCs/>
              </w:rPr>
              <w:t>4</w:t>
            </w:r>
          </w:p>
        </w:tc>
      </w:tr>
      <w:tr w:rsidR="007C569D" w:rsidRPr="00A2158C" w14:paraId="7E4F1240" w14:textId="77777777" w:rsidTr="00F8304F">
        <w:trPr>
          <w:trHeight w:val="369"/>
        </w:trPr>
        <w:tc>
          <w:tcPr>
            <w:tcW w:w="2303" w:type="dxa"/>
          </w:tcPr>
          <w:p w14:paraId="7EF4BDA2" w14:textId="77777777" w:rsidR="007C569D" w:rsidRPr="00F8304F" w:rsidRDefault="007C569D" w:rsidP="00CB0828">
            <w:pPr>
              <w:pStyle w:val="TableParagraph"/>
              <w:spacing w:line="268" w:lineRule="exact"/>
              <w:ind w:left="117" w:right="109"/>
              <w:jc w:val="center"/>
              <w:rPr>
                <w:rFonts w:ascii="Arial" w:hAnsi="Arial"/>
              </w:rPr>
            </w:pPr>
            <w:r w:rsidRPr="00F8304F">
              <w:rPr>
                <w:rFonts w:ascii="Arial" w:hAnsi="Arial"/>
              </w:rPr>
              <w:t>3 BR</w:t>
            </w:r>
          </w:p>
        </w:tc>
        <w:tc>
          <w:tcPr>
            <w:tcW w:w="2284" w:type="dxa"/>
          </w:tcPr>
          <w:p w14:paraId="0E1BE8F0" w14:textId="77777777" w:rsidR="007C569D" w:rsidRPr="00F8304F" w:rsidRDefault="007C569D" w:rsidP="00CB0828">
            <w:pPr>
              <w:pStyle w:val="TableParagraph"/>
              <w:spacing w:line="268" w:lineRule="exact"/>
              <w:ind w:left="8"/>
              <w:jc w:val="center"/>
              <w:rPr>
                <w:rFonts w:ascii="Arial" w:hAnsi="Arial"/>
                <w:iCs/>
              </w:rPr>
            </w:pPr>
            <w:r w:rsidRPr="00F8304F">
              <w:rPr>
                <w:rFonts w:ascii="Arial" w:hAnsi="Arial"/>
                <w:iCs/>
              </w:rPr>
              <w:t>3</w:t>
            </w:r>
          </w:p>
        </w:tc>
        <w:tc>
          <w:tcPr>
            <w:tcW w:w="2340" w:type="dxa"/>
          </w:tcPr>
          <w:p w14:paraId="5FC4070B" w14:textId="77777777" w:rsidR="007C569D" w:rsidRPr="00F8304F" w:rsidRDefault="007C569D" w:rsidP="00CB0828">
            <w:pPr>
              <w:pStyle w:val="TableParagraph"/>
              <w:spacing w:line="268" w:lineRule="exact"/>
              <w:ind w:left="9"/>
              <w:jc w:val="center"/>
              <w:rPr>
                <w:rFonts w:ascii="Arial" w:hAnsi="Arial"/>
                <w:iCs/>
              </w:rPr>
            </w:pPr>
            <w:r w:rsidRPr="00F8304F">
              <w:rPr>
                <w:rFonts w:ascii="Arial" w:hAnsi="Arial"/>
                <w:iCs/>
              </w:rPr>
              <w:t>6</w:t>
            </w:r>
          </w:p>
        </w:tc>
      </w:tr>
      <w:tr w:rsidR="007C569D" w:rsidRPr="00A2158C" w14:paraId="6071F4D4" w14:textId="77777777" w:rsidTr="00F8304F">
        <w:trPr>
          <w:trHeight w:val="369"/>
        </w:trPr>
        <w:tc>
          <w:tcPr>
            <w:tcW w:w="2303" w:type="dxa"/>
          </w:tcPr>
          <w:p w14:paraId="3A7C189D" w14:textId="77777777" w:rsidR="007C569D" w:rsidRPr="00F8304F" w:rsidRDefault="007C569D" w:rsidP="00CB0828">
            <w:pPr>
              <w:pStyle w:val="TableParagraph"/>
              <w:spacing w:line="265" w:lineRule="exact"/>
              <w:ind w:left="117" w:right="109"/>
              <w:jc w:val="center"/>
              <w:rPr>
                <w:rFonts w:ascii="Arial" w:hAnsi="Arial"/>
              </w:rPr>
            </w:pPr>
            <w:r w:rsidRPr="00F8304F">
              <w:rPr>
                <w:rFonts w:ascii="Arial" w:hAnsi="Arial"/>
              </w:rPr>
              <w:t>4 BR</w:t>
            </w:r>
          </w:p>
        </w:tc>
        <w:tc>
          <w:tcPr>
            <w:tcW w:w="2284" w:type="dxa"/>
          </w:tcPr>
          <w:p w14:paraId="45C90026" w14:textId="77777777" w:rsidR="007C569D" w:rsidRPr="00F8304F" w:rsidRDefault="007C569D" w:rsidP="00CB0828">
            <w:pPr>
              <w:pStyle w:val="TableParagraph"/>
              <w:spacing w:line="265" w:lineRule="exact"/>
              <w:ind w:left="8"/>
              <w:jc w:val="center"/>
              <w:rPr>
                <w:rFonts w:ascii="Arial" w:hAnsi="Arial"/>
                <w:iCs/>
              </w:rPr>
            </w:pPr>
            <w:r w:rsidRPr="00F8304F">
              <w:rPr>
                <w:rFonts w:ascii="Arial" w:hAnsi="Arial"/>
                <w:iCs/>
              </w:rPr>
              <w:t>5</w:t>
            </w:r>
          </w:p>
        </w:tc>
        <w:tc>
          <w:tcPr>
            <w:tcW w:w="2340" w:type="dxa"/>
          </w:tcPr>
          <w:p w14:paraId="4B1785B9" w14:textId="77777777" w:rsidR="007C569D" w:rsidRPr="00F8304F" w:rsidRDefault="007C569D" w:rsidP="00CB0828">
            <w:pPr>
              <w:pStyle w:val="TableParagraph"/>
              <w:spacing w:line="265" w:lineRule="exact"/>
              <w:ind w:left="9"/>
              <w:jc w:val="center"/>
              <w:rPr>
                <w:rFonts w:ascii="Arial" w:hAnsi="Arial"/>
                <w:iCs/>
              </w:rPr>
            </w:pPr>
            <w:r w:rsidRPr="00F8304F">
              <w:rPr>
                <w:rFonts w:ascii="Arial" w:hAnsi="Arial"/>
                <w:iCs/>
              </w:rPr>
              <w:t>8</w:t>
            </w:r>
          </w:p>
        </w:tc>
      </w:tr>
      <w:tr w:rsidR="007C569D" w:rsidRPr="00A2158C" w14:paraId="244CC327" w14:textId="77777777" w:rsidTr="00F8304F">
        <w:trPr>
          <w:trHeight w:val="369"/>
        </w:trPr>
        <w:tc>
          <w:tcPr>
            <w:tcW w:w="2303" w:type="dxa"/>
          </w:tcPr>
          <w:p w14:paraId="0ECA5511" w14:textId="77777777" w:rsidR="007C569D" w:rsidRPr="00F8304F" w:rsidRDefault="007C569D" w:rsidP="00CB0828">
            <w:pPr>
              <w:pStyle w:val="TableParagraph"/>
              <w:spacing w:line="265" w:lineRule="exact"/>
              <w:ind w:left="117" w:right="109"/>
              <w:jc w:val="center"/>
              <w:rPr>
                <w:rFonts w:ascii="Arial" w:hAnsi="Arial"/>
              </w:rPr>
            </w:pPr>
            <w:r w:rsidRPr="00F8304F">
              <w:rPr>
                <w:rFonts w:ascii="Arial" w:hAnsi="Arial"/>
              </w:rPr>
              <w:t>5 BR</w:t>
            </w:r>
          </w:p>
        </w:tc>
        <w:tc>
          <w:tcPr>
            <w:tcW w:w="2284" w:type="dxa"/>
          </w:tcPr>
          <w:p w14:paraId="032E1DCF" w14:textId="77777777" w:rsidR="007C569D" w:rsidRPr="00F8304F" w:rsidRDefault="007C569D" w:rsidP="00CB0828">
            <w:pPr>
              <w:pStyle w:val="TableParagraph"/>
              <w:spacing w:line="265" w:lineRule="exact"/>
              <w:ind w:left="8"/>
              <w:jc w:val="center"/>
              <w:rPr>
                <w:rFonts w:ascii="Arial" w:hAnsi="Arial"/>
                <w:iCs/>
              </w:rPr>
            </w:pPr>
            <w:r w:rsidRPr="00F8304F">
              <w:rPr>
                <w:rFonts w:ascii="Arial" w:hAnsi="Arial"/>
                <w:iCs/>
              </w:rPr>
              <w:t>7</w:t>
            </w:r>
          </w:p>
        </w:tc>
        <w:tc>
          <w:tcPr>
            <w:tcW w:w="2340" w:type="dxa"/>
          </w:tcPr>
          <w:p w14:paraId="1B3A3D42" w14:textId="77777777" w:rsidR="007C569D" w:rsidRPr="00F8304F" w:rsidRDefault="007C569D" w:rsidP="00CB0828">
            <w:pPr>
              <w:pStyle w:val="TableParagraph"/>
              <w:spacing w:line="265" w:lineRule="exact"/>
              <w:ind w:left="321" w:right="309"/>
              <w:jc w:val="center"/>
              <w:rPr>
                <w:rFonts w:ascii="Arial" w:hAnsi="Arial"/>
                <w:iCs/>
              </w:rPr>
            </w:pPr>
            <w:r w:rsidRPr="00F8304F">
              <w:rPr>
                <w:rFonts w:ascii="Arial" w:hAnsi="Arial"/>
                <w:iCs/>
              </w:rPr>
              <w:t>10</w:t>
            </w:r>
          </w:p>
        </w:tc>
      </w:tr>
    </w:tbl>
    <w:p w14:paraId="2FE78629" w14:textId="77777777" w:rsidR="007C569D" w:rsidRPr="00A2158C" w:rsidRDefault="007C569D" w:rsidP="007C569D">
      <w:pPr>
        <w:pStyle w:val="BodyText"/>
        <w:jc w:val="both"/>
        <w:rPr>
          <w:sz w:val="25"/>
        </w:rPr>
      </w:pPr>
    </w:p>
    <w:p w14:paraId="6012A850" w14:textId="77777777" w:rsidR="003C1B08" w:rsidRDefault="003C1B08" w:rsidP="00BB64BD">
      <w:pPr>
        <w:pStyle w:val="Heading2"/>
      </w:pPr>
      <w:bookmarkStart w:id="639" w:name="_Toc173222665"/>
      <w:bookmarkStart w:id="640" w:name="_Toc200375569"/>
      <w:bookmarkStart w:id="641" w:name="_Toc200376931"/>
      <w:r>
        <w:t>Determining Family Unit Size</w:t>
      </w:r>
      <w:bookmarkEnd w:id="639"/>
      <w:bookmarkEnd w:id="640"/>
      <w:bookmarkEnd w:id="641"/>
    </w:p>
    <w:p w14:paraId="46CFE199" w14:textId="77777777" w:rsidR="009C5E87" w:rsidRDefault="009C5E87" w:rsidP="007C569D">
      <w:pPr>
        <w:tabs>
          <w:tab w:val="left" w:pos="881"/>
        </w:tabs>
        <w:ind w:right="237"/>
        <w:rPr>
          <w:rFonts w:cs="Arial"/>
        </w:rPr>
      </w:pPr>
      <w:r>
        <w:rPr>
          <w:rFonts w:cs="Arial"/>
        </w:rPr>
        <w:t>For each family, HHA determines the appropriate unit size bas</w:t>
      </w:r>
      <w:r w:rsidR="000E4706">
        <w:rPr>
          <w:rFonts w:cs="Arial"/>
        </w:rPr>
        <w:t>ed on HHA Occupancy Standards.</w:t>
      </w:r>
    </w:p>
    <w:p w14:paraId="300E90EF" w14:textId="77777777" w:rsidR="000E4706" w:rsidRDefault="000E4706" w:rsidP="007C569D">
      <w:pPr>
        <w:tabs>
          <w:tab w:val="left" w:pos="881"/>
        </w:tabs>
        <w:ind w:right="237"/>
        <w:rPr>
          <w:rFonts w:cs="Arial"/>
        </w:rPr>
      </w:pPr>
      <w:r>
        <w:rPr>
          <w:rFonts w:cs="Arial"/>
        </w:rPr>
        <w:t>HHA will apply occupancy standards consistent with the stated gender provided by the tenant. HHA may make exceptions to this occupancy standard policy where cases of gender identity and other household members are concerned. Exceptions will be made on a case-by-case basis.</w:t>
      </w:r>
    </w:p>
    <w:p w14:paraId="39DAFF4F" w14:textId="77777777" w:rsidR="007C569D" w:rsidRPr="007C569D" w:rsidRDefault="007C569D" w:rsidP="007C569D">
      <w:pPr>
        <w:tabs>
          <w:tab w:val="left" w:pos="881"/>
        </w:tabs>
        <w:ind w:right="237"/>
        <w:rPr>
          <w:rFonts w:cs="Arial"/>
        </w:rPr>
      </w:pPr>
      <w:r w:rsidRPr="007C569D">
        <w:rPr>
          <w:rFonts w:cs="Arial"/>
        </w:rPr>
        <w:t>The following principles govern the size of unit for which a household will qualify. Generally, two people per bedroom. Units will be so assigned</w:t>
      </w:r>
      <w:r w:rsidRPr="007C569D">
        <w:rPr>
          <w:rFonts w:cs="Arial"/>
          <w:spacing w:val="-6"/>
        </w:rPr>
        <w:t xml:space="preserve"> </w:t>
      </w:r>
      <w:r w:rsidRPr="007C569D">
        <w:rPr>
          <w:rFonts w:cs="Arial"/>
        </w:rPr>
        <w:t>that:</w:t>
      </w:r>
    </w:p>
    <w:p w14:paraId="2181556A" w14:textId="77777777" w:rsidR="00E01863" w:rsidRPr="007C569D" w:rsidRDefault="00E01863" w:rsidP="00CB52D8">
      <w:pPr>
        <w:pStyle w:val="ListParagraph"/>
        <w:widowControl w:val="0"/>
        <w:numPr>
          <w:ilvl w:val="2"/>
          <w:numId w:val="28"/>
        </w:numPr>
        <w:autoSpaceDE w:val="0"/>
        <w:autoSpaceDN w:val="0"/>
        <w:ind w:left="900" w:right="233"/>
        <w:contextualSpacing w:val="0"/>
        <w:rPr>
          <w:rFonts w:cs="Arial"/>
        </w:rPr>
      </w:pPr>
      <w:r w:rsidRPr="007C569D">
        <w:rPr>
          <w:rFonts w:cs="Arial"/>
        </w:rPr>
        <w:t xml:space="preserve">A single head of household parent </w:t>
      </w:r>
      <w:r>
        <w:rPr>
          <w:rFonts w:cs="Arial"/>
        </w:rPr>
        <w:t>is not required to share a bedroom</w:t>
      </w:r>
      <w:r w:rsidRPr="007C569D">
        <w:rPr>
          <w:rFonts w:cs="Arial"/>
        </w:rPr>
        <w:t xml:space="preserve"> for with </w:t>
      </w:r>
      <w:r>
        <w:rPr>
          <w:rFonts w:cs="Arial"/>
        </w:rPr>
        <w:t>their</w:t>
      </w:r>
      <w:r w:rsidRPr="007C569D">
        <w:rPr>
          <w:rFonts w:cs="Arial"/>
        </w:rPr>
        <w:t xml:space="preserve"> child</w:t>
      </w:r>
      <w:r>
        <w:rPr>
          <w:rFonts w:cs="Arial"/>
        </w:rPr>
        <w:t xml:space="preserve"> who is</w:t>
      </w:r>
      <w:r w:rsidRPr="007C569D">
        <w:rPr>
          <w:rFonts w:cs="Arial"/>
        </w:rPr>
        <w:t xml:space="preserve"> over age four, </w:t>
      </w:r>
      <w:r w:rsidRPr="007C569D">
        <w:rPr>
          <w:rFonts w:cs="Arial"/>
          <w:b/>
          <w:bCs/>
        </w:rPr>
        <w:t xml:space="preserve">although they may </w:t>
      </w:r>
      <w:r>
        <w:rPr>
          <w:rFonts w:cs="Arial"/>
          <w:b/>
          <w:bCs/>
        </w:rPr>
        <w:t>do so</w:t>
      </w:r>
      <w:r w:rsidRPr="007C569D">
        <w:rPr>
          <w:rFonts w:cs="Arial"/>
          <w:b/>
          <w:bCs/>
        </w:rPr>
        <w:t xml:space="preserve"> at the request of the</w:t>
      </w:r>
      <w:r w:rsidRPr="007C569D">
        <w:rPr>
          <w:rFonts w:cs="Arial"/>
          <w:b/>
          <w:bCs/>
          <w:spacing w:val="-22"/>
        </w:rPr>
        <w:t xml:space="preserve"> </w:t>
      </w:r>
      <w:r>
        <w:rPr>
          <w:rFonts w:cs="Arial"/>
          <w:b/>
          <w:bCs/>
        </w:rPr>
        <w:t>family</w:t>
      </w:r>
      <w:r w:rsidRPr="007C569D">
        <w:rPr>
          <w:rFonts w:cs="Arial"/>
        </w:rPr>
        <w:t>.</w:t>
      </w:r>
    </w:p>
    <w:p w14:paraId="79B68391" w14:textId="77777777" w:rsidR="007C569D" w:rsidRDefault="007C569D" w:rsidP="00CB52D8">
      <w:pPr>
        <w:pStyle w:val="ListParagraph"/>
        <w:widowControl w:val="0"/>
        <w:numPr>
          <w:ilvl w:val="2"/>
          <w:numId w:val="28"/>
        </w:numPr>
        <w:autoSpaceDE w:val="0"/>
        <w:autoSpaceDN w:val="0"/>
        <w:ind w:left="900" w:right="232"/>
        <w:contextualSpacing w:val="0"/>
        <w:rPr>
          <w:rFonts w:cs="Arial"/>
        </w:rPr>
      </w:pPr>
      <w:r w:rsidRPr="007C569D">
        <w:rPr>
          <w:rFonts w:cs="Arial"/>
        </w:rPr>
        <w:t xml:space="preserve">Children age four and under </w:t>
      </w:r>
      <w:r w:rsidR="00DA756F">
        <w:rPr>
          <w:rFonts w:cs="Arial"/>
        </w:rPr>
        <w:t>must share a</w:t>
      </w:r>
      <w:r w:rsidRPr="007C569D">
        <w:rPr>
          <w:rFonts w:cs="Arial"/>
        </w:rPr>
        <w:t xml:space="preserve"> bedroom with any other child or a parent, regardless of age or</w:t>
      </w:r>
      <w:r w:rsidRPr="007C569D">
        <w:rPr>
          <w:rFonts w:cs="Arial"/>
          <w:spacing w:val="-4"/>
        </w:rPr>
        <w:t xml:space="preserve"> </w:t>
      </w:r>
      <w:r w:rsidRPr="007C569D">
        <w:rPr>
          <w:rFonts w:cs="Arial"/>
        </w:rPr>
        <w:t>sex</w:t>
      </w:r>
      <w:r w:rsidR="0059348E">
        <w:rPr>
          <w:rFonts w:cs="Arial"/>
        </w:rPr>
        <w:t xml:space="preserve">, </w:t>
      </w:r>
      <w:r w:rsidR="0067203C">
        <w:rPr>
          <w:rFonts w:cs="Arial"/>
        </w:rPr>
        <w:t xml:space="preserve">except </w:t>
      </w:r>
      <w:r w:rsidR="00D855BE">
        <w:rPr>
          <w:rFonts w:cs="Arial"/>
        </w:rPr>
        <w:t>when</w:t>
      </w:r>
      <w:r w:rsidR="0067203C">
        <w:rPr>
          <w:rFonts w:cs="Arial"/>
        </w:rPr>
        <w:t xml:space="preserve"> the family </w:t>
      </w:r>
      <w:r w:rsidR="00D855BE">
        <w:rPr>
          <w:rFonts w:cs="Arial"/>
        </w:rPr>
        <w:t>would</w:t>
      </w:r>
      <w:r w:rsidR="0067203C">
        <w:rPr>
          <w:rFonts w:cs="Arial"/>
        </w:rPr>
        <w:t xml:space="preserve"> exceed two persons per bedroom</w:t>
      </w:r>
      <w:r w:rsidRPr="007C569D">
        <w:rPr>
          <w:rFonts w:cs="Arial"/>
        </w:rPr>
        <w:t>;</w:t>
      </w:r>
    </w:p>
    <w:p w14:paraId="69E25D7D" w14:textId="77777777" w:rsidR="00074A4B" w:rsidRPr="007C569D" w:rsidRDefault="009328F2" w:rsidP="00CB52D8">
      <w:pPr>
        <w:pStyle w:val="ListParagraph"/>
        <w:widowControl w:val="0"/>
        <w:numPr>
          <w:ilvl w:val="2"/>
          <w:numId w:val="28"/>
        </w:numPr>
        <w:autoSpaceDE w:val="0"/>
        <w:autoSpaceDN w:val="0"/>
        <w:ind w:left="900" w:right="232"/>
        <w:contextualSpacing w:val="0"/>
        <w:rPr>
          <w:rFonts w:cs="Arial"/>
        </w:rPr>
      </w:pPr>
      <w:r>
        <w:rPr>
          <w:rFonts w:cs="Arial"/>
        </w:rPr>
        <w:t xml:space="preserve">Two children of the same sex who are aged </w:t>
      </w:r>
      <w:r w:rsidR="00231516">
        <w:rPr>
          <w:rFonts w:cs="Arial"/>
        </w:rPr>
        <w:t>five through 17 share a bedroom;</w:t>
      </w:r>
    </w:p>
    <w:p w14:paraId="2C298284" w14:textId="77777777" w:rsidR="007C569D" w:rsidRPr="007C569D" w:rsidRDefault="007C569D" w:rsidP="00CB52D8">
      <w:pPr>
        <w:pStyle w:val="ListParagraph"/>
        <w:widowControl w:val="0"/>
        <w:numPr>
          <w:ilvl w:val="2"/>
          <w:numId w:val="28"/>
        </w:numPr>
        <w:autoSpaceDE w:val="0"/>
        <w:autoSpaceDN w:val="0"/>
        <w:ind w:left="900" w:right="232"/>
        <w:contextualSpacing w:val="0"/>
        <w:rPr>
          <w:rFonts w:cs="Arial"/>
        </w:rPr>
      </w:pPr>
      <w:r w:rsidRPr="007C569D">
        <w:rPr>
          <w:rFonts w:cs="Arial"/>
        </w:rPr>
        <w:t>Two children</w:t>
      </w:r>
      <w:r w:rsidR="005E7AEC">
        <w:rPr>
          <w:rFonts w:cs="Arial"/>
        </w:rPr>
        <w:t xml:space="preserve"> of the opposite sex who are</w:t>
      </w:r>
      <w:r w:rsidRPr="007C569D">
        <w:rPr>
          <w:rFonts w:cs="Arial"/>
        </w:rPr>
        <w:t xml:space="preserve"> </w:t>
      </w:r>
      <w:r w:rsidR="00056B22">
        <w:rPr>
          <w:rFonts w:cs="Arial"/>
        </w:rPr>
        <w:t>age</w:t>
      </w:r>
      <w:r w:rsidR="005E7AEC">
        <w:rPr>
          <w:rFonts w:cs="Arial"/>
        </w:rPr>
        <w:t>d</w:t>
      </w:r>
      <w:r w:rsidR="00056B22">
        <w:rPr>
          <w:rFonts w:cs="Arial"/>
        </w:rPr>
        <w:t xml:space="preserve"> five </w:t>
      </w:r>
      <w:r w:rsidR="00E509AA">
        <w:rPr>
          <w:rFonts w:cs="Arial"/>
        </w:rPr>
        <w:t>through 17</w:t>
      </w:r>
      <w:r w:rsidR="00056B22">
        <w:rPr>
          <w:rFonts w:cs="Arial"/>
        </w:rPr>
        <w:t xml:space="preserve"> </w:t>
      </w:r>
      <w:r w:rsidR="005E7AEC">
        <w:rPr>
          <w:rFonts w:cs="Arial"/>
        </w:rPr>
        <w:t>are not required to share a</w:t>
      </w:r>
      <w:r w:rsidRPr="007C569D">
        <w:rPr>
          <w:rFonts w:cs="Arial"/>
        </w:rPr>
        <w:t xml:space="preserve"> bedroom, </w:t>
      </w:r>
      <w:r w:rsidRPr="007C569D">
        <w:rPr>
          <w:rFonts w:cs="Arial"/>
          <w:b/>
          <w:bCs/>
        </w:rPr>
        <w:t xml:space="preserve">although they may </w:t>
      </w:r>
      <w:r w:rsidR="005E7AEC">
        <w:rPr>
          <w:rFonts w:cs="Arial"/>
          <w:b/>
          <w:bCs/>
        </w:rPr>
        <w:t>do so</w:t>
      </w:r>
      <w:r w:rsidRPr="007C569D">
        <w:rPr>
          <w:rFonts w:cs="Arial"/>
          <w:b/>
          <w:bCs/>
        </w:rPr>
        <w:t xml:space="preserve"> at the request of the</w:t>
      </w:r>
      <w:r w:rsidRPr="007C569D">
        <w:rPr>
          <w:rFonts w:cs="Arial"/>
          <w:b/>
          <w:bCs/>
          <w:spacing w:val="-16"/>
        </w:rPr>
        <w:t xml:space="preserve"> </w:t>
      </w:r>
      <w:r w:rsidR="005E7AEC">
        <w:rPr>
          <w:rFonts w:cs="Arial"/>
          <w:b/>
          <w:bCs/>
        </w:rPr>
        <w:t>family</w:t>
      </w:r>
      <w:r w:rsidRPr="007C569D">
        <w:rPr>
          <w:rFonts w:cs="Arial"/>
        </w:rPr>
        <w:t>.</w:t>
      </w:r>
    </w:p>
    <w:p w14:paraId="4F80D054" w14:textId="77777777" w:rsidR="007C569D" w:rsidRPr="007C569D" w:rsidRDefault="007C569D" w:rsidP="00CB52D8">
      <w:pPr>
        <w:pStyle w:val="ListParagraph"/>
        <w:widowControl w:val="0"/>
        <w:numPr>
          <w:ilvl w:val="2"/>
          <w:numId w:val="28"/>
        </w:numPr>
        <w:autoSpaceDE w:val="0"/>
        <w:autoSpaceDN w:val="0"/>
        <w:ind w:left="900"/>
        <w:contextualSpacing w:val="0"/>
        <w:rPr>
          <w:rFonts w:cs="Arial"/>
        </w:rPr>
      </w:pPr>
      <w:r w:rsidRPr="007C569D">
        <w:rPr>
          <w:rFonts w:cs="Arial"/>
        </w:rPr>
        <w:t xml:space="preserve">Adults (over age 18) of the same sex </w:t>
      </w:r>
      <w:r w:rsidR="006C6741">
        <w:rPr>
          <w:rFonts w:cs="Arial"/>
        </w:rPr>
        <w:t xml:space="preserve">share a </w:t>
      </w:r>
      <w:r w:rsidRPr="007C569D">
        <w:rPr>
          <w:rFonts w:cs="Arial"/>
        </w:rPr>
        <w:t>bedroom;</w:t>
      </w:r>
    </w:p>
    <w:p w14:paraId="1BC50035" w14:textId="77777777" w:rsidR="007C569D" w:rsidRPr="007C569D" w:rsidRDefault="007C569D" w:rsidP="00CB52D8">
      <w:pPr>
        <w:pStyle w:val="ListParagraph"/>
        <w:widowControl w:val="0"/>
        <w:numPr>
          <w:ilvl w:val="2"/>
          <w:numId w:val="28"/>
        </w:numPr>
        <w:autoSpaceDE w:val="0"/>
        <w:autoSpaceDN w:val="0"/>
        <w:ind w:left="900" w:right="233"/>
        <w:contextualSpacing w:val="0"/>
        <w:rPr>
          <w:rFonts w:cs="Arial"/>
        </w:rPr>
      </w:pPr>
      <w:r w:rsidRPr="007C569D">
        <w:rPr>
          <w:rFonts w:cs="Arial"/>
        </w:rPr>
        <w:t>Adults</w:t>
      </w:r>
      <w:r w:rsidRPr="007C569D">
        <w:rPr>
          <w:rFonts w:cs="Arial"/>
          <w:spacing w:val="-5"/>
        </w:rPr>
        <w:t xml:space="preserve"> </w:t>
      </w:r>
      <w:r w:rsidRPr="007C569D">
        <w:rPr>
          <w:rFonts w:cs="Arial"/>
        </w:rPr>
        <w:t>(over</w:t>
      </w:r>
      <w:r w:rsidRPr="007C569D">
        <w:rPr>
          <w:rFonts w:cs="Arial"/>
          <w:spacing w:val="-4"/>
        </w:rPr>
        <w:t xml:space="preserve"> </w:t>
      </w:r>
      <w:r w:rsidRPr="007C569D">
        <w:rPr>
          <w:rFonts w:cs="Arial"/>
        </w:rPr>
        <w:t>age</w:t>
      </w:r>
      <w:r w:rsidRPr="007C569D">
        <w:rPr>
          <w:rFonts w:cs="Arial"/>
          <w:spacing w:val="-5"/>
        </w:rPr>
        <w:t xml:space="preserve"> </w:t>
      </w:r>
      <w:r w:rsidRPr="007C569D">
        <w:rPr>
          <w:rFonts w:cs="Arial"/>
        </w:rPr>
        <w:t>18)</w:t>
      </w:r>
      <w:r w:rsidRPr="007C569D">
        <w:rPr>
          <w:rFonts w:cs="Arial"/>
          <w:spacing w:val="-5"/>
        </w:rPr>
        <w:t xml:space="preserve"> </w:t>
      </w:r>
      <w:r w:rsidRPr="007C569D">
        <w:rPr>
          <w:rFonts w:cs="Arial"/>
        </w:rPr>
        <w:t>who</w:t>
      </w:r>
      <w:r w:rsidRPr="007C569D">
        <w:rPr>
          <w:rFonts w:cs="Arial"/>
          <w:spacing w:val="-5"/>
        </w:rPr>
        <w:t xml:space="preserve"> </w:t>
      </w:r>
      <w:r w:rsidR="0070162F">
        <w:rPr>
          <w:rFonts w:cs="Arial"/>
          <w:spacing w:val="-5"/>
        </w:rPr>
        <w:t xml:space="preserve">are </w:t>
      </w:r>
      <w:r w:rsidR="00081C56">
        <w:rPr>
          <w:rFonts w:cs="Arial"/>
        </w:rPr>
        <w:t>spouses</w:t>
      </w:r>
      <w:r w:rsidR="00672D7D">
        <w:rPr>
          <w:rFonts w:cs="Arial"/>
        </w:rPr>
        <w:t xml:space="preserve">/partners </w:t>
      </w:r>
      <w:r w:rsidR="006C6741">
        <w:rPr>
          <w:rFonts w:cs="Arial"/>
        </w:rPr>
        <w:t>share a</w:t>
      </w:r>
      <w:r w:rsidRPr="007C569D">
        <w:rPr>
          <w:rFonts w:cs="Arial"/>
        </w:rPr>
        <w:t xml:space="preserve"> bedroom;</w:t>
      </w:r>
    </w:p>
    <w:p w14:paraId="6FA5B4FD" w14:textId="77777777" w:rsidR="007C569D" w:rsidRPr="007C569D" w:rsidRDefault="007C569D" w:rsidP="00CB52D8">
      <w:pPr>
        <w:pStyle w:val="ListParagraph"/>
        <w:widowControl w:val="0"/>
        <w:numPr>
          <w:ilvl w:val="2"/>
          <w:numId w:val="28"/>
        </w:numPr>
        <w:autoSpaceDE w:val="0"/>
        <w:autoSpaceDN w:val="0"/>
        <w:ind w:left="900" w:right="233"/>
        <w:contextualSpacing w:val="0"/>
        <w:rPr>
          <w:rFonts w:cs="Arial"/>
        </w:rPr>
      </w:pPr>
      <w:r w:rsidRPr="007C569D">
        <w:rPr>
          <w:rFonts w:cs="Arial"/>
        </w:rPr>
        <w:t xml:space="preserve">Adults (over age 18) of opposite sexes who are not spouses or co-heads of household </w:t>
      </w:r>
      <w:r w:rsidR="009900D0">
        <w:rPr>
          <w:rFonts w:cs="Arial"/>
        </w:rPr>
        <w:t>are not required to share a</w:t>
      </w:r>
      <w:r w:rsidRPr="007C569D">
        <w:rPr>
          <w:rFonts w:cs="Arial"/>
        </w:rPr>
        <w:t xml:space="preserve"> bedroom </w:t>
      </w:r>
      <w:r w:rsidRPr="007C569D">
        <w:rPr>
          <w:rFonts w:cs="Arial"/>
          <w:b/>
          <w:bCs/>
        </w:rPr>
        <w:t xml:space="preserve">although they may </w:t>
      </w:r>
      <w:r w:rsidR="009900D0">
        <w:rPr>
          <w:rFonts w:cs="Arial"/>
          <w:b/>
          <w:bCs/>
        </w:rPr>
        <w:t>do so</w:t>
      </w:r>
      <w:r w:rsidRPr="007C569D">
        <w:rPr>
          <w:rFonts w:cs="Arial"/>
          <w:b/>
          <w:bCs/>
        </w:rPr>
        <w:t xml:space="preserve"> at the request of the </w:t>
      </w:r>
      <w:r w:rsidR="00F40033">
        <w:rPr>
          <w:rFonts w:cs="Arial"/>
          <w:b/>
          <w:bCs/>
        </w:rPr>
        <w:t>family</w:t>
      </w:r>
      <w:r w:rsidRPr="007C569D">
        <w:rPr>
          <w:rFonts w:cs="Arial"/>
        </w:rPr>
        <w:t>.</w:t>
      </w:r>
    </w:p>
    <w:p w14:paraId="431D2F8B" w14:textId="77777777" w:rsidR="007C569D" w:rsidRPr="007C569D" w:rsidRDefault="007C569D" w:rsidP="00CB52D8">
      <w:pPr>
        <w:pStyle w:val="ListParagraph"/>
        <w:widowControl w:val="0"/>
        <w:numPr>
          <w:ilvl w:val="2"/>
          <w:numId w:val="28"/>
        </w:numPr>
        <w:autoSpaceDE w:val="0"/>
        <w:autoSpaceDN w:val="0"/>
        <w:ind w:left="900" w:right="233"/>
        <w:contextualSpacing w:val="0"/>
        <w:rPr>
          <w:rFonts w:cs="Arial"/>
        </w:rPr>
      </w:pPr>
      <w:r w:rsidRPr="007C569D">
        <w:rPr>
          <w:rFonts w:cs="Arial"/>
        </w:rPr>
        <w:t>Exceptions to the largest permissible apartment size may be made in case of an approved reasonable accommodations for a person with</w:t>
      </w:r>
      <w:r w:rsidRPr="007C569D">
        <w:rPr>
          <w:rFonts w:cs="Arial"/>
          <w:spacing w:val="-8"/>
        </w:rPr>
        <w:t xml:space="preserve"> </w:t>
      </w:r>
      <w:r w:rsidRPr="007C569D">
        <w:rPr>
          <w:rFonts w:cs="Arial"/>
        </w:rPr>
        <w:t>disabilities.</w:t>
      </w:r>
    </w:p>
    <w:p w14:paraId="51B5B50C" w14:textId="77777777" w:rsidR="007C569D" w:rsidRPr="007C569D" w:rsidRDefault="007C569D" w:rsidP="00CB52D8">
      <w:pPr>
        <w:pStyle w:val="ListParagraph"/>
        <w:widowControl w:val="0"/>
        <w:numPr>
          <w:ilvl w:val="2"/>
          <w:numId w:val="28"/>
        </w:numPr>
        <w:autoSpaceDE w:val="0"/>
        <w:autoSpaceDN w:val="0"/>
        <w:ind w:left="900"/>
        <w:contextualSpacing w:val="0"/>
        <w:rPr>
          <w:rFonts w:cs="Arial"/>
        </w:rPr>
      </w:pPr>
      <w:r w:rsidRPr="007C569D">
        <w:rPr>
          <w:rFonts w:cs="Arial"/>
        </w:rPr>
        <w:t>An unborn child will be counted as a person in determining apartment</w:t>
      </w:r>
      <w:r w:rsidRPr="007C569D">
        <w:rPr>
          <w:rFonts w:cs="Arial"/>
          <w:spacing w:val="-13"/>
        </w:rPr>
        <w:t xml:space="preserve"> </w:t>
      </w:r>
      <w:r w:rsidRPr="007C569D">
        <w:rPr>
          <w:rFonts w:cs="Arial"/>
        </w:rPr>
        <w:t>size.</w:t>
      </w:r>
    </w:p>
    <w:p w14:paraId="42EF6720" w14:textId="77777777" w:rsidR="007C569D" w:rsidRPr="007C569D" w:rsidRDefault="007C569D" w:rsidP="007C569D">
      <w:pPr>
        <w:tabs>
          <w:tab w:val="left" w:pos="881"/>
        </w:tabs>
        <w:rPr>
          <w:rFonts w:cs="Arial"/>
        </w:rPr>
      </w:pPr>
      <w:r w:rsidRPr="007C569D">
        <w:rPr>
          <w:rFonts w:cs="Arial"/>
        </w:rPr>
        <w:t>In determining apartment</w:t>
      </w:r>
      <w:r w:rsidRPr="007C569D">
        <w:rPr>
          <w:rFonts w:cs="Arial"/>
          <w:spacing w:val="-3"/>
        </w:rPr>
        <w:t xml:space="preserve"> </w:t>
      </w:r>
      <w:r w:rsidRPr="007C569D">
        <w:rPr>
          <w:rFonts w:cs="Arial"/>
        </w:rPr>
        <w:t>size:</w:t>
      </w:r>
    </w:p>
    <w:p w14:paraId="75540153" w14:textId="77777777" w:rsidR="007C569D" w:rsidRPr="007C569D" w:rsidRDefault="007C569D" w:rsidP="00CB52D8">
      <w:pPr>
        <w:pStyle w:val="ListParagraph"/>
        <w:widowControl w:val="0"/>
        <w:numPr>
          <w:ilvl w:val="0"/>
          <w:numId w:val="29"/>
        </w:numPr>
        <w:autoSpaceDE w:val="0"/>
        <w:autoSpaceDN w:val="0"/>
        <w:ind w:left="900"/>
        <w:contextualSpacing w:val="0"/>
        <w:rPr>
          <w:rFonts w:cs="Arial"/>
        </w:rPr>
      </w:pPr>
      <w:r w:rsidRPr="007C569D">
        <w:rPr>
          <w:rFonts w:cs="Arial"/>
        </w:rPr>
        <w:t>HHA will count for unit size determination a child who is temporarily away from the home because the child has been placed in foster care, kinship care, or is away at school, so long as the household can document that the child will be living with the household.</w:t>
      </w:r>
    </w:p>
    <w:p w14:paraId="32C3D107" w14:textId="77777777" w:rsidR="007C569D" w:rsidRPr="00942EC6" w:rsidRDefault="007C569D" w:rsidP="00CB52D8">
      <w:pPr>
        <w:pStyle w:val="ListParagraph"/>
        <w:widowControl w:val="0"/>
        <w:numPr>
          <w:ilvl w:val="0"/>
          <w:numId w:val="29"/>
        </w:numPr>
        <w:autoSpaceDE w:val="0"/>
        <w:autoSpaceDN w:val="0"/>
        <w:ind w:left="900"/>
        <w:contextualSpacing w:val="0"/>
        <w:rPr>
          <w:rFonts w:cs="Arial"/>
        </w:rPr>
      </w:pPr>
      <w:r w:rsidRPr="007C569D">
        <w:rPr>
          <w:rFonts w:cs="Arial"/>
        </w:rPr>
        <w:t xml:space="preserve">An approved live-in aide </w:t>
      </w:r>
      <w:r w:rsidR="001809DA">
        <w:rPr>
          <w:rFonts w:cs="Arial"/>
        </w:rPr>
        <w:t>will</w:t>
      </w:r>
      <w:r w:rsidRPr="007C569D">
        <w:rPr>
          <w:rFonts w:cs="Arial"/>
        </w:rPr>
        <w:t xml:space="preserve"> be assigned a bedroom. </w:t>
      </w:r>
      <w:r w:rsidR="00942EC6" w:rsidRPr="00942EC6">
        <w:rPr>
          <w:rFonts w:cs="Arial"/>
        </w:rPr>
        <w:t>No additional bedrooms will be provided for the live-in aide’s family.</w:t>
      </w:r>
    </w:p>
    <w:p w14:paraId="1D36C765" w14:textId="77777777" w:rsidR="007C569D" w:rsidRPr="007C569D" w:rsidRDefault="007C569D" w:rsidP="00CB52D8">
      <w:pPr>
        <w:pStyle w:val="ListParagraph"/>
        <w:widowControl w:val="0"/>
        <w:numPr>
          <w:ilvl w:val="0"/>
          <w:numId w:val="29"/>
        </w:numPr>
        <w:autoSpaceDE w:val="0"/>
        <w:autoSpaceDN w:val="0"/>
        <w:ind w:left="900"/>
        <w:contextualSpacing w:val="0"/>
        <w:rPr>
          <w:rFonts w:cs="Arial"/>
        </w:rPr>
      </w:pPr>
      <w:r w:rsidRPr="007C569D">
        <w:rPr>
          <w:rFonts w:cs="Arial"/>
        </w:rPr>
        <w:t>The Local Housing Code of two persons per bedroom is the standard for the smallest apartment a household may be offered.</w:t>
      </w:r>
    </w:p>
    <w:p w14:paraId="598C3CF7" w14:textId="77777777" w:rsidR="007C569D" w:rsidRPr="007C569D" w:rsidRDefault="007C569D" w:rsidP="007F177E">
      <w:pPr>
        <w:pStyle w:val="ListParagraph"/>
        <w:widowControl w:val="0"/>
        <w:numPr>
          <w:ilvl w:val="1"/>
          <w:numId w:val="237"/>
        </w:numPr>
        <w:autoSpaceDE w:val="0"/>
        <w:autoSpaceDN w:val="0"/>
        <w:contextualSpacing w:val="0"/>
        <w:rPr>
          <w:rFonts w:cs="Arial"/>
        </w:rPr>
      </w:pPr>
      <w:r w:rsidRPr="007C569D">
        <w:rPr>
          <w:rFonts w:cs="Arial"/>
          <w:szCs w:val="24"/>
        </w:rPr>
        <w:t>Individual apartments with very small or very large bedrooms or other specific situations that inhibit or encourage lower or higher levels of occupancy may be permitted to establish lower or higher occupancy levels so long as the occupancy levels will not discriminate on the basis of familial status.</w:t>
      </w:r>
    </w:p>
    <w:p w14:paraId="740BB04F" w14:textId="77777777" w:rsidR="007C569D" w:rsidRDefault="007C569D" w:rsidP="00CB52D8">
      <w:pPr>
        <w:pStyle w:val="ListParagraph"/>
        <w:widowControl w:val="0"/>
        <w:numPr>
          <w:ilvl w:val="0"/>
          <w:numId w:val="29"/>
        </w:numPr>
        <w:autoSpaceDE w:val="0"/>
        <w:autoSpaceDN w:val="0"/>
        <w:ind w:left="900"/>
        <w:contextualSpacing w:val="0"/>
        <w:rPr>
          <w:rFonts w:cs="Arial"/>
        </w:rPr>
      </w:pPr>
      <w:r w:rsidRPr="007C569D">
        <w:rPr>
          <w:rFonts w:cs="Arial"/>
        </w:rPr>
        <w:t>The largest apartment size that a household may be offered would be one bedroom per household member, considering household size and composition.</w:t>
      </w:r>
    </w:p>
    <w:p w14:paraId="7F77CC11" w14:textId="77777777" w:rsidR="00D83D34" w:rsidRPr="008D2981" w:rsidRDefault="00D83D34" w:rsidP="00CB52D8">
      <w:pPr>
        <w:pStyle w:val="ListParagraph"/>
        <w:widowControl w:val="0"/>
        <w:numPr>
          <w:ilvl w:val="0"/>
          <w:numId w:val="29"/>
        </w:numPr>
        <w:autoSpaceDE w:val="0"/>
        <w:autoSpaceDN w:val="0"/>
        <w:ind w:left="900"/>
        <w:contextualSpacing w:val="0"/>
        <w:rPr>
          <w:rFonts w:cs="Arial"/>
        </w:rPr>
      </w:pPr>
      <w:r w:rsidRPr="008D2981">
        <w:rPr>
          <w:rFonts w:cs="Arial"/>
        </w:rPr>
        <w:t>Children related to a household member by birth, adoption, or court-awarded custody will be considered when determining unit size.</w:t>
      </w:r>
    </w:p>
    <w:p w14:paraId="31DCB4AB" w14:textId="77777777" w:rsidR="00D83D34" w:rsidRPr="008D2981" w:rsidRDefault="00D83D34" w:rsidP="00CB52D8">
      <w:pPr>
        <w:pStyle w:val="ListParagraph"/>
        <w:widowControl w:val="0"/>
        <w:numPr>
          <w:ilvl w:val="0"/>
          <w:numId w:val="29"/>
        </w:numPr>
        <w:autoSpaceDE w:val="0"/>
        <w:autoSpaceDN w:val="0"/>
        <w:ind w:left="900"/>
        <w:contextualSpacing w:val="0"/>
        <w:rPr>
          <w:rFonts w:cs="Arial"/>
        </w:rPr>
      </w:pPr>
      <w:r w:rsidRPr="008D2981">
        <w:rPr>
          <w:rFonts w:cs="Arial"/>
        </w:rPr>
        <w:t xml:space="preserve">Foster children will be considered when determining unit size. The family may add foster children to the household as long as it does not overcrowd the unit based on </w:t>
      </w:r>
      <w:r w:rsidR="008D2981">
        <w:rPr>
          <w:rFonts w:cs="Arial"/>
        </w:rPr>
        <w:t>H</w:t>
      </w:r>
      <w:r w:rsidRPr="008D2981">
        <w:rPr>
          <w:rFonts w:cs="Arial"/>
        </w:rPr>
        <w:t>HA’s occupancy standards.</w:t>
      </w:r>
    </w:p>
    <w:p w14:paraId="7B0BCDC6" w14:textId="77777777" w:rsidR="00D83D34" w:rsidRPr="008D2981" w:rsidRDefault="00D83D34" w:rsidP="00CB52D8">
      <w:pPr>
        <w:pStyle w:val="ListParagraph"/>
        <w:widowControl w:val="0"/>
        <w:numPr>
          <w:ilvl w:val="0"/>
          <w:numId w:val="29"/>
        </w:numPr>
        <w:autoSpaceDE w:val="0"/>
        <w:autoSpaceDN w:val="0"/>
        <w:ind w:left="900"/>
        <w:contextualSpacing w:val="0"/>
        <w:rPr>
          <w:rFonts w:cs="Arial"/>
        </w:rPr>
      </w:pPr>
      <w:r w:rsidRPr="008D2981">
        <w:rPr>
          <w:rFonts w:cs="Arial"/>
        </w:rPr>
        <w:t xml:space="preserve">Space may be provided for a family member who is away at school but who lives with the family during school recesses. See policy on </w:t>
      </w:r>
      <w:r w:rsidR="00B32437" w:rsidRPr="00B32437">
        <w:rPr>
          <w:rFonts w:cs="Arial"/>
          <w:b/>
          <w:bCs/>
          <w:color w:val="0070C0"/>
        </w:rPr>
        <w:fldChar w:fldCharType="begin"/>
      </w:r>
      <w:r w:rsidR="00B32437" w:rsidRPr="00B32437">
        <w:rPr>
          <w:rFonts w:cs="Arial"/>
          <w:b/>
          <w:bCs/>
          <w:color w:val="0070C0"/>
        </w:rPr>
        <w:instrText xml:space="preserve"> REF _Ref149128575 \h </w:instrText>
      </w:r>
      <w:r w:rsidR="00B32437">
        <w:rPr>
          <w:rFonts w:cs="Arial"/>
          <w:b/>
          <w:bCs/>
          <w:color w:val="0070C0"/>
        </w:rPr>
        <w:instrText xml:space="preserve"> \* MERGEFORMAT </w:instrText>
      </w:r>
      <w:r w:rsidR="00B32437" w:rsidRPr="00B32437">
        <w:rPr>
          <w:rFonts w:cs="Arial"/>
          <w:b/>
          <w:bCs/>
          <w:color w:val="0070C0"/>
        </w:rPr>
      </w:r>
      <w:r w:rsidR="00B32437" w:rsidRPr="00B32437">
        <w:rPr>
          <w:rFonts w:cs="Arial"/>
          <w:b/>
          <w:bCs/>
          <w:color w:val="0070C0"/>
        </w:rPr>
        <w:fldChar w:fldCharType="separate"/>
      </w:r>
      <w:r w:rsidR="00B32437" w:rsidRPr="00B32437">
        <w:rPr>
          <w:b/>
          <w:bCs/>
          <w:color w:val="0070C0"/>
        </w:rPr>
        <w:t>Absent Students</w:t>
      </w:r>
      <w:r w:rsidR="00B32437" w:rsidRPr="00B32437">
        <w:rPr>
          <w:rFonts w:cs="Arial"/>
          <w:b/>
          <w:bCs/>
          <w:color w:val="0070C0"/>
        </w:rPr>
        <w:fldChar w:fldCharType="end"/>
      </w:r>
      <w:r w:rsidRPr="00B32437">
        <w:rPr>
          <w:rFonts w:cs="Arial"/>
        </w:rPr>
        <w:t>.</w:t>
      </w:r>
      <w:r w:rsidRPr="008D2981">
        <w:rPr>
          <w:rFonts w:cs="Arial"/>
        </w:rPr>
        <w:t xml:space="preserve"> </w:t>
      </w:r>
    </w:p>
    <w:p w14:paraId="0EE213FA" w14:textId="77777777" w:rsidR="00D83D34" w:rsidRPr="008D2981" w:rsidRDefault="00D83D34" w:rsidP="00CB52D8">
      <w:pPr>
        <w:pStyle w:val="ListParagraph"/>
        <w:widowControl w:val="0"/>
        <w:numPr>
          <w:ilvl w:val="0"/>
          <w:numId w:val="29"/>
        </w:numPr>
        <w:autoSpaceDE w:val="0"/>
        <w:autoSpaceDN w:val="0"/>
        <w:ind w:left="900"/>
        <w:contextualSpacing w:val="0"/>
        <w:rPr>
          <w:rFonts w:cs="Arial"/>
        </w:rPr>
      </w:pPr>
      <w:bookmarkStart w:id="642" w:name="_Hlk77145150"/>
      <w:r w:rsidRPr="008D2981">
        <w:rPr>
          <w:rFonts w:cs="Arial"/>
        </w:rPr>
        <w:t>Children temporarily placed outside the home will be considered when determining the unit size.</w:t>
      </w:r>
    </w:p>
    <w:p w14:paraId="122518CB" w14:textId="77777777" w:rsidR="00D83D34" w:rsidRPr="008D2981" w:rsidRDefault="00D83D34" w:rsidP="00CB52D8">
      <w:pPr>
        <w:pStyle w:val="ListParagraph"/>
        <w:widowControl w:val="0"/>
        <w:numPr>
          <w:ilvl w:val="0"/>
          <w:numId w:val="29"/>
        </w:numPr>
        <w:autoSpaceDE w:val="0"/>
        <w:autoSpaceDN w:val="0"/>
        <w:ind w:left="900"/>
        <w:contextualSpacing w:val="0"/>
        <w:rPr>
          <w:rFonts w:cs="Arial"/>
        </w:rPr>
      </w:pPr>
      <w:r w:rsidRPr="008D2981">
        <w:rPr>
          <w:rFonts w:cs="Arial"/>
        </w:rPr>
        <w:t>Children who reside in the unit less than 50 percent of the time will not be considered when determining the unit size.</w:t>
      </w:r>
    </w:p>
    <w:p w14:paraId="3434D55A" w14:textId="77777777" w:rsidR="00D83D34" w:rsidRPr="008D2981" w:rsidRDefault="00D83D34" w:rsidP="00CB52D8">
      <w:pPr>
        <w:pStyle w:val="ListParagraph"/>
        <w:widowControl w:val="0"/>
        <w:numPr>
          <w:ilvl w:val="0"/>
          <w:numId w:val="29"/>
        </w:numPr>
        <w:autoSpaceDE w:val="0"/>
        <w:autoSpaceDN w:val="0"/>
        <w:ind w:left="900"/>
        <w:contextualSpacing w:val="0"/>
        <w:rPr>
          <w:rFonts w:cs="Arial"/>
        </w:rPr>
      </w:pPr>
      <w:bookmarkStart w:id="643" w:name="_Hlk77145239"/>
      <w:bookmarkEnd w:id="642"/>
      <w:r w:rsidRPr="008D2981">
        <w:rPr>
          <w:rFonts w:cs="Arial"/>
        </w:rPr>
        <w:t xml:space="preserve">At the discretion of </w:t>
      </w:r>
      <w:r w:rsidR="008D2981">
        <w:rPr>
          <w:rFonts w:cs="Arial"/>
        </w:rPr>
        <w:t>H</w:t>
      </w:r>
      <w:r w:rsidRPr="008D2981">
        <w:rPr>
          <w:rFonts w:cs="Arial"/>
        </w:rPr>
        <w:t>HA, a household member may be assigned a separate bedroom if required for a verified reasonable accommodation.</w:t>
      </w:r>
    </w:p>
    <w:p w14:paraId="69E99A9C" w14:textId="77777777" w:rsidR="00094560" w:rsidRPr="00122C89" w:rsidRDefault="00094560" w:rsidP="00BB64BD">
      <w:pPr>
        <w:pStyle w:val="Heading2"/>
      </w:pPr>
      <w:bookmarkStart w:id="644" w:name="_Toc521054848"/>
      <w:bookmarkStart w:id="645" w:name="_Toc527019372"/>
      <w:bookmarkStart w:id="646" w:name="_Toc534706907"/>
      <w:bookmarkStart w:id="647" w:name="_Toc534707585"/>
      <w:bookmarkStart w:id="648" w:name="_Toc534708393"/>
      <w:bookmarkStart w:id="649" w:name="_Ref72327032"/>
      <w:bookmarkStart w:id="650" w:name="_Toc106037772"/>
      <w:bookmarkStart w:id="651" w:name="_Ref106199424"/>
      <w:bookmarkStart w:id="652" w:name="_Toc106201413"/>
      <w:bookmarkStart w:id="653" w:name="_Toc106201932"/>
      <w:bookmarkStart w:id="654" w:name="_Toc106202458"/>
      <w:bookmarkStart w:id="655" w:name="_Toc113344912"/>
      <w:bookmarkStart w:id="656" w:name="_Toc137460327"/>
      <w:bookmarkStart w:id="657" w:name="_Toc137460572"/>
      <w:bookmarkStart w:id="658" w:name="_Toc137460817"/>
      <w:bookmarkStart w:id="659" w:name="_Toc137461653"/>
      <w:bookmarkStart w:id="660" w:name="_Toc137471244"/>
      <w:bookmarkStart w:id="661" w:name="_Toc137471753"/>
      <w:bookmarkStart w:id="662" w:name="_Toc173222666"/>
      <w:bookmarkStart w:id="663" w:name="_Toc200375570"/>
      <w:bookmarkStart w:id="664" w:name="_Toc200376932"/>
      <w:bookmarkEnd w:id="643"/>
      <w:r w:rsidRPr="00122C89">
        <w:t xml:space="preserve">Exceptions </w:t>
      </w:r>
      <w:r>
        <w:t>t</w:t>
      </w:r>
      <w:r w:rsidRPr="00122C89">
        <w:t xml:space="preserve">o </w:t>
      </w:r>
      <w:r>
        <w:t>t</w:t>
      </w:r>
      <w:r w:rsidRPr="00122C89">
        <w:t xml:space="preserve">he </w:t>
      </w:r>
      <w:bookmarkEnd w:id="644"/>
      <w:bookmarkEnd w:id="645"/>
      <w:bookmarkEnd w:id="646"/>
      <w:bookmarkEnd w:id="647"/>
      <w:bookmarkEnd w:id="648"/>
      <w:bookmarkEnd w:id="649"/>
      <w:r>
        <w:t>Occupancy Standards</w:t>
      </w:r>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p>
    <w:p w14:paraId="41DD465D" w14:textId="77777777" w:rsidR="00094560" w:rsidRDefault="00094560" w:rsidP="00094560">
      <w:pPr>
        <w:widowControl w:val="0"/>
        <w:autoSpaceDE w:val="0"/>
        <w:autoSpaceDN w:val="0"/>
        <w:rPr>
          <w:rFonts w:cs="Arial"/>
          <w:szCs w:val="20"/>
        </w:rPr>
      </w:pPr>
      <w:r>
        <w:rPr>
          <w:rFonts w:cs="Arial"/>
          <w:szCs w:val="20"/>
        </w:rPr>
        <w:t>HHA</w:t>
      </w:r>
      <w:r w:rsidRPr="00122C89">
        <w:rPr>
          <w:rFonts w:cs="Arial"/>
          <w:szCs w:val="20"/>
        </w:rPr>
        <w:t xml:space="preserve"> will grant exceptions to occupancy guidelines </w:t>
      </w:r>
      <w:r>
        <w:rPr>
          <w:rFonts w:cs="Arial"/>
          <w:szCs w:val="20"/>
        </w:rPr>
        <w:t>in response to the</w:t>
      </w:r>
      <w:r w:rsidRPr="00122C89">
        <w:rPr>
          <w:rFonts w:cs="Arial"/>
          <w:szCs w:val="20"/>
        </w:rPr>
        <w:t xml:space="preserve"> family</w:t>
      </w:r>
      <w:r>
        <w:rPr>
          <w:rFonts w:cs="Arial"/>
          <w:szCs w:val="20"/>
        </w:rPr>
        <w:t>’</w:t>
      </w:r>
      <w:r w:rsidRPr="00122C89">
        <w:rPr>
          <w:rFonts w:cs="Arial"/>
          <w:szCs w:val="20"/>
        </w:rPr>
        <w:t xml:space="preserve">s request and </w:t>
      </w:r>
      <w:r>
        <w:rPr>
          <w:rFonts w:cs="Arial"/>
          <w:szCs w:val="20"/>
        </w:rPr>
        <w:t>when HHA</w:t>
      </w:r>
      <w:r w:rsidRPr="00122C89">
        <w:rPr>
          <w:rFonts w:cs="Arial"/>
          <w:szCs w:val="20"/>
        </w:rPr>
        <w:t xml:space="preserve"> determines the exceptions are justified by the relationships, age, sex, health or disability of family members, or other individual circumstances.</w:t>
      </w:r>
      <w:r>
        <w:rPr>
          <w:rFonts w:cs="Arial"/>
          <w:szCs w:val="20"/>
        </w:rPr>
        <w:t xml:space="preserve"> </w:t>
      </w:r>
      <w:r w:rsidRPr="00094560">
        <w:rPr>
          <w:rFonts w:cs="Arial"/>
        </w:rPr>
        <w:t xml:space="preserve">HHA </w:t>
      </w:r>
      <w:r>
        <w:rPr>
          <w:rFonts w:cs="Arial"/>
        </w:rPr>
        <w:t xml:space="preserve">also </w:t>
      </w:r>
      <w:r w:rsidRPr="00094560">
        <w:rPr>
          <w:rFonts w:cs="Arial"/>
        </w:rPr>
        <w:t xml:space="preserve">reserves the right to relax </w:t>
      </w:r>
      <w:r w:rsidR="0071701A">
        <w:rPr>
          <w:rFonts w:cs="Arial"/>
        </w:rPr>
        <w:t>its</w:t>
      </w:r>
      <w:r w:rsidRPr="00094560">
        <w:rPr>
          <w:rFonts w:cs="Arial"/>
        </w:rPr>
        <w:t xml:space="preserve"> </w:t>
      </w:r>
      <w:r w:rsidR="0071701A">
        <w:rPr>
          <w:rFonts w:cs="Arial"/>
        </w:rPr>
        <w:t>o</w:t>
      </w:r>
      <w:r w:rsidRPr="00094560">
        <w:rPr>
          <w:rFonts w:cs="Arial"/>
        </w:rPr>
        <w:t xml:space="preserve">ccupancy </w:t>
      </w:r>
      <w:r w:rsidR="0071701A">
        <w:rPr>
          <w:rFonts w:cs="Arial"/>
        </w:rPr>
        <w:t>s</w:t>
      </w:r>
      <w:r w:rsidRPr="00094560">
        <w:rPr>
          <w:rFonts w:cs="Arial"/>
        </w:rPr>
        <w:t>tandards at hard-to-lease properties.</w:t>
      </w:r>
      <w:r>
        <w:rPr>
          <w:rFonts w:cs="Arial"/>
        </w:rPr>
        <w:t xml:space="preserve"> </w:t>
      </w:r>
      <w:r>
        <w:rPr>
          <w:rFonts w:cs="Arial"/>
          <w:szCs w:val="20"/>
        </w:rPr>
        <w:t>HHA</w:t>
      </w:r>
      <w:r w:rsidRPr="00122C89">
        <w:rPr>
          <w:rFonts w:cs="Arial"/>
          <w:szCs w:val="20"/>
        </w:rPr>
        <w:t xml:space="preserve"> will not grant an exception that is in violation of local housing or occupancy codes, regulations or laws. </w:t>
      </w:r>
      <w:r>
        <w:rPr>
          <w:rFonts w:cs="Arial"/>
          <w:szCs w:val="20"/>
        </w:rPr>
        <w:t>HHA</w:t>
      </w:r>
      <w:r w:rsidRPr="00122C89">
        <w:rPr>
          <w:rFonts w:cs="Arial"/>
          <w:szCs w:val="20"/>
        </w:rPr>
        <w:t xml:space="preserve"> may require the head of household</w:t>
      </w:r>
      <w:r>
        <w:rPr>
          <w:rFonts w:cs="Arial"/>
          <w:szCs w:val="20"/>
        </w:rPr>
        <w:t>’</w:t>
      </w:r>
      <w:r w:rsidRPr="00122C89">
        <w:rPr>
          <w:rFonts w:cs="Arial"/>
          <w:szCs w:val="20"/>
        </w:rPr>
        <w:t xml:space="preserve">s signature acknowledging and agreeing with the approved </w:t>
      </w:r>
      <w:r>
        <w:rPr>
          <w:rFonts w:cs="Arial"/>
          <w:szCs w:val="20"/>
        </w:rPr>
        <w:t>occupancy</w:t>
      </w:r>
      <w:r w:rsidRPr="00122C89">
        <w:rPr>
          <w:rFonts w:cs="Arial"/>
          <w:szCs w:val="20"/>
        </w:rPr>
        <w:t xml:space="preserve"> standard exceptions.</w:t>
      </w:r>
    </w:p>
    <w:p w14:paraId="60E122A4" w14:textId="77777777" w:rsidR="00094560" w:rsidRPr="00FC085D" w:rsidRDefault="00094560" w:rsidP="00094560">
      <w:r w:rsidRPr="00FC085D">
        <w:t xml:space="preserve">To prevent vacancies, </w:t>
      </w:r>
      <w:r>
        <w:t>HHA</w:t>
      </w:r>
      <w:r w:rsidRPr="00FC085D">
        <w:t xml:space="preserve"> may provide an applicant family with a larger unit than the occupancy standards permit. However, in these cases the family must agree to move to a suitable, smaller unit when another family qualifies for the larger unit and there is an appropriate size unit available for the family to transfer to.</w:t>
      </w:r>
    </w:p>
    <w:p w14:paraId="37FAEB02" w14:textId="77777777" w:rsidR="00094560" w:rsidRPr="00122C89" w:rsidRDefault="00094560" w:rsidP="00677451">
      <w:pPr>
        <w:pStyle w:val="Heading3"/>
      </w:pPr>
      <w:bookmarkStart w:id="665" w:name="_Toc521054849"/>
      <w:bookmarkStart w:id="666" w:name="_Toc527019373"/>
      <w:bookmarkStart w:id="667" w:name="_Toc534706908"/>
      <w:bookmarkStart w:id="668" w:name="_Toc534707586"/>
      <w:bookmarkStart w:id="669" w:name="_Toc534708394"/>
      <w:bookmarkStart w:id="670" w:name="_Toc106037773"/>
      <w:bookmarkStart w:id="671" w:name="_Toc106201414"/>
      <w:bookmarkStart w:id="672" w:name="_Toc106201933"/>
      <w:bookmarkStart w:id="673" w:name="_Toc106202459"/>
      <w:bookmarkStart w:id="674" w:name="_Toc113344913"/>
      <w:bookmarkStart w:id="675" w:name="_Toc137461654"/>
      <w:bookmarkStart w:id="676" w:name="_Toc137471245"/>
      <w:bookmarkStart w:id="677" w:name="_Toc137471754"/>
      <w:bookmarkStart w:id="678" w:name="_Toc200375571"/>
      <w:r w:rsidRPr="00122C89">
        <w:t>Processing of Exceptions</w:t>
      </w:r>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p>
    <w:p w14:paraId="3016881D" w14:textId="77777777" w:rsidR="00094560" w:rsidRPr="00122C89" w:rsidRDefault="00F8039B" w:rsidP="00094560">
      <w:pPr>
        <w:rPr>
          <w:rFonts w:cs="Arial"/>
          <w:szCs w:val="20"/>
        </w:rPr>
      </w:pPr>
      <w:r>
        <w:rPr>
          <w:rFonts w:cs="Arial"/>
          <w:szCs w:val="20"/>
        </w:rPr>
        <w:t>E</w:t>
      </w:r>
      <w:r w:rsidR="00094560" w:rsidRPr="00122C89">
        <w:rPr>
          <w:rFonts w:cs="Arial"/>
          <w:szCs w:val="20"/>
        </w:rPr>
        <w:t xml:space="preserve">xceptions to the </w:t>
      </w:r>
      <w:r w:rsidR="00094560">
        <w:rPr>
          <w:rFonts w:cs="Arial"/>
          <w:szCs w:val="20"/>
        </w:rPr>
        <w:t>occupancy</w:t>
      </w:r>
      <w:r w:rsidR="00094560" w:rsidRPr="00122C89">
        <w:rPr>
          <w:rFonts w:cs="Arial"/>
          <w:szCs w:val="20"/>
        </w:rPr>
        <w:t xml:space="preserve"> guidelines </w:t>
      </w:r>
      <w:r>
        <w:rPr>
          <w:rFonts w:cs="Arial"/>
          <w:szCs w:val="20"/>
        </w:rPr>
        <w:t>wi</w:t>
      </w:r>
      <w:r w:rsidR="005F28EC">
        <w:rPr>
          <w:rFonts w:cs="Arial"/>
          <w:szCs w:val="20"/>
        </w:rPr>
        <w:t xml:space="preserve">ll be made for approved reasonable accommodations, according to </w:t>
      </w:r>
      <w:r w:rsidR="005F28EC" w:rsidRPr="005F28EC">
        <w:rPr>
          <w:rFonts w:cs="Arial"/>
          <w:b/>
          <w:bCs/>
          <w:color w:val="0070C0"/>
          <w:szCs w:val="20"/>
        </w:rPr>
        <w:fldChar w:fldCharType="begin"/>
      </w:r>
      <w:r w:rsidR="005F28EC" w:rsidRPr="005F28EC">
        <w:rPr>
          <w:rFonts w:cs="Arial"/>
          <w:b/>
          <w:bCs/>
          <w:color w:val="0070C0"/>
          <w:szCs w:val="20"/>
        </w:rPr>
        <w:instrText xml:space="preserve"> REF _Ref144897645 \h </w:instrText>
      </w:r>
      <w:r w:rsidR="005F28EC">
        <w:rPr>
          <w:rFonts w:cs="Arial"/>
          <w:b/>
          <w:bCs/>
          <w:color w:val="0070C0"/>
          <w:szCs w:val="20"/>
        </w:rPr>
        <w:instrText xml:space="preserve"> \* MERGEFORMAT </w:instrText>
      </w:r>
      <w:r w:rsidR="005F28EC" w:rsidRPr="005F28EC">
        <w:rPr>
          <w:rFonts w:cs="Arial"/>
          <w:b/>
          <w:bCs/>
          <w:color w:val="0070C0"/>
          <w:szCs w:val="20"/>
        </w:rPr>
      </w:r>
      <w:r w:rsidR="005F28EC" w:rsidRPr="005F28EC">
        <w:rPr>
          <w:rFonts w:cs="Arial"/>
          <w:b/>
          <w:bCs/>
          <w:color w:val="0070C0"/>
          <w:szCs w:val="20"/>
        </w:rPr>
        <w:fldChar w:fldCharType="separate"/>
      </w:r>
      <w:r w:rsidR="005F28EC" w:rsidRPr="005F28EC">
        <w:rPr>
          <w:b/>
          <w:bCs/>
          <w:color w:val="0070C0"/>
        </w:rPr>
        <w:t>APPENDIX A: REASONABLE ACCOMMODATION POLICY AND PROCEDURES</w:t>
      </w:r>
      <w:r w:rsidR="005F28EC" w:rsidRPr="005F28EC">
        <w:rPr>
          <w:rFonts w:cs="Arial"/>
          <w:b/>
          <w:bCs/>
          <w:color w:val="0070C0"/>
          <w:szCs w:val="20"/>
        </w:rPr>
        <w:fldChar w:fldCharType="end"/>
      </w:r>
      <w:r w:rsidR="005F28EC">
        <w:rPr>
          <w:rFonts w:cs="Arial"/>
          <w:szCs w:val="20"/>
        </w:rPr>
        <w:t>.</w:t>
      </w:r>
    </w:p>
    <w:p w14:paraId="6B7098F3" w14:textId="77777777" w:rsidR="00094560" w:rsidRPr="00122C89" w:rsidRDefault="003F7322" w:rsidP="00BB64BD">
      <w:pPr>
        <w:pStyle w:val="Heading2"/>
      </w:pPr>
      <w:bookmarkStart w:id="679" w:name="_Toc521054850"/>
      <w:bookmarkStart w:id="680" w:name="_Toc527019374"/>
      <w:bookmarkStart w:id="681" w:name="_Toc534706909"/>
      <w:bookmarkStart w:id="682" w:name="_Toc534707587"/>
      <w:bookmarkStart w:id="683" w:name="_Toc534708395"/>
      <w:bookmarkStart w:id="684" w:name="_Ref1567015"/>
      <w:bookmarkStart w:id="685" w:name="_Toc106037774"/>
      <w:bookmarkStart w:id="686" w:name="_Toc106201415"/>
      <w:bookmarkStart w:id="687" w:name="_Toc106201934"/>
      <w:bookmarkStart w:id="688" w:name="_Toc106202460"/>
      <w:bookmarkStart w:id="689" w:name="_Toc113344914"/>
      <w:bookmarkStart w:id="690" w:name="_Toc137460328"/>
      <w:bookmarkStart w:id="691" w:name="_Toc137460573"/>
      <w:bookmarkStart w:id="692" w:name="_Toc137460818"/>
      <w:bookmarkStart w:id="693" w:name="_Toc137461655"/>
      <w:bookmarkStart w:id="694" w:name="_Toc137471246"/>
      <w:bookmarkStart w:id="695" w:name="_Toc137471755"/>
      <w:bookmarkStart w:id="696" w:name="_Ref148685285"/>
      <w:bookmarkStart w:id="697" w:name="_Toc173222667"/>
      <w:bookmarkStart w:id="698" w:name="_Toc200375572"/>
      <w:bookmarkStart w:id="699" w:name="_Toc200376933"/>
      <w:r w:rsidRPr="00122C89">
        <w:t xml:space="preserve">Temporarily </w:t>
      </w:r>
      <w:r>
        <w:t>a</w:t>
      </w:r>
      <w:r w:rsidRPr="00122C89">
        <w:t xml:space="preserve">nd Permanently Absent </w:t>
      </w:r>
      <w:bookmarkEnd w:id="679"/>
      <w:r w:rsidRPr="00122C89">
        <w:t>Family Members</w:t>
      </w:r>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p>
    <w:p w14:paraId="59A88901" w14:textId="043C0656" w:rsidR="00094560" w:rsidRPr="00F5134F" w:rsidRDefault="00094560" w:rsidP="00094560">
      <w:pPr>
        <w:rPr>
          <w:rFonts w:cs="Arial"/>
          <w:szCs w:val="20"/>
        </w:rPr>
      </w:pPr>
      <w:r w:rsidRPr="00F5134F">
        <w:rPr>
          <w:rFonts w:cs="Arial"/>
          <w:szCs w:val="20"/>
        </w:rPr>
        <w:t>An individual who is or is expected to be absent from the unit for up to 180 consecutive days is considered temporarily absent and continues to be considered a family member. See policies on</w:t>
      </w:r>
      <w:r w:rsidRPr="00F5134F">
        <w:rPr>
          <w:rFonts w:cs="Arial"/>
          <w:b/>
          <w:szCs w:val="20"/>
        </w:rPr>
        <w:t xml:space="preserve"> </w:t>
      </w:r>
      <w:r w:rsidR="004B5B70" w:rsidRPr="004B5B70">
        <w:rPr>
          <w:rFonts w:cs="Arial"/>
          <w:b/>
          <w:color w:val="0070C0"/>
        </w:rPr>
        <w:fldChar w:fldCharType="begin"/>
      </w:r>
      <w:r w:rsidR="004B5B70" w:rsidRPr="004B5B70">
        <w:rPr>
          <w:rFonts w:cs="Arial"/>
          <w:b/>
          <w:color w:val="0070C0"/>
        </w:rPr>
        <w:instrText xml:space="preserve"> REF _Ref526756444 \h  \* MERGEFORMAT </w:instrText>
      </w:r>
      <w:r w:rsidR="004B5B70" w:rsidRPr="004B5B70">
        <w:rPr>
          <w:rFonts w:cs="Arial"/>
          <w:b/>
          <w:color w:val="0070C0"/>
        </w:rPr>
      </w:r>
      <w:r w:rsidR="004B5B70" w:rsidRPr="004B5B70">
        <w:rPr>
          <w:rFonts w:cs="Arial"/>
          <w:b/>
          <w:color w:val="0070C0"/>
        </w:rPr>
        <w:fldChar w:fldCharType="separate"/>
      </w:r>
      <w:r w:rsidR="004B5B70" w:rsidRPr="004B5B70">
        <w:rPr>
          <w:b/>
          <w:color w:val="0070C0"/>
        </w:rPr>
        <w:t>Absence from the Unit</w:t>
      </w:r>
      <w:r w:rsidR="004B5B70" w:rsidRPr="004B5B70">
        <w:rPr>
          <w:rFonts w:cs="Arial"/>
          <w:b/>
          <w:color w:val="0070C0"/>
        </w:rPr>
        <w:fldChar w:fldCharType="end"/>
      </w:r>
      <w:r w:rsidRPr="00F5134F">
        <w:rPr>
          <w:rFonts w:cs="Arial"/>
          <w:color w:val="0070C0"/>
          <w:szCs w:val="20"/>
        </w:rPr>
        <w:t xml:space="preserve"> </w:t>
      </w:r>
      <w:r w:rsidRPr="00F5134F">
        <w:rPr>
          <w:rFonts w:cs="Arial"/>
          <w:szCs w:val="20"/>
        </w:rPr>
        <w:t xml:space="preserve">in the chapter on </w:t>
      </w:r>
      <w:r w:rsidR="00915B01" w:rsidRPr="00915B01">
        <w:rPr>
          <w:rFonts w:cs="Arial"/>
          <w:b/>
          <w:bCs/>
          <w:color w:val="0070C0"/>
          <w:szCs w:val="20"/>
        </w:rPr>
        <w:fldChar w:fldCharType="begin"/>
      </w:r>
      <w:r w:rsidR="00915B01" w:rsidRPr="00915B01">
        <w:rPr>
          <w:rFonts w:cs="Arial"/>
          <w:b/>
          <w:bCs/>
          <w:color w:val="0070C0"/>
          <w:szCs w:val="20"/>
        </w:rPr>
        <w:instrText xml:space="preserve"> REF _Ref151015710 \h  \* MERGEFORMAT </w:instrText>
      </w:r>
      <w:r w:rsidR="00915B01" w:rsidRPr="00915B01">
        <w:rPr>
          <w:rFonts w:cs="Arial"/>
          <w:b/>
          <w:bCs/>
          <w:color w:val="0070C0"/>
          <w:szCs w:val="20"/>
        </w:rPr>
      </w:r>
      <w:r w:rsidR="00915B01" w:rsidRPr="00915B01">
        <w:rPr>
          <w:rFonts w:cs="Arial"/>
          <w:b/>
          <w:bCs/>
          <w:color w:val="0070C0"/>
          <w:szCs w:val="20"/>
        </w:rPr>
        <w:fldChar w:fldCharType="separate"/>
      </w:r>
      <w:r w:rsidR="00915B01" w:rsidRPr="00915B01">
        <w:rPr>
          <w:b/>
          <w:bCs/>
          <w:color w:val="0070C0"/>
        </w:rPr>
        <w:t>REEXAMINATIONS AND CONTINUED OCCUPANCY</w:t>
      </w:r>
      <w:r w:rsidR="00915B01" w:rsidRPr="00915B01">
        <w:rPr>
          <w:rFonts w:cs="Arial"/>
          <w:b/>
          <w:bCs/>
          <w:color w:val="0070C0"/>
          <w:szCs w:val="20"/>
        </w:rPr>
        <w:fldChar w:fldCharType="end"/>
      </w:r>
      <w:r w:rsidRPr="00F5134F">
        <w:rPr>
          <w:rFonts w:cs="Arial"/>
          <w:szCs w:val="20"/>
        </w:rPr>
        <w:t>.</w:t>
      </w:r>
    </w:p>
    <w:p w14:paraId="319CC667" w14:textId="77777777" w:rsidR="00094560" w:rsidRPr="00F5134F" w:rsidRDefault="00094560" w:rsidP="00094560">
      <w:pPr>
        <w:rPr>
          <w:rFonts w:cs="Arial"/>
          <w:szCs w:val="20"/>
        </w:rPr>
      </w:pPr>
      <w:r>
        <w:rPr>
          <w:rFonts w:cs="Arial"/>
          <w:szCs w:val="20"/>
        </w:rPr>
        <w:t>HHA</w:t>
      </w:r>
      <w:r w:rsidRPr="00F5134F">
        <w:rPr>
          <w:rFonts w:cs="Arial"/>
          <w:szCs w:val="20"/>
        </w:rPr>
        <w:t xml:space="preserve"> will require that temporarily absent family members complete and submit required reexamination documents on a timely basis. An individual who is or is expected to be absent from the unit for more than 180 consecutive days is considered permanently absent and is no longer a family member. Exceptions to this policy are reviewed on a case-by-case basis. </w:t>
      </w:r>
      <w:r>
        <w:rPr>
          <w:rFonts w:cs="Arial"/>
          <w:szCs w:val="20"/>
        </w:rPr>
        <w:t>HHA</w:t>
      </w:r>
      <w:r w:rsidRPr="00F5134F">
        <w:rPr>
          <w:rFonts w:cs="Arial"/>
          <w:szCs w:val="20"/>
        </w:rPr>
        <w:t xml:space="preserve"> will require documentation to support the length of the period the family member will be absent from the unit.</w:t>
      </w:r>
    </w:p>
    <w:p w14:paraId="66742B7E" w14:textId="77777777" w:rsidR="00094560" w:rsidRPr="00122C89" w:rsidRDefault="00094560" w:rsidP="00094560">
      <w:pPr>
        <w:autoSpaceDE w:val="0"/>
        <w:autoSpaceDN w:val="0"/>
        <w:adjustRightInd w:val="0"/>
        <w:rPr>
          <w:rFonts w:cs="Arial"/>
          <w:color w:val="000000"/>
          <w:szCs w:val="20"/>
        </w:rPr>
      </w:pPr>
      <w:r w:rsidRPr="00F5134F">
        <w:rPr>
          <w:rFonts w:cs="Arial"/>
          <w:color w:val="000000"/>
          <w:szCs w:val="20"/>
        </w:rPr>
        <w:t>If an individual who was formerly a member of the household is reported to be permanently absent, the family must provide evidence to support that the person is no longer a member of the family (e.g., documentation of another address at which the person resides such as a lease or utility bill).</w:t>
      </w:r>
    </w:p>
    <w:p w14:paraId="11B564F5" w14:textId="77777777" w:rsidR="00094560" w:rsidRPr="00122C89" w:rsidRDefault="00094560" w:rsidP="00677451">
      <w:pPr>
        <w:pStyle w:val="Heading3"/>
      </w:pPr>
      <w:bookmarkStart w:id="700" w:name="_Toc521054852"/>
      <w:bookmarkStart w:id="701" w:name="_Toc527019375"/>
      <w:bookmarkStart w:id="702" w:name="_Toc534706910"/>
      <w:bookmarkStart w:id="703" w:name="_Toc534707588"/>
      <w:bookmarkStart w:id="704" w:name="_Toc534708396"/>
      <w:bookmarkStart w:id="705" w:name="_Ref1566811"/>
      <w:bookmarkStart w:id="706" w:name="_Toc106037775"/>
      <w:bookmarkStart w:id="707" w:name="_Toc106201416"/>
      <w:bookmarkStart w:id="708" w:name="_Toc106201935"/>
      <w:bookmarkStart w:id="709" w:name="_Toc106202461"/>
      <w:bookmarkStart w:id="710" w:name="_Toc113344915"/>
      <w:bookmarkStart w:id="711" w:name="_Toc137461656"/>
      <w:bookmarkStart w:id="712" w:name="_Toc137471247"/>
      <w:bookmarkStart w:id="713" w:name="_Toc137471756"/>
      <w:bookmarkStart w:id="714" w:name="_Ref149128575"/>
      <w:bookmarkStart w:id="715" w:name="_Toc200375573"/>
      <w:r w:rsidRPr="00122C89">
        <w:t>Absent Students</w:t>
      </w:r>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p>
    <w:p w14:paraId="76EEB8DB" w14:textId="77777777" w:rsidR="00094560" w:rsidRPr="00122C89" w:rsidRDefault="00094560" w:rsidP="00094560">
      <w:pPr>
        <w:rPr>
          <w:rFonts w:cs="Arial"/>
          <w:szCs w:val="20"/>
        </w:rPr>
      </w:pPr>
      <w:r w:rsidRPr="00D51C55">
        <w:rPr>
          <w:rFonts w:cs="Arial"/>
          <w:szCs w:val="20"/>
        </w:rPr>
        <w:t xml:space="preserve">When family member attends school away from home, the person will continue to be considered a family member unless information becomes available to </w:t>
      </w:r>
      <w:r>
        <w:rPr>
          <w:rFonts w:cs="Arial"/>
          <w:szCs w:val="20"/>
        </w:rPr>
        <w:t>HHA</w:t>
      </w:r>
      <w:r w:rsidRPr="00D51C55">
        <w:rPr>
          <w:rFonts w:cs="Arial"/>
          <w:szCs w:val="20"/>
        </w:rPr>
        <w:t xml:space="preserve"> indicating that the student has established</w:t>
      </w:r>
      <w:r>
        <w:rPr>
          <w:rFonts w:cs="Arial"/>
          <w:szCs w:val="20"/>
        </w:rPr>
        <w:t xml:space="preserve"> and/or is part of</w:t>
      </w:r>
      <w:r w:rsidRPr="00D51C55">
        <w:rPr>
          <w:rFonts w:cs="Arial"/>
          <w:szCs w:val="20"/>
        </w:rPr>
        <w:t xml:space="preserve"> a separate household or the family declares that the student has established a separate household.</w:t>
      </w:r>
      <w:r w:rsidRPr="00122C89">
        <w:rPr>
          <w:rFonts w:cs="Arial"/>
          <w:szCs w:val="20"/>
        </w:rPr>
        <w:t xml:space="preserve"> </w:t>
      </w:r>
    </w:p>
    <w:p w14:paraId="3F36B00E" w14:textId="77777777" w:rsidR="00094560" w:rsidRPr="00F5134F" w:rsidRDefault="00094560" w:rsidP="00677451">
      <w:pPr>
        <w:pStyle w:val="Heading3"/>
      </w:pPr>
      <w:bookmarkStart w:id="716" w:name="_Toc521054853"/>
      <w:bookmarkStart w:id="717" w:name="_Toc527019376"/>
      <w:bookmarkStart w:id="718" w:name="_Toc534706911"/>
      <w:bookmarkStart w:id="719" w:name="_Toc534707589"/>
      <w:bookmarkStart w:id="720" w:name="_Toc534708397"/>
      <w:bookmarkStart w:id="721" w:name="_Toc106037776"/>
      <w:bookmarkStart w:id="722" w:name="_Toc106201417"/>
      <w:bookmarkStart w:id="723" w:name="_Toc106201936"/>
      <w:bookmarkStart w:id="724" w:name="_Toc106202462"/>
      <w:bookmarkStart w:id="725" w:name="_Toc113344916"/>
      <w:bookmarkStart w:id="726" w:name="_Toc137461657"/>
      <w:bookmarkStart w:id="727" w:name="_Toc137471248"/>
      <w:bookmarkStart w:id="728" w:name="_Toc137471757"/>
      <w:bookmarkStart w:id="729" w:name="_Toc200375574"/>
      <w:r w:rsidRPr="00F5134F">
        <w:t>Absences Due to Placement in Foster Care</w:t>
      </w:r>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p>
    <w:p w14:paraId="300CE4B9" w14:textId="77777777" w:rsidR="00094560" w:rsidRPr="00F5134F" w:rsidRDefault="00094560" w:rsidP="00094560">
      <w:pPr>
        <w:rPr>
          <w:rFonts w:cs="Arial"/>
          <w:szCs w:val="20"/>
        </w:rPr>
      </w:pPr>
      <w:r w:rsidRPr="00F5134F">
        <w:rPr>
          <w:rFonts w:cs="Arial"/>
          <w:szCs w:val="20"/>
        </w:rPr>
        <w:t xml:space="preserve">Children temporarily (less than </w:t>
      </w:r>
      <w:r w:rsidR="00D520E9">
        <w:rPr>
          <w:rFonts w:cs="Arial"/>
          <w:szCs w:val="20"/>
        </w:rPr>
        <w:t>180</w:t>
      </w:r>
      <w:r w:rsidRPr="00F5134F">
        <w:rPr>
          <w:rFonts w:cs="Arial"/>
          <w:szCs w:val="20"/>
        </w:rPr>
        <w:t xml:space="preserve"> consecutive days) absent from the home as a result of placement in foster care are considered members of the family. If a child has been placed in foster care, </w:t>
      </w:r>
      <w:r>
        <w:rPr>
          <w:rFonts w:cs="Arial"/>
          <w:szCs w:val="20"/>
        </w:rPr>
        <w:t>HHA</w:t>
      </w:r>
      <w:r w:rsidRPr="00F5134F">
        <w:rPr>
          <w:rFonts w:cs="Arial"/>
          <w:szCs w:val="20"/>
        </w:rPr>
        <w:t xml:space="preserve"> will verify with the appropriate agency whether and when the child is expected to be returned to the home. Unless the agency confirms that the child has been permanently removed from the home, the child will be counted as a family member for occupancy standards.</w:t>
      </w:r>
    </w:p>
    <w:p w14:paraId="79AF6CAA" w14:textId="77777777" w:rsidR="00094560" w:rsidRPr="00F5134F" w:rsidRDefault="00094560" w:rsidP="00677451">
      <w:pPr>
        <w:pStyle w:val="Heading3"/>
      </w:pPr>
      <w:bookmarkStart w:id="730" w:name="_Toc521054854"/>
      <w:bookmarkStart w:id="731" w:name="_Toc527019377"/>
      <w:bookmarkStart w:id="732" w:name="_Toc534706912"/>
      <w:bookmarkStart w:id="733" w:name="_Toc534707590"/>
      <w:bookmarkStart w:id="734" w:name="_Toc534708398"/>
      <w:bookmarkStart w:id="735" w:name="_Toc106037777"/>
      <w:bookmarkStart w:id="736" w:name="_Toc106201418"/>
      <w:bookmarkStart w:id="737" w:name="_Toc106201937"/>
      <w:bookmarkStart w:id="738" w:name="_Toc106202463"/>
      <w:bookmarkStart w:id="739" w:name="_Toc113344917"/>
      <w:bookmarkStart w:id="740" w:name="_Toc137461658"/>
      <w:bookmarkStart w:id="741" w:name="_Toc137471249"/>
      <w:bookmarkStart w:id="742" w:name="_Toc137471758"/>
      <w:bookmarkStart w:id="743" w:name="_Toc200375575"/>
      <w:r w:rsidRPr="00F5134F">
        <w:t>Absent Adul</w:t>
      </w:r>
      <w:bookmarkEnd w:id="730"/>
      <w:r w:rsidRPr="00F5134F">
        <w:t>ts Due to Military Service</w:t>
      </w:r>
      <w:bookmarkEnd w:id="731"/>
      <w:bookmarkEnd w:id="732"/>
      <w:bookmarkEnd w:id="733"/>
      <w:bookmarkEnd w:id="734"/>
      <w:bookmarkEnd w:id="735"/>
      <w:bookmarkEnd w:id="736"/>
      <w:bookmarkEnd w:id="737"/>
      <w:bookmarkEnd w:id="738"/>
      <w:bookmarkEnd w:id="739"/>
      <w:bookmarkEnd w:id="740"/>
      <w:bookmarkEnd w:id="741"/>
      <w:bookmarkEnd w:id="742"/>
      <w:bookmarkEnd w:id="743"/>
    </w:p>
    <w:p w14:paraId="59E89F55" w14:textId="77777777" w:rsidR="00094560" w:rsidRPr="00F5134F" w:rsidRDefault="00094560" w:rsidP="00094560">
      <w:pPr>
        <w:pStyle w:val="ListParagraph"/>
        <w:ind w:left="0"/>
        <w:rPr>
          <w:rFonts w:cs="Arial"/>
          <w:iCs/>
          <w:szCs w:val="20"/>
        </w:rPr>
      </w:pPr>
      <w:r w:rsidRPr="00F5134F">
        <w:rPr>
          <w:rFonts w:cs="Arial"/>
          <w:szCs w:val="20"/>
        </w:rPr>
        <w:t>An adult family member absent from the apartment for more than 180 consecutive days due active military service will continue to be considered a family member</w:t>
      </w:r>
      <w:r w:rsidRPr="00F5134F">
        <w:rPr>
          <w:rFonts w:cs="Arial"/>
          <w:iCs/>
          <w:szCs w:val="20"/>
        </w:rPr>
        <w:t xml:space="preserve"> provided that their income is included in the calculation of household income and there is an expected date of return that is within a year of their departure.</w:t>
      </w:r>
    </w:p>
    <w:p w14:paraId="4C35572C" w14:textId="77777777" w:rsidR="00094560" w:rsidRPr="00F5134F" w:rsidRDefault="00094560" w:rsidP="00677451">
      <w:pPr>
        <w:pStyle w:val="Heading3"/>
      </w:pPr>
      <w:bookmarkStart w:id="744" w:name="_Toc521054855"/>
      <w:bookmarkStart w:id="745" w:name="_Toc527019378"/>
      <w:bookmarkStart w:id="746" w:name="_Toc534706913"/>
      <w:bookmarkStart w:id="747" w:name="_Toc534707591"/>
      <w:bookmarkStart w:id="748" w:name="_Toc534708399"/>
      <w:bookmarkStart w:id="749" w:name="_Toc106037778"/>
      <w:bookmarkStart w:id="750" w:name="_Toc106201419"/>
      <w:bookmarkStart w:id="751" w:name="_Toc106201938"/>
      <w:bookmarkStart w:id="752" w:name="_Toc106202464"/>
      <w:bookmarkStart w:id="753" w:name="_Toc113344918"/>
      <w:bookmarkStart w:id="754" w:name="_Toc137461659"/>
      <w:bookmarkStart w:id="755" w:name="_Toc137471250"/>
      <w:bookmarkStart w:id="756" w:name="_Toc137471759"/>
      <w:bookmarkStart w:id="757" w:name="_Toc200375576"/>
      <w:r w:rsidRPr="00F5134F">
        <w:t>Individuals Confined for Medical Reasons</w:t>
      </w:r>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p>
    <w:p w14:paraId="355DFDEA" w14:textId="77777777" w:rsidR="00094560" w:rsidRPr="00F5134F" w:rsidRDefault="00094560" w:rsidP="00094560">
      <w:pPr>
        <w:rPr>
          <w:rFonts w:cs="Arial"/>
          <w:szCs w:val="20"/>
          <w:u w:val="single"/>
        </w:rPr>
      </w:pPr>
      <w:r w:rsidRPr="00F5134F">
        <w:rPr>
          <w:rFonts w:cs="Arial"/>
          <w:szCs w:val="20"/>
        </w:rPr>
        <w:t xml:space="preserve">An individual confined to a nursing home or hospital on a permanent basis is not considered a family member.  </w:t>
      </w:r>
    </w:p>
    <w:p w14:paraId="71E2C60F" w14:textId="77777777" w:rsidR="00094560" w:rsidRPr="00F5134F" w:rsidRDefault="00094560" w:rsidP="00094560">
      <w:pPr>
        <w:rPr>
          <w:rFonts w:cs="Arial"/>
          <w:szCs w:val="20"/>
        </w:rPr>
      </w:pPr>
      <w:r>
        <w:rPr>
          <w:rFonts w:cs="Arial"/>
          <w:szCs w:val="20"/>
        </w:rPr>
        <w:t>HHA</w:t>
      </w:r>
      <w:r w:rsidRPr="00F5134F">
        <w:rPr>
          <w:rFonts w:cs="Arial"/>
          <w:szCs w:val="20"/>
        </w:rPr>
        <w:t xml:space="preserve"> will request verification from a responsible medical professional. The family may present evidence that the family member is confined on a permanent basis and request that the person not be considered a family member.</w:t>
      </w:r>
    </w:p>
    <w:p w14:paraId="23D5154D" w14:textId="77777777" w:rsidR="00094560" w:rsidRPr="00F5134F" w:rsidRDefault="00094560" w:rsidP="00677451">
      <w:pPr>
        <w:pStyle w:val="Heading3"/>
      </w:pPr>
      <w:bookmarkStart w:id="758" w:name="_Toc106037779"/>
      <w:bookmarkStart w:id="759" w:name="_Toc106201420"/>
      <w:bookmarkStart w:id="760" w:name="_Toc106201939"/>
      <w:bookmarkStart w:id="761" w:name="_Toc106202465"/>
      <w:bookmarkStart w:id="762" w:name="_Toc113344919"/>
      <w:bookmarkStart w:id="763" w:name="_Toc137461660"/>
      <w:bookmarkStart w:id="764" w:name="_Toc137471251"/>
      <w:bookmarkStart w:id="765" w:name="_Toc137471760"/>
      <w:bookmarkStart w:id="766" w:name="_Toc200375577"/>
      <w:r w:rsidRPr="00F5134F">
        <w:t>Return of Permanently Absent Family Members</w:t>
      </w:r>
      <w:bookmarkEnd w:id="758"/>
      <w:bookmarkEnd w:id="759"/>
      <w:bookmarkEnd w:id="760"/>
      <w:bookmarkEnd w:id="761"/>
      <w:bookmarkEnd w:id="762"/>
      <w:bookmarkEnd w:id="763"/>
      <w:bookmarkEnd w:id="764"/>
      <w:bookmarkEnd w:id="765"/>
      <w:bookmarkEnd w:id="766"/>
    </w:p>
    <w:p w14:paraId="409EFB85" w14:textId="77777777" w:rsidR="00094560" w:rsidRPr="00F5134F" w:rsidRDefault="00094560" w:rsidP="00094560">
      <w:pPr>
        <w:rPr>
          <w:rFonts w:cs="Arial"/>
          <w:szCs w:val="20"/>
        </w:rPr>
      </w:pPr>
      <w:r w:rsidRPr="00F5134F">
        <w:rPr>
          <w:rFonts w:cs="Arial"/>
          <w:szCs w:val="20"/>
        </w:rPr>
        <w:t xml:space="preserve">The family must request </w:t>
      </w:r>
      <w:r>
        <w:rPr>
          <w:rFonts w:cs="Arial"/>
          <w:szCs w:val="20"/>
        </w:rPr>
        <w:t>HHA</w:t>
      </w:r>
      <w:r w:rsidRPr="00F5134F">
        <w:rPr>
          <w:rFonts w:cs="Arial"/>
          <w:szCs w:val="20"/>
        </w:rPr>
        <w:t xml:space="preserve"> approval for the return of any adult family members that </w:t>
      </w:r>
      <w:r>
        <w:rPr>
          <w:rFonts w:cs="Arial"/>
          <w:szCs w:val="20"/>
        </w:rPr>
        <w:t>HHA</w:t>
      </w:r>
      <w:r w:rsidRPr="00F5134F">
        <w:rPr>
          <w:rFonts w:cs="Arial"/>
          <w:szCs w:val="20"/>
        </w:rPr>
        <w:t xml:space="preserve"> previously determined to be permanently absent. The individual is subject to the eligibility and screening requirements discussed in this ACOP.</w:t>
      </w:r>
    </w:p>
    <w:p w14:paraId="2E240146" w14:textId="77777777" w:rsidR="00094560" w:rsidRPr="00F5134F" w:rsidRDefault="00920CF4" w:rsidP="00BB64BD">
      <w:pPr>
        <w:pStyle w:val="Heading2"/>
      </w:pPr>
      <w:bookmarkStart w:id="767" w:name="_Toc106037780"/>
      <w:bookmarkStart w:id="768" w:name="_Toc106201421"/>
      <w:bookmarkStart w:id="769" w:name="_Toc106201940"/>
      <w:bookmarkStart w:id="770" w:name="_Toc106202466"/>
      <w:bookmarkStart w:id="771" w:name="_Toc113344920"/>
      <w:bookmarkStart w:id="772" w:name="_Toc137460329"/>
      <w:bookmarkStart w:id="773" w:name="_Toc137460574"/>
      <w:bookmarkStart w:id="774" w:name="_Toc137460819"/>
      <w:bookmarkStart w:id="775" w:name="_Toc137461661"/>
      <w:bookmarkStart w:id="776" w:name="_Toc137471252"/>
      <w:bookmarkStart w:id="777" w:name="_Toc137471761"/>
      <w:bookmarkStart w:id="778" w:name="_Toc173222668"/>
      <w:bookmarkStart w:id="779" w:name="_Toc200375578"/>
      <w:bookmarkStart w:id="780" w:name="_Toc200376934"/>
      <w:r w:rsidRPr="00F5134F">
        <w:t>Unit Offers</w:t>
      </w:r>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p>
    <w:p w14:paraId="365199BF" w14:textId="77777777" w:rsidR="00094560" w:rsidRDefault="00094560" w:rsidP="00094560">
      <w:pPr>
        <w:spacing w:before="34"/>
        <w:ind w:right="86"/>
        <w:rPr>
          <w:rFonts w:eastAsia="Arial" w:cs="Arial"/>
          <w:color w:val="000000" w:themeColor="text1"/>
          <w:szCs w:val="20"/>
        </w:rPr>
      </w:pPr>
      <w:r>
        <w:rPr>
          <w:rFonts w:eastAsia="Arial" w:cs="Arial"/>
          <w:szCs w:val="20"/>
        </w:rPr>
        <w:t>HHA</w:t>
      </w:r>
      <w:r w:rsidRPr="000F4A10">
        <w:rPr>
          <w:rFonts w:eastAsia="Arial" w:cs="Arial"/>
          <w:szCs w:val="20"/>
        </w:rPr>
        <w:t xml:space="preserve"> will assign eligible applicants to dwelling units in accordance with a plan that is consistent with civil rights and nondiscrimination. </w:t>
      </w:r>
      <w:r>
        <w:rPr>
          <w:rFonts w:eastAsia="Arial" w:cs="Arial"/>
          <w:szCs w:val="20"/>
        </w:rPr>
        <w:t>HHA</w:t>
      </w:r>
      <w:r w:rsidRPr="000F4A10">
        <w:rPr>
          <w:rFonts w:eastAsia="Arial" w:cs="Arial"/>
          <w:szCs w:val="20"/>
        </w:rPr>
        <w:t xml:space="preserve"> will maintain a record of units offered, including location, date and circumstances of each offer, each acceptance or rejection, including the reason for the rejection. Generally, if a family rejects a unit assignment, their application </w:t>
      </w:r>
      <w:r w:rsidR="005B73AD">
        <w:rPr>
          <w:rFonts w:eastAsia="Arial" w:cs="Arial"/>
          <w:szCs w:val="20"/>
        </w:rPr>
        <w:t>may</w:t>
      </w:r>
      <w:r w:rsidRPr="000F4A10">
        <w:rPr>
          <w:rFonts w:eastAsia="Arial" w:cs="Arial"/>
          <w:szCs w:val="20"/>
        </w:rPr>
        <w:t xml:space="preserve"> be withdrawn from the waiting list</w:t>
      </w:r>
      <w:r>
        <w:rPr>
          <w:rFonts w:eastAsia="Arial" w:cs="Arial"/>
          <w:szCs w:val="20"/>
        </w:rPr>
        <w:t>.</w:t>
      </w:r>
      <w:r w:rsidRPr="000F4A10">
        <w:rPr>
          <w:rFonts w:eastAsia="Arial" w:cs="Arial"/>
          <w:szCs w:val="20"/>
        </w:rPr>
        <w:t xml:space="preserve"> </w:t>
      </w:r>
      <w:r w:rsidRPr="000F4A10">
        <w:rPr>
          <w:rFonts w:eastAsia="Arial" w:cs="Arial"/>
          <w:color w:val="000000" w:themeColor="text1"/>
          <w:szCs w:val="20"/>
        </w:rPr>
        <w:t xml:space="preserve"> </w:t>
      </w:r>
    </w:p>
    <w:p w14:paraId="7383FA84" w14:textId="77777777" w:rsidR="00846D53" w:rsidRPr="00A2158C" w:rsidRDefault="001474BD" w:rsidP="00677451">
      <w:pPr>
        <w:pStyle w:val="Heading3"/>
      </w:pPr>
      <w:bookmarkStart w:id="781" w:name="_Toc200375579"/>
      <w:r>
        <w:t>Order of Unit Offers</w:t>
      </w:r>
      <w:bookmarkEnd w:id="781"/>
    </w:p>
    <w:p w14:paraId="292E9AC2" w14:textId="77777777" w:rsidR="00747B87" w:rsidRDefault="00747B87" w:rsidP="00747B87">
      <w:pPr>
        <w:rPr>
          <w:sz w:val="24"/>
          <w:szCs w:val="24"/>
        </w:rPr>
      </w:pPr>
      <w:r>
        <w:rPr>
          <w:rFonts w:cs="Arial"/>
        </w:rPr>
        <w:t xml:space="preserve">Unit </w:t>
      </w:r>
      <w:r w:rsidRPr="00AD2B20">
        <w:rPr>
          <w:rFonts w:cs="Arial"/>
        </w:rPr>
        <w:t xml:space="preserve">offers will be made to residents on the transfer </w:t>
      </w:r>
      <w:r w:rsidR="00520BE5">
        <w:rPr>
          <w:rFonts w:cs="Arial"/>
        </w:rPr>
        <w:t>w</w:t>
      </w:r>
      <w:r w:rsidRPr="00AD2B20">
        <w:rPr>
          <w:rFonts w:cs="Arial"/>
        </w:rPr>
        <w:t xml:space="preserve">aiting </w:t>
      </w:r>
      <w:r w:rsidR="00520BE5">
        <w:rPr>
          <w:rFonts w:cs="Arial"/>
        </w:rPr>
        <w:t>l</w:t>
      </w:r>
      <w:r w:rsidRPr="00AD2B20">
        <w:rPr>
          <w:rFonts w:cs="Arial"/>
        </w:rPr>
        <w:t xml:space="preserve">ist and applicants on the </w:t>
      </w:r>
      <w:r w:rsidR="008F6C46">
        <w:rPr>
          <w:rFonts w:cs="Arial"/>
        </w:rPr>
        <w:t>w</w:t>
      </w:r>
      <w:r w:rsidRPr="00AD2B20">
        <w:rPr>
          <w:rFonts w:cs="Arial"/>
        </w:rPr>
        <w:t xml:space="preserve">aiting </w:t>
      </w:r>
      <w:r w:rsidR="008F6C46">
        <w:rPr>
          <w:rFonts w:cs="Arial"/>
        </w:rPr>
        <w:t>l</w:t>
      </w:r>
      <w:r w:rsidRPr="00AD2B20">
        <w:rPr>
          <w:rFonts w:cs="Arial"/>
        </w:rPr>
        <w:t xml:space="preserve">ist (new admissions) according to </w:t>
      </w:r>
      <w:r>
        <w:rPr>
          <w:rFonts w:cs="Arial"/>
        </w:rPr>
        <w:t>HHA</w:t>
      </w:r>
      <w:r w:rsidRPr="00AD2B20">
        <w:rPr>
          <w:rFonts w:cs="Arial"/>
        </w:rPr>
        <w:t xml:space="preserve"> determined ratios.  </w:t>
      </w:r>
    </w:p>
    <w:p w14:paraId="7BF3C13D" w14:textId="77777777" w:rsidR="00846D53" w:rsidRPr="00535EAA" w:rsidRDefault="00846D53" w:rsidP="00CB52D8">
      <w:pPr>
        <w:pStyle w:val="ListParagraph"/>
        <w:widowControl w:val="0"/>
        <w:numPr>
          <w:ilvl w:val="1"/>
          <w:numId w:val="46"/>
        </w:numPr>
        <w:autoSpaceDE w:val="0"/>
        <w:autoSpaceDN w:val="0"/>
        <w:ind w:left="720"/>
        <w:contextualSpacing w:val="0"/>
      </w:pPr>
      <w:r w:rsidRPr="00535EAA">
        <w:t>Certain types of transferees will receive offers of housing before applicants from the waiting</w:t>
      </w:r>
      <w:r w:rsidRPr="00535EAA">
        <w:rPr>
          <w:spacing w:val="-27"/>
        </w:rPr>
        <w:t xml:space="preserve"> </w:t>
      </w:r>
      <w:r w:rsidRPr="00535EAA">
        <w:t>list.</w:t>
      </w:r>
      <w:r w:rsidR="005F28EC">
        <w:t xml:space="preserve"> </w:t>
      </w:r>
      <w:r w:rsidR="005F28EC" w:rsidRPr="00535EAA">
        <w:t xml:space="preserve">(See </w:t>
      </w:r>
      <w:r w:rsidR="00E5668A" w:rsidRPr="00E5668A">
        <w:rPr>
          <w:b/>
          <w:bCs/>
          <w:color w:val="0070C0"/>
        </w:rPr>
        <w:fldChar w:fldCharType="begin"/>
      </w:r>
      <w:r w:rsidR="00E5668A" w:rsidRPr="00E5668A">
        <w:rPr>
          <w:b/>
          <w:bCs/>
          <w:color w:val="0070C0"/>
        </w:rPr>
        <w:instrText xml:space="preserve"> REF _Ref151015424 \h </w:instrText>
      </w:r>
      <w:r w:rsidR="00E5668A">
        <w:rPr>
          <w:b/>
          <w:bCs/>
          <w:color w:val="0070C0"/>
        </w:rPr>
        <w:instrText xml:space="preserve"> \* MERGEFORMAT </w:instrText>
      </w:r>
      <w:r w:rsidR="00E5668A" w:rsidRPr="00E5668A">
        <w:rPr>
          <w:b/>
          <w:bCs/>
          <w:color w:val="0070C0"/>
        </w:rPr>
      </w:r>
      <w:r w:rsidR="00E5668A" w:rsidRPr="00E5668A">
        <w:rPr>
          <w:b/>
          <w:bCs/>
          <w:color w:val="0070C0"/>
        </w:rPr>
        <w:fldChar w:fldCharType="separate"/>
      </w:r>
      <w:r w:rsidR="00E5668A" w:rsidRPr="00E5668A">
        <w:rPr>
          <w:b/>
          <w:bCs/>
          <w:color w:val="0070C0"/>
        </w:rPr>
        <w:t>TRANSFER POLICY</w:t>
      </w:r>
      <w:r w:rsidR="00E5668A" w:rsidRPr="00E5668A">
        <w:rPr>
          <w:b/>
          <w:bCs/>
          <w:color w:val="0070C0"/>
        </w:rPr>
        <w:fldChar w:fldCharType="end"/>
      </w:r>
      <w:r w:rsidR="005F28EC" w:rsidRPr="00535EAA">
        <w:t>)</w:t>
      </w:r>
      <w:r w:rsidR="005F28EC">
        <w:t>;</w:t>
      </w:r>
    </w:p>
    <w:p w14:paraId="51494D46" w14:textId="77777777" w:rsidR="00846D53" w:rsidRPr="00535EAA" w:rsidRDefault="00846D53" w:rsidP="00CB52D8">
      <w:pPr>
        <w:pStyle w:val="ListParagraph"/>
        <w:widowControl w:val="0"/>
        <w:numPr>
          <w:ilvl w:val="1"/>
          <w:numId w:val="46"/>
        </w:numPr>
        <w:autoSpaceDE w:val="0"/>
        <w:autoSpaceDN w:val="0"/>
        <w:ind w:left="720"/>
        <w:contextualSpacing w:val="0"/>
      </w:pPr>
      <w:r w:rsidRPr="00535EAA">
        <w:t>In all offers</w:t>
      </w:r>
      <w:r w:rsidR="00D66633">
        <w:t>,</w:t>
      </w:r>
      <w:r w:rsidRPr="00535EAA">
        <w:t xml:space="preserve"> HHA will </w:t>
      </w:r>
      <w:r w:rsidR="00D66633">
        <w:t xml:space="preserve">adhere to all </w:t>
      </w:r>
      <w:r w:rsidR="00D66633" w:rsidRPr="00D66633">
        <w:rPr>
          <w:b/>
          <w:bCs/>
          <w:color w:val="0070C0"/>
        </w:rPr>
        <w:fldChar w:fldCharType="begin"/>
      </w:r>
      <w:r w:rsidR="00D66633" w:rsidRPr="00D66633">
        <w:rPr>
          <w:b/>
          <w:bCs/>
          <w:color w:val="0070C0"/>
        </w:rPr>
        <w:instrText xml:space="preserve"> REF _Ref146115399 \h </w:instrText>
      </w:r>
      <w:r w:rsidR="00D66633">
        <w:rPr>
          <w:b/>
          <w:bCs/>
          <w:color w:val="0070C0"/>
        </w:rPr>
        <w:instrText xml:space="preserve"> \* MERGEFORMAT </w:instrText>
      </w:r>
      <w:r w:rsidR="00D66633" w:rsidRPr="00D66633">
        <w:rPr>
          <w:b/>
          <w:bCs/>
          <w:color w:val="0070C0"/>
        </w:rPr>
      </w:r>
      <w:r w:rsidR="00D66633" w:rsidRPr="00D66633">
        <w:rPr>
          <w:b/>
          <w:bCs/>
          <w:color w:val="0070C0"/>
        </w:rPr>
        <w:fldChar w:fldCharType="separate"/>
      </w:r>
      <w:r w:rsidR="00D66633" w:rsidRPr="00D66633">
        <w:rPr>
          <w:b/>
          <w:bCs/>
          <w:color w:val="0070C0"/>
        </w:rPr>
        <w:t>Non-Discrimination</w:t>
      </w:r>
      <w:r w:rsidR="00D66633" w:rsidRPr="00D66633">
        <w:rPr>
          <w:b/>
          <w:bCs/>
          <w:color w:val="0070C0"/>
        </w:rPr>
        <w:fldChar w:fldCharType="end"/>
      </w:r>
      <w:r w:rsidR="00D66633">
        <w:t xml:space="preserve"> requirements.</w:t>
      </w:r>
    </w:p>
    <w:p w14:paraId="04266A0C" w14:textId="77777777" w:rsidR="00846D53" w:rsidRPr="00535EAA" w:rsidRDefault="00846D53" w:rsidP="00CB52D8">
      <w:pPr>
        <w:pStyle w:val="ListParagraph"/>
        <w:widowControl w:val="0"/>
        <w:numPr>
          <w:ilvl w:val="1"/>
          <w:numId w:val="46"/>
        </w:numPr>
        <w:autoSpaceDE w:val="0"/>
        <w:autoSpaceDN w:val="0"/>
        <w:ind w:left="720"/>
        <w:contextualSpacing w:val="0"/>
      </w:pPr>
      <w:r w:rsidRPr="00535EAA">
        <w:t>Specifically, the following order of offers</w:t>
      </w:r>
      <w:r w:rsidRPr="00535EAA">
        <w:rPr>
          <w:spacing w:val="-10"/>
        </w:rPr>
        <w:t xml:space="preserve"> </w:t>
      </w:r>
      <w:r w:rsidRPr="00535EAA">
        <w:t>applies:</w:t>
      </w:r>
    </w:p>
    <w:p w14:paraId="50BF0C40" w14:textId="77777777" w:rsidR="00846D53" w:rsidRPr="00535EAA" w:rsidRDefault="00846D53" w:rsidP="007F177E">
      <w:pPr>
        <w:pStyle w:val="ListParagraph"/>
        <w:widowControl w:val="0"/>
        <w:numPr>
          <w:ilvl w:val="2"/>
          <w:numId w:val="238"/>
        </w:numPr>
        <w:autoSpaceDE w:val="0"/>
        <w:autoSpaceDN w:val="0"/>
        <w:contextualSpacing w:val="0"/>
      </w:pPr>
      <w:r w:rsidRPr="00535EAA">
        <w:t xml:space="preserve">Transfers (See </w:t>
      </w:r>
      <w:r w:rsidR="00E5668A" w:rsidRPr="00E5668A">
        <w:rPr>
          <w:b/>
          <w:bCs/>
          <w:color w:val="0070C0"/>
        </w:rPr>
        <w:fldChar w:fldCharType="begin"/>
      </w:r>
      <w:r w:rsidR="00E5668A" w:rsidRPr="00E5668A">
        <w:rPr>
          <w:b/>
          <w:bCs/>
          <w:color w:val="0070C0"/>
        </w:rPr>
        <w:instrText xml:space="preserve"> REF _Ref151015424 \h </w:instrText>
      </w:r>
      <w:r w:rsidR="00E5668A">
        <w:rPr>
          <w:b/>
          <w:bCs/>
          <w:color w:val="0070C0"/>
        </w:rPr>
        <w:instrText xml:space="preserve"> \* MERGEFORMAT </w:instrText>
      </w:r>
      <w:r w:rsidR="00E5668A" w:rsidRPr="00E5668A">
        <w:rPr>
          <w:b/>
          <w:bCs/>
          <w:color w:val="0070C0"/>
        </w:rPr>
      </w:r>
      <w:r w:rsidR="00E5668A" w:rsidRPr="00E5668A">
        <w:rPr>
          <w:b/>
          <w:bCs/>
          <w:color w:val="0070C0"/>
        </w:rPr>
        <w:fldChar w:fldCharType="separate"/>
      </w:r>
      <w:r w:rsidR="00E5668A" w:rsidRPr="00E5668A">
        <w:rPr>
          <w:b/>
          <w:bCs/>
          <w:color w:val="0070C0"/>
        </w:rPr>
        <w:t>TRANSFER POLICY</w:t>
      </w:r>
      <w:r w:rsidR="00E5668A" w:rsidRPr="00E5668A">
        <w:rPr>
          <w:b/>
          <w:bCs/>
          <w:color w:val="0070C0"/>
        </w:rPr>
        <w:fldChar w:fldCharType="end"/>
      </w:r>
      <w:r w:rsidRPr="00535EAA">
        <w:t>)</w:t>
      </w:r>
      <w:r w:rsidR="00FC6BDA">
        <w:t>;</w:t>
      </w:r>
    </w:p>
    <w:p w14:paraId="4C45CE70" w14:textId="77777777" w:rsidR="00515ACC" w:rsidRDefault="00846D53" w:rsidP="007F177E">
      <w:pPr>
        <w:pStyle w:val="ListParagraph"/>
        <w:widowControl w:val="0"/>
        <w:numPr>
          <w:ilvl w:val="2"/>
          <w:numId w:val="238"/>
        </w:numPr>
        <w:autoSpaceDE w:val="0"/>
        <w:autoSpaceDN w:val="0"/>
        <w:contextualSpacing w:val="0"/>
      </w:pPr>
      <w:r w:rsidRPr="00535EAA">
        <w:t xml:space="preserve">New Admissions from </w:t>
      </w:r>
      <w:r w:rsidR="00E95AFB">
        <w:t>the</w:t>
      </w:r>
      <w:r w:rsidRPr="00535EAA">
        <w:t xml:space="preserve"> property’s site-based waiting</w:t>
      </w:r>
      <w:r w:rsidRPr="00535EAA">
        <w:rPr>
          <w:spacing w:val="-8"/>
        </w:rPr>
        <w:t xml:space="preserve"> </w:t>
      </w:r>
      <w:r w:rsidRPr="00535EAA">
        <w:t>list;</w:t>
      </w:r>
    </w:p>
    <w:p w14:paraId="2D0D7AB3" w14:textId="77777777" w:rsidR="00846D53" w:rsidRDefault="00846D53" w:rsidP="00CB52D8">
      <w:pPr>
        <w:pStyle w:val="ListParagraph"/>
        <w:widowControl w:val="0"/>
        <w:numPr>
          <w:ilvl w:val="3"/>
          <w:numId w:val="48"/>
        </w:numPr>
        <w:autoSpaceDE w:val="0"/>
        <w:autoSpaceDN w:val="0"/>
        <w:ind w:left="2160"/>
        <w:contextualSpacing w:val="0"/>
      </w:pPr>
      <w:r w:rsidRPr="00535EAA">
        <w:t>If however, there are insufficient numbers of eligible applicant households on a given development’s site-based waiting list relative to the number of existing or anticipated vacancies at that development</w:t>
      </w:r>
      <w:r w:rsidR="00596350">
        <w:t>:</w:t>
      </w:r>
      <w:r w:rsidRPr="00535EAA">
        <w:t xml:space="preserve"> using HHA’s same policies for establishing placement on a waiting list or eligibility for a dwelling unit, </w:t>
      </w:r>
      <w:r w:rsidR="00FC6BDA">
        <w:t>HHA</w:t>
      </w:r>
      <w:r w:rsidRPr="00535EAA">
        <w:t xml:space="preserve"> will allow applicants on other properties’ site-based waiting lists to transfer to other properties’ site-based waiting lists of an applicable and appropriate unit size;</w:t>
      </w:r>
    </w:p>
    <w:p w14:paraId="792900F6" w14:textId="77777777" w:rsidR="00AA097D" w:rsidRDefault="00C212AD" w:rsidP="00CB52D8">
      <w:pPr>
        <w:pStyle w:val="ListParagraph"/>
        <w:widowControl w:val="0"/>
        <w:numPr>
          <w:ilvl w:val="3"/>
          <w:numId w:val="48"/>
        </w:numPr>
        <w:autoSpaceDE w:val="0"/>
        <w:autoSpaceDN w:val="0"/>
        <w:ind w:left="2160"/>
        <w:contextualSpacing w:val="0"/>
      </w:pPr>
      <w:r>
        <w:t xml:space="preserve">No </w:t>
      </w:r>
      <w:r w:rsidR="00712ED3">
        <w:t xml:space="preserve">family will be offered a unit unless/until HHA has determined the family to be eligible </w:t>
      </w:r>
      <w:r w:rsidR="0012199E">
        <w:t>for the program a</w:t>
      </w:r>
      <w:r w:rsidR="007B1524">
        <w:t>s</w:t>
      </w:r>
      <w:r w:rsidR="00015D3C">
        <w:t xml:space="preserve"> described in the chapter on </w:t>
      </w:r>
      <w:r w:rsidR="00015D3C" w:rsidRPr="00015D3C">
        <w:rPr>
          <w:b/>
          <w:bCs/>
          <w:color w:val="0070C0"/>
        </w:rPr>
        <w:fldChar w:fldCharType="begin"/>
      </w:r>
      <w:r w:rsidR="00015D3C" w:rsidRPr="00015D3C">
        <w:rPr>
          <w:b/>
          <w:bCs/>
          <w:color w:val="0070C0"/>
        </w:rPr>
        <w:instrText xml:space="preserve"> REF _Ref146114496 \h </w:instrText>
      </w:r>
      <w:r w:rsidR="00015D3C">
        <w:rPr>
          <w:b/>
          <w:bCs/>
          <w:color w:val="0070C0"/>
        </w:rPr>
        <w:instrText xml:space="preserve"> \* MERGEFORMAT </w:instrText>
      </w:r>
      <w:r w:rsidR="00015D3C" w:rsidRPr="00015D3C">
        <w:rPr>
          <w:b/>
          <w:bCs/>
          <w:color w:val="0070C0"/>
        </w:rPr>
      </w:r>
      <w:r w:rsidR="00015D3C" w:rsidRPr="00015D3C">
        <w:rPr>
          <w:b/>
          <w:bCs/>
          <w:color w:val="0070C0"/>
        </w:rPr>
        <w:fldChar w:fldCharType="separate"/>
      </w:r>
      <w:r w:rsidR="00015D3C" w:rsidRPr="00015D3C">
        <w:rPr>
          <w:b/>
          <w:bCs/>
          <w:color w:val="0070C0"/>
        </w:rPr>
        <w:t>ELIGIBILITY</w:t>
      </w:r>
      <w:r w:rsidR="00015D3C" w:rsidRPr="00015D3C">
        <w:rPr>
          <w:b/>
          <w:bCs/>
          <w:color w:val="0070C0"/>
        </w:rPr>
        <w:fldChar w:fldCharType="end"/>
      </w:r>
      <w:r w:rsidR="00015D3C">
        <w:t>.</w:t>
      </w:r>
    </w:p>
    <w:p w14:paraId="3516D8B3" w14:textId="77777777" w:rsidR="00AA097D" w:rsidRPr="00535EAA" w:rsidRDefault="00AA097D" w:rsidP="00CB52D8">
      <w:pPr>
        <w:pStyle w:val="ListParagraph"/>
        <w:widowControl w:val="0"/>
        <w:numPr>
          <w:ilvl w:val="3"/>
          <w:numId w:val="48"/>
        </w:numPr>
        <w:autoSpaceDE w:val="0"/>
        <w:autoSpaceDN w:val="0"/>
        <w:ind w:left="2160"/>
        <w:contextualSpacing w:val="0"/>
      </w:pPr>
      <w:r w:rsidRPr="00535EAA">
        <w:t>When application processing is delayed because of missing verifications</w:t>
      </w:r>
      <w:r w:rsidR="005B3B56">
        <w:t xml:space="preserve"> or other information</w:t>
      </w:r>
      <w:r w:rsidRPr="00535EAA">
        <w:t xml:space="preserve">, a household’s application will be suspended until the necessary </w:t>
      </w:r>
      <w:r w:rsidR="00C3324D">
        <w:t>documentation</w:t>
      </w:r>
      <w:r w:rsidR="008230FD">
        <w:t xml:space="preserve"> is</w:t>
      </w:r>
      <w:r w:rsidRPr="00535EAA">
        <w:t xml:space="preserve"> received. This means that a person who is lower on the waiting list may receive a unit offer before a person who is higher on the waiting list. As soon as the necessary </w:t>
      </w:r>
      <w:r w:rsidR="00AC09B3">
        <w:t>documentation is</w:t>
      </w:r>
      <w:r w:rsidRPr="00535EAA">
        <w:t xml:space="preserve"> received, the </w:t>
      </w:r>
      <w:r>
        <w:t>eligibility determination will continue</w:t>
      </w:r>
      <w:r w:rsidRPr="00535EAA">
        <w:t>.</w:t>
      </w:r>
    </w:p>
    <w:p w14:paraId="48842444" w14:textId="77777777" w:rsidR="00846D53" w:rsidRPr="00535EAA" w:rsidRDefault="00846D53" w:rsidP="007F177E">
      <w:pPr>
        <w:pStyle w:val="ListParagraph"/>
        <w:widowControl w:val="0"/>
        <w:numPr>
          <w:ilvl w:val="2"/>
          <w:numId w:val="238"/>
        </w:numPr>
        <w:autoSpaceDE w:val="0"/>
        <w:autoSpaceDN w:val="0"/>
        <w:contextualSpacing w:val="0"/>
      </w:pPr>
      <w:r w:rsidRPr="00535EAA">
        <w:t>Resident-initiated</w:t>
      </w:r>
      <w:r w:rsidRPr="0004299A">
        <w:t xml:space="preserve"> </w:t>
      </w:r>
      <w:r w:rsidRPr="00535EAA">
        <w:t>transfers.</w:t>
      </w:r>
    </w:p>
    <w:p w14:paraId="10702B5C" w14:textId="77777777" w:rsidR="00FC6BDA" w:rsidRDefault="00846D53" w:rsidP="00CB52D8">
      <w:pPr>
        <w:pStyle w:val="ListParagraph"/>
        <w:widowControl w:val="0"/>
        <w:numPr>
          <w:ilvl w:val="1"/>
          <w:numId w:val="46"/>
        </w:numPr>
        <w:autoSpaceDE w:val="0"/>
        <w:autoSpaceDN w:val="0"/>
        <w:ind w:left="720"/>
        <w:contextualSpacing w:val="0"/>
      </w:pPr>
      <w:r w:rsidRPr="00535EAA">
        <w:t>The first qualified applicant or transferee is made one offer of an apartment of appropriate size and</w:t>
      </w:r>
      <w:r w:rsidRPr="00535EAA">
        <w:rPr>
          <w:spacing w:val="-3"/>
        </w:rPr>
        <w:t xml:space="preserve"> </w:t>
      </w:r>
      <w:r w:rsidRPr="00535EAA">
        <w:t>type</w:t>
      </w:r>
      <w:r w:rsidR="00642865">
        <w:t xml:space="preserve">, and as applicable, income </w:t>
      </w:r>
      <w:r w:rsidR="00486612">
        <w:t>limit/tier</w:t>
      </w:r>
      <w:r w:rsidR="00CA39BA">
        <w:t xml:space="preserve"> (for properties with Low Income Housing Tax Credit</w:t>
      </w:r>
      <w:r w:rsidR="007333FE">
        <w:t>,</w:t>
      </w:r>
      <w:r w:rsidR="00CA39BA">
        <w:t xml:space="preserve"> or LIHTC</w:t>
      </w:r>
      <w:r w:rsidR="007333FE">
        <w:t>, units</w:t>
      </w:r>
      <w:r w:rsidR="00CA39BA">
        <w:t>)</w:t>
      </w:r>
      <w:r w:rsidRPr="00535EAA">
        <w:t>.</w:t>
      </w:r>
    </w:p>
    <w:p w14:paraId="3A3C160E" w14:textId="77777777" w:rsidR="004503A0" w:rsidRDefault="00846D53" w:rsidP="007F177E">
      <w:pPr>
        <w:pStyle w:val="ListParagraph"/>
        <w:widowControl w:val="0"/>
        <w:numPr>
          <w:ilvl w:val="0"/>
          <w:numId w:val="239"/>
        </w:numPr>
        <w:tabs>
          <w:tab w:val="left" w:pos="881"/>
        </w:tabs>
        <w:autoSpaceDE w:val="0"/>
        <w:autoSpaceDN w:val="0"/>
        <w:ind w:left="1440"/>
        <w:contextualSpacing w:val="0"/>
      </w:pPr>
      <w:r w:rsidRPr="00FC6BDA">
        <w:t>An applicant/transferee must accept the vacancy offered or</w:t>
      </w:r>
      <w:r w:rsidR="00C751F0">
        <w:t xml:space="preserve"> be subject to the policies under </w:t>
      </w:r>
      <w:r w:rsidR="00A829C9" w:rsidRPr="00A829C9">
        <w:rPr>
          <w:b/>
          <w:bCs/>
          <w:color w:val="0070C0"/>
        </w:rPr>
        <w:fldChar w:fldCharType="begin"/>
      </w:r>
      <w:r w:rsidR="00A829C9" w:rsidRPr="00A829C9">
        <w:rPr>
          <w:b/>
          <w:bCs/>
          <w:color w:val="0070C0"/>
        </w:rPr>
        <w:instrText xml:space="preserve"> REF _Ref163642868 \h  \* MERGEFORMAT </w:instrText>
      </w:r>
      <w:r w:rsidR="00A829C9" w:rsidRPr="00A829C9">
        <w:rPr>
          <w:b/>
          <w:bCs/>
          <w:color w:val="0070C0"/>
        </w:rPr>
      </w:r>
      <w:r w:rsidR="00A829C9" w:rsidRPr="00A829C9">
        <w:rPr>
          <w:b/>
          <w:bCs/>
          <w:color w:val="0070C0"/>
        </w:rPr>
        <w:fldChar w:fldCharType="separate"/>
      </w:r>
      <w:r w:rsidR="00A829C9" w:rsidRPr="00A829C9">
        <w:rPr>
          <w:b/>
          <w:bCs/>
          <w:color w:val="0070C0"/>
        </w:rPr>
        <w:t>Removal from the Waiting List</w:t>
      </w:r>
      <w:r w:rsidR="00A829C9" w:rsidRPr="00A829C9">
        <w:rPr>
          <w:b/>
          <w:bCs/>
          <w:color w:val="0070C0"/>
        </w:rPr>
        <w:fldChar w:fldCharType="end"/>
      </w:r>
      <w:r w:rsidR="00A829C9">
        <w:t xml:space="preserve"> (for applicants on the site-based waiting list</w:t>
      </w:r>
      <w:r w:rsidR="004503A0">
        <w:t>)</w:t>
      </w:r>
      <w:r w:rsidR="00A829C9">
        <w:t xml:space="preserve"> or policies under </w:t>
      </w:r>
      <w:r w:rsidR="00A829C9" w:rsidRPr="002C6184">
        <w:rPr>
          <w:b/>
          <w:bCs/>
          <w:color w:val="0070C0"/>
        </w:rPr>
        <w:fldChar w:fldCharType="begin"/>
      </w:r>
      <w:r w:rsidR="00A829C9" w:rsidRPr="002C6184">
        <w:rPr>
          <w:b/>
          <w:bCs/>
          <w:color w:val="0070C0"/>
        </w:rPr>
        <w:instrText xml:space="preserve"> REF _Ref163642956 \h </w:instrText>
      </w:r>
      <w:r w:rsidR="002C6184" w:rsidRPr="002C6184">
        <w:rPr>
          <w:b/>
          <w:bCs/>
          <w:color w:val="0070C0"/>
        </w:rPr>
        <w:instrText xml:space="preserve"> \* MERGEFORMAT </w:instrText>
      </w:r>
      <w:r w:rsidR="00A829C9" w:rsidRPr="002C6184">
        <w:rPr>
          <w:b/>
          <w:bCs/>
          <w:color w:val="0070C0"/>
        </w:rPr>
      </w:r>
      <w:r w:rsidR="00A829C9" w:rsidRPr="002C6184">
        <w:rPr>
          <w:b/>
          <w:bCs/>
          <w:color w:val="0070C0"/>
        </w:rPr>
        <w:fldChar w:fldCharType="separate"/>
      </w:r>
      <w:r w:rsidR="00A829C9" w:rsidRPr="002C6184">
        <w:rPr>
          <w:b/>
          <w:bCs/>
          <w:color w:val="0070C0"/>
        </w:rPr>
        <w:t>Transfer Offer Policy</w:t>
      </w:r>
      <w:r w:rsidR="00A829C9" w:rsidRPr="002C6184">
        <w:rPr>
          <w:b/>
          <w:bCs/>
          <w:color w:val="0070C0"/>
        </w:rPr>
        <w:fldChar w:fldCharType="end"/>
      </w:r>
      <w:r w:rsidR="00A829C9">
        <w:t xml:space="preserve"> (for </w:t>
      </w:r>
      <w:r w:rsidR="002C6184">
        <w:t xml:space="preserve">transfers and </w:t>
      </w:r>
      <w:r w:rsidR="002C6184" w:rsidRPr="002C6184">
        <w:rPr>
          <w:b/>
          <w:bCs/>
          <w:color w:val="0070C0"/>
        </w:rPr>
        <w:fldChar w:fldCharType="begin"/>
      </w:r>
      <w:r w:rsidR="002C6184" w:rsidRPr="002C6184">
        <w:rPr>
          <w:b/>
          <w:bCs/>
          <w:color w:val="0070C0"/>
        </w:rPr>
        <w:instrText xml:space="preserve"> REF _Ref163642997 \h  \* MERGEFORMAT </w:instrText>
      </w:r>
      <w:r w:rsidR="002C6184" w:rsidRPr="002C6184">
        <w:rPr>
          <w:b/>
          <w:bCs/>
          <w:color w:val="0070C0"/>
        </w:rPr>
      </w:r>
      <w:r w:rsidR="002C6184" w:rsidRPr="002C6184">
        <w:rPr>
          <w:b/>
          <w:bCs/>
          <w:color w:val="0070C0"/>
        </w:rPr>
        <w:fldChar w:fldCharType="separate"/>
      </w:r>
      <w:r w:rsidR="002C6184" w:rsidRPr="002C6184">
        <w:rPr>
          <w:b/>
          <w:bCs/>
          <w:color w:val="0070C0"/>
        </w:rPr>
        <w:t>Special Admissions for Continually Assisted Families</w:t>
      </w:r>
      <w:r w:rsidR="002C6184" w:rsidRPr="002C6184">
        <w:rPr>
          <w:b/>
          <w:bCs/>
          <w:color w:val="0070C0"/>
        </w:rPr>
        <w:fldChar w:fldCharType="end"/>
      </w:r>
      <w:r w:rsidR="00A829C9">
        <w:t>)</w:t>
      </w:r>
      <w:r w:rsidRPr="00FC6BDA">
        <w:t xml:space="preserve"> unless the </w:t>
      </w:r>
      <w:r w:rsidR="004503A0">
        <w:t>family</w:t>
      </w:r>
      <w:r w:rsidRPr="00FC6BDA">
        <w:t xml:space="preserve"> refuses the offer with </w:t>
      </w:r>
      <w:r w:rsidR="00C83EE2">
        <w:t>g</w:t>
      </w:r>
      <w:r w:rsidRPr="00FC6BDA">
        <w:t xml:space="preserve">ood </w:t>
      </w:r>
      <w:r w:rsidR="00C83EE2">
        <w:t>c</w:t>
      </w:r>
      <w:r w:rsidRPr="00FC6BDA">
        <w:t>ause</w:t>
      </w:r>
      <w:r w:rsidR="002C6184">
        <w:t>. S</w:t>
      </w:r>
      <w:r w:rsidR="00C83EE2">
        <w:t>ee</w:t>
      </w:r>
      <w:r w:rsidR="004503A0">
        <w:t>:</w:t>
      </w:r>
    </w:p>
    <w:p w14:paraId="2E26E251" w14:textId="77777777" w:rsidR="004503A0" w:rsidRDefault="00C83EE2" w:rsidP="00CB52D8">
      <w:pPr>
        <w:pStyle w:val="ListParagraph"/>
        <w:widowControl w:val="0"/>
        <w:numPr>
          <w:ilvl w:val="2"/>
          <w:numId w:val="47"/>
        </w:numPr>
        <w:tabs>
          <w:tab w:val="left" w:pos="881"/>
        </w:tabs>
        <w:autoSpaceDE w:val="0"/>
        <w:autoSpaceDN w:val="0"/>
        <w:ind w:left="2160"/>
        <w:contextualSpacing w:val="0"/>
      </w:pPr>
      <w:r w:rsidRPr="00C83EE2">
        <w:rPr>
          <w:b/>
          <w:bCs/>
          <w:color w:val="0070C0"/>
        </w:rPr>
        <w:fldChar w:fldCharType="begin"/>
      </w:r>
      <w:r w:rsidRPr="00C83EE2">
        <w:rPr>
          <w:b/>
          <w:bCs/>
          <w:color w:val="0070C0"/>
        </w:rPr>
        <w:instrText xml:space="preserve"> REF _Ref430936903 \h </w:instrText>
      </w:r>
      <w:r>
        <w:rPr>
          <w:b/>
          <w:bCs/>
          <w:color w:val="0070C0"/>
        </w:rPr>
        <w:instrText xml:space="preserve"> \* MERGEFORMAT </w:instrText>
      </w:r>
      <w:r w:rsidRPr="00C83EE2">
        <w:rPr>
          <w:b/>
          <w:bCs/>
          <w:color w:val="0070C0"/>
        </w:rPr>
      </w:r>
      <w:r w:rsidRPr="00C83EE2">
        <w:rPr>
          <w:b/>
          <w:bCs/>
          <w:color w:val="0070C0"/>
        </w:rPr>
        <w:fldChar w:fldCharType="separate"/>
      </w:r>
      <w:r w:rsidRPr="00C83EE2">
        <w:rPr>
          <w:b/>
          <w:bCs/>
          <w:color w:val="0070C0"/>
        </w:rPr>
        <w:t>Good Cause for Unit Refusal</w:t>
      </w:r>
      <w:r w:rsidRPr="00C83EE2">
        <w:rPr>
          <w:b/>
          <w:bCs/>
          <w:color w:val="0070C0"/>
        </w:rPr>
        <w:fldChar w:fldCharType="end"/>
      </w:r>
      <w:r w:rsidR="000153E1">
        <w:t xml:space="preserve"> in this chapter for </w:t>
      </w:r>
      <w:r w:rsidR="002C6184">
        <w:t>applicants on the waiting</w:t>
      </w:r>
      <w:r w:rsidR="000153E1">
        <w:t xml:space="preserve"> list</w:t>
      </w:r>
      <w:r w:rsidR="004503A0">
        <w:t>,</w:t>
      </w:r>
      <w:r w:rsidR="000153E1">
        <w:t xml:space="preserve"> and </w:t>
      </w:r>
    </w:p>
    <w:p w14:paraId="24C4FEFD" w14:textId="5AE64203" w:rsidR="00C83EE2" w:rsidRDefault="000153E1" w:rsidP="00CB52D8">
      <w:pPr>
        <w:pStyle w:val="ListParagraph"/>
        <w:widowControl w:val="0"/>
        <w:numPr>
          <w:ilvl w:val="2"/>
          <w:numId w:val="47"/>
        </w:numPr>
        <w:tabs>
          <w:tab w:val="left" w:pos="881"/>
        </w:tabs>
        <w:autoSpaceDE w:val="0"/>
        <w:autoSpaceDN w:val="0"/>
        <w:ind w:left="2160"/>
        <w:contextualSpacing w:val="0"/>
      </w:pPr>
      <w:r w:rsidRPr="004503A0">
        <w:rPr>
          <w:b/>
          <w:bCs/>
          <w:color w:val="0070C0"/>
        </w:rPr>
        <w:fldChar w:fldCharType="begin"/>
      </w:r>
      <w:r w:rsidRPr="004503A0">
        <w:rPr>
          <w:b/>
          <w:bCs/>
          <w:color w:val="0070C0"/>
        </w:rPr>
        <w:instrText xml:space="preserve"> REF _Ref163643073 \h </w:instrText>
      </w:r>
      <w:r w:rsidR="004503A0" w:rsidRPr="004503A0">
        <w:rPr>
          <w:b/>
          <w:bCs/>
          <w:color w:val="0070C0"/>
        </w:rPr>
        <w:instrText xml:space="preserve"> \* MERGEFORMAT </w:instrText>
      </w:r>
      <w:r w:rsidRPr="004503A0">
        <w:rPr>
          <w:b/>
          <w:bCs/>
          <w:color w:val="0070C0"/>
        </w:rPr>
      </w:r>
      <w:r w:rsidRPr="004503A0">
        <w:rPr>
          <w:b/>
          <w:bCs/>
          <w:color w:val="0070C0"/>
        </w:rPr>
        <w:fldChar w:fldCharType="separate"/>
      </w:r>
      <w:r w:rsidRPr="004503A0">
        <w:rPr>
          <w:b/>
          <w:bCs/>
          <w:color w:val="0070C0"/>
        </w:rPr>
        <w:t>Good Cause for Unit Refusal</w:t>
      </w:r>
      <w:r w:rsidRPr="004503A0">
        <w:rPr>
          <w:b/>
          <w:bCs/>
          <w:color w:val="0070C0"/>
        </w:rPr>
        <w:fldChar w:fldCharType="end"/>
      </w:r>
      <w:r w:rsidRPr="004503A0">
        <w:rPr>
          <w:color w:val="0070C0"/>
        </w:rPr>
        <w:t xml:space="preserve"> </w:t>
      </w:r>
      <w:r>
        <w:t xml:space="preserve">in the </w:t>
      </w:r>
      <w:r w:rsidR="00641E0A" w:rsidRPr="00641E0A">
        <w:rPr>
          <w:b/>
          <w:bCs/>
          <w:color w:val="0070C0"/>
        </w:rPr>
        <w:fldChar w:fldCharType="begin"/>
      </w:r>
      <w:r w:rsidR="00641E0A" w:rsidRPr="00641E0A">
        <w:rPr>
          <w:b/>
          <w:bCs/>
          <w:color w:val="0070C0"/>
        </w:rPr>
        <w:instrText xml:space="preserve"> REF _Ref151015424 \h  \* MERGEFORMAT </w:instrText>
      </w:r>
      <w:r w:rsidR="00641E0A" w:rsidRPr="00641E0A">
        <w:rPr>
          <w:b/>
          <w:bCs/>
          <w:color w:val="0070C0"/>
        </w:rPr>
      </w:r>
      <w:r w:rsidR="00641E0A" w:rsidRPr="00641E0A">
        <w:rPr>
          <w:b/>
          <w:bCs/>
          <w:color w:val="0070C0"/>
        </w:rPr>
        <w:fldChar w:fldCharType="separate"/>
      </w:r>
      <w:r w:rsidR="00641E0A" w:rsidRPr="00641E0A">
        <w:rPr>
          <w:b/>
          <w:bCs/>
          <w:color w:val="0070C0"/>
        </w:rPr>
        <w:t>TRANSFERS</w:t>
      </w:r>
      <w:r w:rsidR="00641E0A" w:rsidRPr="00641E0A">
        <w:rPr>
          <w:b/>
          <w:bCs/>
          <w:color w:val="0070C0"/>
        </w:rPr>
        <w:fldChar w:fldCharType="end"/>
      </w:r>
      <w:r>
        <w:t xml:space="preserve"> chapter for transfers and </w:t>
      </w:r>
      <w:r w:rsidRPr="002C6184">
        <w:rPr>
          <w:b/>
          <w:bCs/>
          <w:color w:val="0070C0"/>
        </w:rPr>
        <w:fldChar w:fldCharType="begin"/>
      </w:r>
      <w:r w:rsidRPr="002C6184">
        <w:rPr>
          <w:b/>
          <w:bCs/>
          <w:color w:val="0070C0"/>
        </w:rPr>
        <w:instrText xml:space="preserve"> REF _Ref163642997 \h  \* MERGEFORMAT </w:instrText>
      </w:r>
      <w:r w:rsidRPr="002C6184">
        <w:rPr>
          <w:b/>
          <w:bCs/>
          <w:color w:val="0070C0"/>
        </w:rPr>
      </w:r>
      <w:r w:rsidRPr="002C6184">
        <w:rPr>
          <w:b/>
          <w:bCs/>
          <w:color w:val="0070C0"/>
        </w:rPr>
        <w:fldChar w:fldCharType="separate"/>
      </w:r>
      <w:r w:rsidRPr="002C6184">
        <w:rPr>
          <w:b/>
          <w:bCs/>
          <w:color w:val="0070C0"/>
        </w:rPr>
        <w:t>Special Admissions for Continually Assisted Families</w:t>
      </w:r>
      <w:r w:rsidRPr="002C6184">
        <w:rPr>
          <w:b/>
          <w:bCs/>
          <w:color w:val="0070C0"/>
        </w:rPr>
        <w:fldChar w:fldCharType="end"/>
      </w:r>
      <w:r>
        <w:t>.</w:t>
      </w:r>
      <w:r w:rsidR="00641E0A">
        <w:t xml:space="preserve"> </w:t>
      </w:r>
    </w:p>
    <w:p w14:paraId="34770747" w14:textId="77777777" w:rsidR="005A4454" w:rsidRDefault="00DC4556" w:rsidP="007F177E">
      <w:pPr>
        <w:pStyle w:val="ListParagraph"/>
        <w:widowControl w:val="0"/>
        <w:numPr>
          <w:ilvl w:val="0"/>
          <w:numId w:val="239"/>
        </w:numPr>
        <w:tabs>
          <w:tab w:val="left" w:pos="881"/>
        </w:tabs>
        <w:autoSpaceDE w:val="0"/>
        <w:autoSpaceDN w:val="0"/>
        <w:ind w:left="1440"/>
        <w:contextualSpacing w:val="0"/>
      </w:pPr>
      <w:r>
        <w:t>If two applicant</w:t>
      </w:r>
      <w:r w:rsidR="00C0014A">
        <w:t>/transferee</w:t>
      </w:r>
      <w:r w:rsidR="0043131C">
        <w:t xml:space="preserve"> families</w:t>
      </w:r>
      <w:r>
        <w:t xml:space="preserve"> need the same type and size of apartment</w:t>
      </w:r>
      <w:r w:rsidR="007B10AA">
        <w:t xml:space="preserve">, the first to </w:t>
      </w:r>
      <w:r w:rsidR="00704C91">
        <w:t xml:space="preserve">submit all required documentation and </w:t>
      </w:r>
      <w:r w:rsidR="007B10AA">
        <w:t>be determined eligible for</w:t>
      </w:r>
      <w:r w:rsidR="00A84C99">
        <w:t xml:space="preserve"> public housing, as </w:t>
      </w:r>
      <w:r w:rsidR="00CB7786">
        <w:t xml:space="preserve">described in the chapter on </w:t>
      </w:r>
      <w:r w:rsidR="00CB7786" w:rsidRPr="00015D3C">
        <w:rPr>
          <w:b/>
          <w:bCs/>
          <w:color w:val="0070C0"/>
        </w:rPr>
        <w:fldChar w:fldCharType="begin"/>
      </w:r>
      <w:r w:rsidR="00CB7786" w:rsidRPr="00015D3C">
        <w:rPr>
          <w:b/>
          <w:bCs/>
          <w:color w:val="0070C0"/>
        </w:rPr>
        <w:instrText xml:space="preserve"> REF _Ref146114496 \h </w:instrText>
      </w:r>
      <w:r w:rsidR="00CB7786">
        <w:rPr>
          <w:b/>
          <w:bCs/>
          <w:color w:val="0070C0"/>
        </w:rPr>
        <w:instrText xml:space="preserve"> \* MERGEFORMAT </w:instrText>
      </w:r>
      <w:r w:rsidR="00CB7786" w:rsidRPr="00015D3C">
        <w:rPr>
          <w:b/>
          <w:bCs/>
          <w:color w:val="0070C0"/>
        </w:rPr>
      </w:r>
      <w:r w:rsidR="00CB7786" w:rsidRPr="00015D3C">
        <w:rPr>
          <w:b/>
          <w:bCs/>
          <w:color w:val="0070C0"/>
        </w:rPr>
        <w:fldChar w:fldCharType="separate"/>
      </w:r>
      <w:r w:rsidR="00CB7786" w:rsidRPr="00015D3C">
        <w:rPr>
          <w:b/>
          <w:bCs/>
          <w:color w:val="0070C0"/>
        </w:rPr>
        <w:t>ELIGIBILITY</w:t>
      </w:r>
      <w:r w:rsidR="00CB7786" w:rsidRPr="00015D3C">
        <w:rPr>
          <w:b/>
          <w:bCs/>
          <w:color w:val="0070C0"/>
        </w:rPr>
        <w:fldChar w:fldCharType="end"/>
      </w:r>
      <w:r w:rsidR="0017011B">
        <w:t>, will be offered the unit first.</w:t>
      </w:r>
    </w:p>
    <w:p w14:paraId="555F00B0" w14:textId="77777777" w:rsidR="00846D53" w:rsidRPr="00FC6BDA" w:rsidRDefault="00846D53" w:rsidP="007F177E">
      <w:pPr>
        <w:pStyle w:val="ListParagraph"/>
        <w:widowControl w:val="0"/>
        <w:numPr>
          <w:ilvl w:val="0"/>
          <w:numId w:val="239"/>
        </w:numPr>
        <w:tabs>
          <w:tab w:val="left" w:pos="881"/>
        </w:tabs>
        <w:autoSpaceDE w:val="0"/>
        <w:autoSpaceDN w:val="0"/>
        <w:ind w:left="1440"/>
        <w:contextualSpacing w:val="0"/>
      </w:pPr>
      <w:r w:rsidRPr="00FC6BDA">
        <w:t>When the option to open a site-based waiting list for a particular HHA development(s) and specific bedroom size(s) is not practical or feasible, HHA will allow a transfer of an existing applicant household</w:t>
      </w:r>
      <w:r w:rsidR="00454E0F">
        <w:t>’</w:t>
      </w:r>
      <w:r w:rsidRPr="00FC6BDA">
        <w:t>s application to be applied to a different HHA waiting list at a different development in order to address circumstances where there are vacancies or likely to be vacancies at such development(s) and specific bedroom size(s) in the near future.</w:t>
      </w:r>
    </w:p>
    <w:p w14:paraId="38AA4E3C" w14:textId="1E162F8D" w:rsidR="00846D53" w:rsidRPr="00535EAA" w:rsidRDefault="00846D53" w:rsidP="00CB52D8">
      <w:pPr>
        <w:pStyle w:val="ListParagraph"/>
        <w:widowControl w:val="0"/>
        <w:numPr>
          <w:ilvl w:val="1"/>
          <w:numId w:val="46"/>
        </w:numPr>
        <w:autoSpaceDE w:val="0"/>
        <w:autoSpaceDN w:val="0"/>
        <w:ind w:left="720"/>
        <w:contextualSpacing w:val="0"/>
      </w:pPr>
      <w:r w:rsidRPr="00535EAA">
        <w:t xml:space="preserve">Applicants will be given </w:t>
      </w:r>
      <w:r w:rsidR="00963C96">
        <w:t>1</w:t>
      </w:r>
      <w:r w:rsidR="0068604C">
        <w:t>5</w:t>
      </w:r>
      <w:r w:rsidR="0081417E">
        <w:t xml:space="preserve"> calendar</w:t>
      </w:r>
      <w:r w:rsidRPr="00535EAA">
        <w:t xml:space="preserve"> days from the date reflected on the </w:t>
      </w:r>
      <w:r w:rsidR="00D0168A">
        <w:t xml:space="preserve">interest </w:t>
      </w:r>
      <w:r w:rsidRPr="00535EAA">
        <w:t xml:space="preserve">letter, to contact the property or appear </w:t>
      </w:r>
      <w:r w:rsidR="00E74C17">
        <w:t>for</w:t>
      </w:r>
      <w:r w:rsidRPr="00535EAA">
        <w:t xml:space="preserve"> </w:t>
      </w:r>
      <w:r w:rsidR="00D0168A">
        <w:t>eligibility screening</w:t>
      </w:r>
      <w:r w:rsidR="005B69E9">
        <w:t xml:space="preserve"> (see </w:t>
      </w:r>
      <w:r w:rsidR="005B69E9" w:rsidRPr="005B69E9">
        <w:rPr>
          <w:b/>
          <w:bCs/>
          <w:color w:val="0070C0"/>
        </w:rPr>
        <w:fldChar w:fldCharType="begin"/>
      </w:r>
      <w:r w:rsidR="005B69E9" w:rsidRPr="005B69E9">
        <w:rPr>
          <w:b/>
          <w:bCs/>
          <w:color w:val="0070C0"/>
        </w:rPr>
        <w:instrText xml:space="preserve"> REF _Ref145412251 \h  \* MERGEFORMAT </w:instrText>
      </w:r>
      <w:r w:rsidR="005B69E9" w:rsidRPr="005B69E9">
        <w:rPr>
          <w:b/>
          <w:bCs/>
          <w:color w:val="0070C0"/>
        </w:rPr>
      </w:r>
      <w:r w:rsidR="005B69E9" w:rsidRPr="005B69E9">
        <w:rPr>
          <w:b/>
          <w:bCs/>
          <w:color w:val="0070C0"/>
        </w:rPr>
        <w:fldChar w:fldCharType="separate"/>
      </w:r>
      <w:r w:rsidR="005B69E9" w:rsidRPr="005B69E9">
        <w:rPr>
          <w:b/>
          <w:bCs/>
          <w:color w:val="0070C0"/>
        </w:rPr>
        <w:t>ELIGIBILITY</w:t>
      </w:r>
      <w:r w:rsidR="005B69E9" w:rsidRPr="005B69E9">
        <w:rPr>
          <w:b/>
          <w:bCs/>
          <w:color w:val="0070C0"/>
        </w:rPr>
        <w:fldChar w:fldCharType="end"/>
      </w:r>
      <w:r w:rsidR="005B69E9">
        <w:t>)</w:t>
      </w:r>
      <w:r w:rsidRPr="00535EAA">
        <w:t>.</w:t>
      </w:r>
    </w:p>
    <w:p w14:paraId="788815A8" w14:textId="77777777" w:rsidR="00846D53" w:rsidRPr="00535EAA" w:rsidRDefault="009D720E" w:rsidP="00CB52D8">
      <w:pPr>
        <w:pStyle w:val="ListParagraph"/>
        <w:widowControl w:val="0"/>
        <w:numPr>
          <w:ilvl w:val="1"/>
          <w:numId w:val="46"/>
        </w:numPr>
        <w:autoSpaceDE w:val="0"/>
        <w:autoSpaceDN w:val="0"/>
        <w:ind w:left="720"/>
        <w:contextualSpacing w:val="0"/>
      </w:pPr>
      <w:r w:rsidRPr="00535EAA">
        <w:t xml:space="preserve">All offers will be made in writing. </w:t>
      </w:r>
      <w:r w:rsidR="00846D53" w:rsidRPr="00535EAA">
        <w:t>The applicant</w:t>
      </w:r>
      <w:r w:rsidR="008D2019">
        <w:t>/transferee</w:t>
      </w:r>
      <w:r w:rsidR="00846D53" w:rsidRPr="00535EAA">
        <w:t xml:space="preserve"> must accept any apartment offered within</w:t>
      </w:r>
      <w:r w:rsidR="00B54943">
        <w:t xml:space="preserve"> </w:t>
      </w:r>
      <w:r w:rsidR="00963C96">
        <w:t>five (5</w:t>
      </w:r>
      <w:r w:rsidR="00B54943">
        <w:t>)</w:t>
      </w:r>
      <w:r w:rsidR="00846D53" w:rsidRPr="00535EAA">
        <w:t xml:space="preserve"> </w:t>
      </w:r>
      <w:r w:rsidR="0044354C">
        <w:t>calendar</w:t>
      </w:r>
      <w:r w:rsidR="00846D53" w:rsidRPr="00535EAA">
        <w:t xml:space="preserve"> days of the later</w:t>
      </w:r>
      <w:r w:rsidR="00846D53" w:rsidRPr="00535EAA">
        <w:rPr>
          <w:spacing w:val="-15"/>
        </w:rPr>
        <w:t xml:space="preserve"> </w:t>
      </w:r>
      <w:r w:rsidR="00846D53" w:rsidRPr="00535EAA">
        <w:t>of:</w:t>
      </w:r>
    </w:p>
    <w:p w14:paraId="17B3C146" w14:textId="77777777" w:rsidR="00846D53" w:rsidRPr="00535EAA" w:rsidRDefault="00846D53" w:rsidP="007F177E">
      <w:pPr>
        <w:pStyle w:val="ListParagraph"/>
        <w:widowControl w:val="0"/>
        <w:numPr>
          <w:ilvl w:val="2"/>
          <w:numId w:val="240"/>
        </w:numPr>
        <w:autoSpaceDE w:val="0"/>
        <w:autoSpaceDN w:val="0"/>
        <w:contextualSpacing w:val="0"/>
      </w:pPr>
      <w:r w:rsidRPr="00535EAA">
        <w:t>The date the offer is communicated (by phone, mail, or the method of communication designated by an applicant with disabilities);</w:t>
      </w:r>
      <w:r w:rsidRPr="00535EAA">
        <w:rPr>
          <w:spacing w:val="-7"/>
        </w:rPr>
        <w:t xml:space="preserve"> </w:t>
      </w:r>
    </w:p>
    <w:p w14:paraId="660A5BFD" w14:textId="77777777" w:rsidR="00846D53" w:rsidRPr="00535EAA" w:rsidRDefault="00846D53" w:rsidP="007F177E">
      <w:pPr>
        <w:pStyle w:val="ListParagraph"/>
        <w:widowControl w:val="0"/>
        <w:numPr>
          <w:ilvl w:val="2"/>
          <w:numId w:val="240"/>
        </w:numPr>
        <w:autoSpaceDE w:val="0"/>
        <w:autoSpaceDN w:val="0"/>
        <w:contextualSpacing w:val="0"/>
      </w:pPr>
      <w:r w:rsidRPr="00535EAA">
        <w:t>The date they are shown the</w:t>
      </w:r>
      <w:r w:rsidRPr="00535EAA">
        <w:rPr>
          <w:spacing w:val="1"/>
        </w:rPr>
        <w:t xml:space="preserve"> </w:t>
      </w:r>
      <w:r w:rsidRPr="00535EAA">
        <w:t>apartment.</w:t>
      </w:r>
    </w:p>
    <w:p w14:paraId="3677F6A4" w14:textId="77777777" w:rsidR="00846D53" w:rsidRPr="00535EAA" w:rsidRDefault="00846D53" w:rsidP="00CB52D8">
      <w:pPr>
        <w:pStyle w:val="ListParagraph"/>
        <w:widowControl w:val="0"/>
        <w:numPr>
          <w:ilvl w:val="1"/>
          <w:numId w:val="46"/>
        </w:numPr>
        <w:autoSpaceDE w:val="0"/>
        <w:autoSpaceDN w:val="0"/>
        <w:ind w:left="720"/>
        <w:contextualSpacing w:val="0"/>
      </w:pPr>
      <w:r w:rsidRPr="00535EAA">
        <w:t>If the applicant</w:t>
      </w:r>
      <w:r w:rsidR="008D2019">
        <w:t>/transferee</w:t>
      </w:r>
      <w:r w:rsidRPr="00535EAA">
        <w:t xml:space="preserve"> does not accept the unit offer within </w:t>
      </w:r>
      <w:r w:rsidR="00584A5C">
        <w:t>five (5)</w:t>
      </w:r>
      <w:r w:rsidR="00584A5C" w:rsidRPr="00535EAA">
        <w:t xml:space="preserve"> </w:t>
      </w:r>
      <w:r w:rsidR="00584A5C">
        <w:t>calendar</w:t>
      </w:r>
      <w:r w:rsidR="00584A5C" w:rsidRPr="00535EAA">
        <w:t xml:space="preserve"> </w:t>
      </w:r>
      <w:r w:rsidRPr="00535EAA">
        <w:t>days, they will be</w:t>
      </w:r>
      <w:r w:rsidR="008D2019">
        <w:t xml:space="preserve"> subject to the policies under </w:t>
      </w:r>
      <w:r w:rsidR="008D2019" w:rsidRPr="00A829C9">
        <w:rPr>
          <w:b/>
          <w:bCs/>
          <w:color w:val="0070C0"/>
        </w:rPr>
        <w:fldChar w:fldCharType="begin"/>
      </w:r>
      <w:r w:rsidR="008D2019" w:rsidRPr="00A829C9">
        <w:rPr>
          <w:b/>
          <w:bCs/>
          <w:color w:val="0070C0"/>
        </w:rPr>
        <w:instrText xml:space="preserve"> REF _Ref163642868 \h  \* MERGEFORMAT </w:instrText>
      </w:r>
      <w:r w:rsidR="008D2019" w:rsidRPr="00A829C9">
        <w:rPr>
          <w:b/>
          <w:bCs/>
          <w:color w:val="0070C0"/>
        </w:rPr>
      </w:r>
      <w:r w:rsidR="008D2019" w:rsidRPr="00A829C9">
        <w:rPr>
          <w:b/>
          <w:bCs/>
          <w:color w:val="0070C0"/>
        </w:rPr>
        <w:fldChar w:fldCharType="separate"/>
      </w:r>
      <w:r w:rsidR="008D2019" w:rsidRPr="00A829C9">
        <w:rPr>
          <w:b/>
          <w:bCs/>
          <w:color w:val="0070C0"/>
        </w:rPr>
        <w:t>Removal from the Waiting List</w:t>
      </w:r>
      <w:r w:rsidR="008D2019" w:rsidRPr="00A829C9">
        <w:rPr>
          <w:b/>
          <w:bCs/>
          <w:color w:val="0070C0"/>
        </w:rPr>
        <w:fldChar w:fldCharType="end"/>
      </w:r>
      <w:r w:rsidR="008D2019">
        <w:t xml:space="preserve"> (for applicants on the waiting list) or policies under </w:t>
      </w:r>
      <w:r w:rsidR="008D2019" w:rsidRPr="002C6184">
        <w:rPr>
          <w:b/>
          <w:bCs/>
          <w:color w:val="0070C0"/>
        </w:rPr>
        <w:fldChar w:fldCharType="begin"/>
      </w:r>
      <w:r w:rsidR="008D2019" w:rsidRPr="002C6184">
        <w:rPr>
          <w:b/>
          <w:bCs/>
          <w:color w:val="0070C0"/>
        </w:rPr>
        <w:instrText xml:space="preserve"> REF _Ref163642956 \h  \* MERGEFORMAT </w:instrText>
      </w:r>
      <w:r w:rsidR="008D2019" w:rsidRPr="002C6184">
        <w:rPr>
          <w:b/>
          <w:bCs/>
          <w:color w:val="0070C0"/>
        </w:rPr>
      </w:r>
      <w:r w:rsidR="008D2019" w:rsidRPr="002C6184">
        <w:rPr>
          <w:b/>
          <w:bCs/>
          <w:color w:val="0070C0"/>
        </w:rPr>
        <w:fldChar w:fldCharType="separate"/>
      </w:r>
      <w:r w:rsidR="008D2019" w:rsidRPr="002C6184">
        <w:rPr>
          <w:b/>
          <w:bCs/>
          <w:color w:val="0070C0"/>
        </w:rPr>
        <w:t>Transfer Offer Policy</w:t>
      </w:r>
      <w:r w:rsidR="008D2019" w:rsidRPr="002C6184">
        <w:rPr>
          <w:b/>
          <w:bCs/>
          <w:color w:val="0070C0"/>
        </w:rPr>
        <w:fldChar w:fldCharType="end"/>
      </w:r>
      <w:r w:rsidR="008D2019">
        <w:t xml:space="preserve"> (for transfers and </w:t>
      </w:r>
      <w:r w:rsidR="008D2019" w:rsidRPr="002C6184">
        <w:rPr>
          <w:b/>
          <w:bCs/>
          <w:color w:val="0070C0"/>
        </w:rPr>
        <w:fldChar w:fldCharType="begin"/>
      </w:r>
      <w:r w:rsidR="008D2019" w:rsidRPr="002C6184">
        <w:rPr>
          <w:b/>
          <w:bCs/>
          <w:color w:val="0070C0"/>
        </w:rPr>
        <w:instrText xml:space="preserve"> REF _Ref163642997 \h  \* MERGEFORMAT </w:instrText>
      </w:r>
      <w:r w:rsidR="008D2019" w:rsidRPr="002C6184">
        <w:rPr>
          <w:b/>
          <w:bCs/>
          <w:color w:val="0070C0"/>
        </w:rPr>
      </w:r>
      <w:r w:rsidR="008D2019" w:rsidRPr="002C6184">
        <w:rPr>
          <w:b/>
          <w:bCs/>
          <w:color w:val="0070C0"/>
        </w:rPr>
        <w:fldChar w:fldCharType="separate"/>
      </w:r>
      <w:r w:rsidR="008D2019" w:rsidRPr="002C6184">
        <w:rPr>
          <w:b/>
          <w:bCs/>
          <w:color w:val="0070C0"/>
        </w:rPr>
        <w:t>Special Admissions for Continually Assisted Families</w:t>
      </w:r>
      <w:r w:rsidR="008D2019" w:rsidRPr="002C6184">
        <w:rPr>
          <w:b/>
          <w:bCs/>
          <w:color w:val="0070C0"/>
        </w:rPr>
        <w:fldChar w:fldCharType="end"/>
      </w:r>
      <w:r w:rsidR="008D2019">
        <w:t>)</w:t>
      </w:r>
      <w:r w:rsidR="00890FD9">
        <w:t>.</w:t>
      </w:r>
    </w:p>
    <w:p w14:paraId="333DC37A" w14:textId="77777777" w:rsidR="00846D53" w:rsidRPr="00890FD9" w:rsidRDefault="00846D53" w:rsidP="007F177E">
      <w:pPr>
        <w:pStyle w:val="ListParagraph"/>
        <w:widowControl w:val="0"/>
        <w:numPr>
          <w:ilvl w:val="2"/>
          <w:numId w:val="241"/>
        </w:numPr>
        <w:autoSpaceDE w:val="0"/>
        <w:autoSpaceDN w:val="0"/>
        <w:contextualSpacing w:val="0"/>
        <w:rPr>
          <w:spacing w:val="-2"/>
        </w:rPr>
      </w:pPr>
      <w:r w:rsidRPr="00890FD9">
        <w:rPr>
          <w:spacing w:val="-2"/>
        </w:rPr>
        <w:t>If more than one apartment of the appropriate size and type is available, the first apartment to be offered will be the apartment that is or will be ready for move-in first.</w:t>
      </w:r>
    </w:p>
    <w:p w14:paraId="6380E740" w14:textId="77777777" w:rsidR="00846D53" w:rsidRPr="00535EAA" w:rsidRDefault="00846D53" w:rsidP="007F177E">
      <w:pPr>
        <w:pStyle w:val="ListParagraph"/>
        <w:widowControl w:val="0"/>
        <w:numPr>
          <w:ilvl w:val="2"/>
          <w:numId w:val="241"/>
        </w:numPr>
        <w:autoSpaceDE w:val="0"/>
        <w:autoSpaceDN w:val="0"/>
        <w:contextualSpacing w:val="0"/>
      </w:pPr>
      <w:r w:rsidRPr="00535EAA">
        <w:t>If two units are ready for move-in on the same day, the first apartment to be offered will be the apartment that became vacant</w:t>
      </w:r>
      <w:r w:rsidRPr="00535EAA">
        <w:rPr>
          <w:spacing w:val="-2"/>
        </w:rPr>
        <w:t xml:space="preserve"> </w:t>
      </w:r>
      <w:r w:rsidRPr="00535EAA">
        <w:t>first.</w:t>
      </w:r>
    </w:p>
    <w:p w14:paraId="63346A79" w14:textId="77777777" w:rsidR="001474BD" w:rsidRPr="00535EAA" w:rsidRDefault="001474BD" w:rsidP="00CB52D8">
      <w:pPr>
        <w:pStyle w:val="Heading3"/>
        <w:numPr>
          <w:ilvl w:val="2"/>
          <w:numId w:val="49"/>
        </w:numPr>
        <w:ind w:left="360"/>
      </w:pPr>
      <w:bookmarkStart w:id="782" w:name="_Toc114067451"/>
      <w:bookmarkStart w:id="783" w:name="_Toc119412665"/>
      <w:bookmarkStart w:id="784" w:name="_Toc137808976"/>
      <w:bookmarkStart w:id="785" w:name="_Toc137809518"/>
      <w:bookmarkStart w:id="786" w:name="_Toc137809762"/>
      <w:bookmarkStart w:id="787" w:name="_Toc137810074"/>
      <w:bookmarkStart w:id="788" w:name="_Toc138429407"/>
      <w:bookmarkStart w:id="789" w:name="_Toc138430242"/>
      <w:bookmarkStart w:id="790" w:name="_Toc138856422"/>
      <w:bookmarkStart w:id="791" w:name="_Toc138857716"/>
      <w:bookmarkStart w:id="792" w:name="_Toc138860496"/>
      <w:bookmarkStart w:id="793" w:name="_Toc138860709"/>
      <w:bookmarkStart w:id="794" w:name="_Toc200375580"/>
      <w:r w:rsidRPr="00535EAA">
        <w:t>Showing Units Prior to</w:t>
      </w:r>
      <w:r w:rsidRPr="00677451">
        <w:rPr>
          <w:spacing w:val="-4"/>
        </w:rPr>
        <w:t xml:space="preserve"> </w:t>
      </w:r>
      <w:r w:rsidRPr="00535EAA">
        <w:t>Leasing</w:t>
      </w:r>
      <w:bookmarkEnd w:id="782"/>
      <w:bookmarkEnd w:id="783"/>
      <w:bookmarkEnd w:id="784"/>
      <w:bookmarkEnd w:id="785"/>
      <w:bookmarkEnd w:id="786"/>
      <w:bookmarkEnd w:id="787"/>
      <w:bookmarkEnd w:id="788"/>
      <w:bookmarkEnd w:id="789"/>
      <w:bookmarkEnd w:id="790"/>
      <w:bookmarkEnd w:id="791"/>
      <w:bookmarkEnd w:id="792"/>
      <w:bookmarkEnd w:id="793"/>
      <w:bookmarkEnd w:id="794"/>
    </w:p>
    <w:p w14:paraId="6CE59732" w14:textId="77777777" w:rsidR="001474BD" w:rsidRPr="00535EAA" w:rsidRDefault="001474BD" w:rsidP="001474BD">
      <w:pPr>
        <w:widowControl w:val="0"/>
        <w:tabs>
          <w:tab w:val="left" w:pos="881"/>
        </w:tabs>
        <w:autoSpaceDE w:val="0"/>
        <w:autoSpaceDN w:val="0"/>
      </w:pPr>
      <w:r w:rsidRPr="00535EAA">
        <w:t>Applicants may have an opportunity to see the unit being offered or a similar sample unit before they accept the offer and lease the</w:t>
      </w:r>
      <w:r w:rsidRPr="00421A5E">
        <w:rPr>
          <w:spacing w:val="-8"/>
        </w:rPr>
        <w:t xml:space="preserve"> </w:t>
      </w:r>
      <w:r w:rsidRPr="00535EAA">
        <w:t>apartment</w:t>
      </w:r>
      <w:r>
        <w:t>.</w:t>
      </w:r>
    </w:p>
    <w:p w14:paraId="3EE640F1" w14:textId="77777777" w:rsidR="00094560" w:rsidRPr="00867B80" w:rsidRDefault="00094560" w:rsidP="00677451">
      <w:pPr>
        <w:pStyle w:val="Heading3"/>
      </w:pPr>
      <w:bookmarkStart w:id="795" w:name="_Ref430936903"/>
      <w:bookmarkStart w:id="796" w:name="_Toc90029232"/>
      <w:bookmarkStart w:id="797" w:name="_Toc106037782"/>
      <w:bookmarkStart w:id="798" w:name="_Toc106201423"/>
      <w:bookmarkStart w:id="799" w:name="_Toc106201942"/>
      <w:bookmarkStart w:id="800" w:name="_Toc106202468"/>
      <w:bookmarkStart w:id="801" w:name="_Toc113344922"/>
      <w:bookmarkStart w:id="802" w:name="_Toc137461663"/>
      <w:bookmarkStart w:id="803" w:name="_Toc137471254"/>
      <w:bookmarkStart w:id="804" w:name="_Toc137471763"/>
      <w:bookmarkStart w:id="805" w:name="_Toc200375581"/>
      <w:r w:rsidRPr="00867B80">
        <w:t xml:space="preserve">Good Cause </w:t>
      </w:r>
      <w:r>
        <w:t>f</w:t>
      </w:r>
      <w:r w:rsidRPr="00867B80">
        <w:t>or Unit Refusal</w:t>
      </w:r>
      <w:bookmarkEnd w:id="795"/>
      <w:bookmarkEnd w:id="796"/>
      <w:bookmarkEnd w:id="797"/>
      <w:bookmarkEnd w:id="798"/>
      <w:bookmarkEnd w:id="799"/>
      <w:bookmarkEnd w:id="800"/>
      <w:bookmarkEnd w:id="801"/>
      <w:bookmarkEnd w:id="802"/>
      <w:bookmarkEnd w:id="803"/>
      <w:bookmarkEnd w:id="804"/>
      <w:bookmarkEnd w:id="805"/>
    </w:p>
    <w:p w14:paraId="2256270F" w14:textId="77777777" w:rsidR="00094560" w:rsidRPr="000675C8" w:rsidRDefault="00094560" w:rsidP="001522A6">
      <w:r w:rsidRPr="000675C8">
        <w:t xml:space="preserve">Applicants may refuse to accept a unit offer for </w:t>
      </w:r>
      <w:r w:rsidRPr="005A6CD5">
        <w:rPr>
          <w:i/>
          <w:iCs/>
        </w:rPr>
        <w:t>good cause</w:t>
      </w:r>
      <w:r w:rsidRPr="000675C8">
        <w:t xml:space="preserve">. There are </w:t>
      </w:r>
      <w:r>
        <w:t>two</w:t>
      </w:r>
      <w:r w:rsidRPr="000675C8">
        <w:t xml:space="preserve"> types of good cause:</w:t>
      </w:r>
    </w:p>
    <w:p w14:paraId="5E252531" w14:textId="77777777" w:rsidR="00094560" w:rsidRPr="000675C8" w:rsidRDefault="00094560" w:rsidP="00CB52D8">
      <w:pPr>
        <w:pStyle w:val="ListParagraph"/>
        <w:numPr>
          <w:ilvl w:val="0"/>
          <w:numId w:val="50"/>
        </w:numPr>
        <w:contextualSpacing w:val="0"/>
      </w:pPr>
      <w:r w:rsidRPr="000675C8">
        <w:t>Situations in which an applicant is willing to move but is unable to do so at the time of the unit offer (e.g.</w:t>
      </w:r>
      <w:r w:rsidR="0063057B">
        <w:t>,</w:t>
      </w:r>
      <w:r w:rsidRPr="000675C8">
        <w:t xml:space="preserve"> the applicant is in the hospital or is serving on a sequestered jury);</w:t>
      </w:r>
    </w:p>
    <w:p w14:paraId="5210B239" w14:textId="77777777" w:rsidR="00094560" w:rsidRPr="000675C8" w:rsidRDefault="00094560" w:rsidP="00CB52D8">
      <w:pPr>
        <w:pStyle w:val="ListParagraph"/>
        <w:numPr>
          <w:ilvl w:val="0"/>
          <w:numId w:val="50"/>
        </w:numPr>
        <w:contextualSpacing w:val="0"/>
      </w:pPr>
      <w:r w:rsidRPr="000675C8">
        <w:t>Situation</w:t>
      </w:r>
      <w:r>
        <w:t>s</w:t>
      </w:r>
      <w:r w:rsidRPr="000675C8">
        <w:t xml:space="preserve"> in which the applicant demonstrates that acceptance of the offer would cause undue hardship not related to considerations of the applicant</w:t>
      </w:r>
      <w:r>
        <w:t>’</w:t>
      </w:r>
      <w:r w:rsidRPr="000675C8">
        <w:t xml:space="preserve">s race, color, national origin, etc. </w:t>
      </w:r>
    </w:p>
    <w:p w14:paraId="65922459" w14:textId="77777777" w:rsidR="00094560" w:rsidRDefault="00094560" w:rsidP="001522A6">
      <w:r w:rsidRPr="000675C8">
        <w:t>Examples of good cause for refusal of a unit offer include, but are not limited to, the following:</w:t>
      </w:r>
    </w:p>
    <w:p w14:paraId="32895CE6" w14:textId="77777777" w:rsidR="00094560" w:rsidRDefault="00094560" w:rsidP="00CB52D8">
      <w:pPr>
        <w:pStyle w:val="ListParagraph"/>
        <w:numPr>
          <w:ilvl w:val="0"/>
          <w:numId w:val="30"/>
        </w:numPr>
        <w:contextualSpacing w:val="0"/>
      </w:pPr>
      <w:r w:rsidRPr="000675C8">
        <w:t xml:space="preserve">The family demonstrates to </w:t>
      </w:r>
      <w:r>
        <w:t>HHA’</w:t>
      </w:r>
      <w:r w:rsidRPr="000675C8">
        <w:t>s satisfaction that accepting the unit offer will require an adult household member to quit a job, drop out of an educational institution or job training program, or take a child out of day care or an educational program for children with disabilities.</w:t>
      </w:r>
    </w:p>
    <w:p w14:paraId="5ABDB2FA" w14:textId="77777777" w:rsidR="00094560" w:rsidRDefault="00094560" w:rsidP="00CB52D8">
      <w:pPr>
        <w:pStyle w:val="ListParagraph"/>
        <w:numPr>
          <w:ilvl w:val="0"/>
          <w:numId w:val="30"/>
        </w:numPr>
        <w:contextualSpacing w:val="0"/>
      </w:pPr>
      <w:r w:rsidRPr="000675C8">
        <w:t xml:space="preserve">The family demonstrates to </w:t>
      </w:r>
      <w:r>
        <w:t>HHA’</w:t>
      </w:r>
      <w:r w:rsidRPr="000675C8">
        <w:t>s satisfaction that accepting the offer will place a family member</w:t>
      </w:r>
      <w:r>
        <w:t>’</w:t>
      </w:r>
      <w:r w:rsidRPr="000675C8">
        <w:t xml:space="preserve">s life, health, or safety in jeopardy. The family should offer specific and compelling documentation such as restraining orders, other court orders, risk assessments related to witness protection from a law enforcement agency, or documentation of </w:t>
      </w:r>
      <w:r w:rsidR="00891743" w:rsidRPr="006279F1">
        <w:rPr>
          <w:rFonts w:cs="Arial"/>
          <w:spacing w:val="-2"/>
        </w:rPr>
        <w:t>domestic violence, dating violence, sexual assault, stalking and/or human trafficking</w:t>
      </w:r>
      <w:r w:rsidRPr="000675C8">
        <w:t xml:space="preserve"> in accordance with</w:t>
      </w:r>
      <w:r>
        <w:t xml:space="preserve"> this ACOP</w:t>
      </w:r>
      <w:r w:rsidRPr="000675C8">
        <w:t>. Reasons offered must be specific to the family. Refusals due to location alone do not qualify for this good cause exemption.</w:t>
      </w:r>
    </w:p>
    <w:p w14:paraId="3A880F57" w14:textId="77777777" w:rsidR="00094560" w:rsidRDefault="00094560" w:rsidP="00CB52D8">
      <w:pPr>
        <w:pStyle w:val="ListParagraph"/>
        <w:numPr>
          <w:ilvl w:val="0"/>
          <w:numId w:val="30"/>
        </w:numPr>
        <w:contextualSpacing w:val="0"/>
      </w:pPr>
      <w:r w:rsidRPr="000675C8">
        <w:t>A health professional verifies temporary hospitalization or recovery from illness of the principal household member, other household members (as listed on final application) or live-in aide necessary to the care of the principal household member.</w:t>
      </w:r>
    </w:p>
    <w:p w14:paraId="10C15360" w14:textId="77777777" w:rsidR="00094560" w:rsidRDefault="00094560" w:rsidP="00CB52D8">
      <w:pPr>
        <w:pStyle w:val="ListParagraph"/>
        <w:numPr>
          <w:ilvl w:val="0"/>
          <w:numId w:val="30"/>
        </w:numPr>
        <w:contextualSpacing w:val="0"/>
      </w:pPr>
      <w:r w:rsidRPr="000675C8">
        <w:t>The unit is inappropriate for the applicant</w:t>
      </w:r>
      <w:r>
        <w:t>’</w:t>
      </w:r>
      <w:r w:rsidRPr="000675C8">
        <w:t>s disabilities, or the family does not need the accessible features in the unit offered and does not want to be subject to a 30-day notice to move.</w:t>
      </w:r>
    </w:p>
    <w:p w14:paraId="63A84A63" w14:textId="77777777" w:rsidR="00094560" w:rsidRPr="000675C8" w:rsidRDefault="00094560" w:rsidP="00CB52D8">
      <w:pPr>
        <w:pStyle w:val="ListParagraph"/>
        <w:numPr>
          <w:ilvl w:val="0"/>
          <w:numId w:val="30"/>
        </w:numPr>
        <w:contextualSpacing w:val="0"/>
      </w:pPr>
      <w:r w:rsidRPr="000675C8">
        <w:t>The unit has lead-based paint and the family includes children under the age of six.</w:t>
      </w:r>
    </w:p>
    <w:p w14:paraId="4A3AA0DD" w14:textId="77777777" w:rsidR="00094560" w:rsidRDefault="00094560" w:rsidP="001522A6">
      <w:r w:rsidRPr="000675C8">
        <w:t>In the case of a unit refusal for good cause</w:t>
      </w:r>
      <w:r>
        <w:t>,</w:t>
      </w:r>
      <w:r w:rsidRPr="000675C8">
        <w:t xml:space="preserve"> the applicant will not be removed from the waiting list</w:t>
      </w:r>
      <w:r>
        <w:t xml:space="preserve">. </w:t>
      </w:r>
      <w:r w:rsidRPr="000675C8">
        <w:t>The applicant will remain at the top of the waiting list until the family receives an offer for which they do not have good cause to refuse.</w:t>
      </w:r>
      <w:r>
        <w:t xml:space="preserve"> HHA</w:t>
      </w:r>
      <w:r w:rsidRPr="000675C8">
        <w:t xml:space="preserve"> will require documentation of good cause for unit refusals.  </w:t>
      </w:r>
    </w:p>
    <w:p w14:paraId="463A2383" w14:textId="77777777" w:rsidR="00094560" w:rsidRPr="000675C8" w:rsidRDefault="00094560" w:rsidP="00677451">
      <w:pPr>
        <w:pStyle w:val="Heading3"/>
      </w:pPr>
      <w:bookmarkStart w:id="806" w:name="_Toc106037783"/>
      <w:bookmarkStart w:id="807" w:name="_Toc106201424"/>
      <w:bookmarkStart w:id="808" w:name="_Toc106201943"/>
      <w:bookmarkStart w:id="809" w:name="_Toc106202469"/>
      <w:bookmarkStart w:id="810" w:name="_Toc113344923"/>
      <w:bookmarkStart w:id="811" w:name="_Toc137461664"/>
      <w:bookmarkStart w:id="812" w:name="_Toc137471255"/>
      <w:bookmarkStart w:id="813" w:name="_Toc137471764"/>
      <w:bookmarkStart w:id="814" w:name="_Toc200375582"/>
      <w:r w:rsidRPr="000675C8">
        <w:t>Unit Refusal Without Good Cause</w:t>
      </w:r>
      <w:bookmarkEnd w:id="806"/>
      <w:bookmarkEnd w:id="807"/>
      <w:bookmarkEnd w:id="808"/>
      <w:bookmarkEnd w:id="809"/>
      <w:bookmarkEnd w:id="810"/>
      <w:bookmarkEnd w:id="811"/>
      <w:bookmarkEnd w:id="812"/>
      <w:bookmarkEnd w:id="813"/>
      <w:bookmarkEnd w:id="814"/>
    </w:p>
    <w:p w14:paraId="3F7141A4" w14:textId="77777777" w:rsidR="00094560" w:rsidRPr="006E35AB" w:rsidRDefault="00094560" w:rsidP="00FB115A">
      <w:r w:rsidRPr="006E35AB">
        <w:t xml:space="preserve">When an applicant rejects the final unit offer without good cause, </w:t>
      </w:r>
      <w:r w:rsidR="00017103">
        <w:t xml:space="preserve">the family will </w:t>
      </w:r>
      <w:r w:rsidR="00892982">
        <w:t xml:space="preserve">be subject to the policies under </w:t>
      </w:r>
      <w:r w:rsidR="00892982" w:rsidRPr="00A829C9">
        <w:rPr>
          <w:b/>
          <w:bCs/>
          <w:color w:val="0070C0"/>
        </w:rPr>
        <w:fldChar w:fldCharType="begin"/>
      </w:r>
      <w:r w:rsidR="00892982" w:rsidRPr="00A829C9">
        <w:rPr>
          <w:b/>
          <w:bCs/>
          <w:color w:val="0070C0"/>
        </w:rPr>
        <w:instrText xml:space="preserve"> REF _Ref163642868 \h  \* MERGEFORMAT </w:instrText>
      </w:r>
      <w:r w:rsidR="00892982" w:rsidRPr="00A829C9">
        <w:rPr>
          <w:b/>
          <w:bCs/>
          <w:color w:val="0070C0"/>
        </w:rPr>
      </w:r>
      <w:r w:rsidR="00892982" w:rsidRPr="00A829C9">
        <w:rPr>
          <w:b/>
          <w:bCs/>
          <w:color w:val="0070C0"/>
        </w:rPr>
        <w:fldChar w:fldCharType="separate"/>
      </w:r>
      <w:r w:rsidR="00892982" w:rsidRPr="00A829C9">
        <w:rPr>
          <w:b/>
          <w:bCs/>
          <w:color w:val="0070C0"/>
        </w:rPr>
        <w:t>Removal from the Waiting List</w:t>
      </w:r>
      <w:r w:rsidR="00892982" w:rsidRPr="00A829C9">
        <w:rPr>
          <w:b/>
          <w:bCs/>
          <w:color w:val="0070C0"/>
        </w:rPr>
        <w:fldChar w:fldCharType="end"/>
      </w:r>
      <w:r w:rsidRPr="006E35AB">
        <w:t>. The notice will inform the family of their right to request an informal hearing and the process for doing so (</w:t>
      </w:r>
      <w:r>
        <w:t xml:space="preserve">see </w:t>
      </w:r>
      <w:r w:rsidR="00D34844" w:rsidRPr="00D34844">
        <w:rPr>
          <w:b/>
          <w:bCs/>
          <w:color w:val="0070C0"/>
        </w:rPr>
        <w:fldChar w:fldCharType="begin"/>
      </w:r>
      <w:r w:rsidR="00D34844" w:rsidRPr="00D34844">
        <w:rPr>
          <w:b/>
          <w:bCs/>
          <w:color w:val="0070C0"/>
        </w:rPr>
        <w:instrText xml:space="preserve"> REF _Ref488211622 \h  \* MERGEFORMAT </w:instrText>
      </w:r>
      <w:r w:rsidR="00D34844" w:rsidRPr="00D34844">
        <w:rPr>
          <w:b/>
          <w:bCs/>
          <w:color w:val="0070C0"/>
        </w:rPr>
      </w:r>
      <w:r w:rsidR="00D34844" w:rsidRPr="00D34844">
        <w:rPr>
          <w:b/>
          <w:bCs/>
          <w:color w:val="0070C0"/>
        </w:rPr>
        <w:fldChar w:fldCharType="separate"/>
      </w:r>
      <w:r w:rsidR="00D34844" w:rsidRPr="00D34844">
        <w:rPr>
          <w:b/>
          <w:bCs/>
          <w:color w:val="0070C0"/>
        </w:rPr>
        <w:t>Informal Hearings for Applicants</w:t>
      </w:r>
      <w:r w:rsidR="00D34844" w:rsidRPr="00D34844">
        <w:rPr>
          <w:b/>
          <w:bCs/>
          <w:color w:val="0070C0"/>
        </w:rPr>
        <w:fldChar w:fldCharType="end"/>
      </w:r>
      <w:r w:rsidRPr="006E35AB">
        <w:t>)</w:t>
      </w:r>
      <w:r>
        <w:t xml:space="preserve">. </w:t>
      </w:r>
      <w:r w:rsidRPr="006E35AB">
        <w:t xml:space="preserve">The applicant may reapply for assistance if the waiting list is open. If the waiting list is not open, the applicant must wait to reapply until </w:t>
      </w:r>
      <w:r>
        <w:t>HHA</w:t>
      </w:r>
      <w:r w:rsidRPr="006E35AB">
        <w:t xml:space="preserve"> opens the waiting list.</w:t>
      </w:r>
    </w:p>
    <w:p w14:paraId="76EFFD60" w14:textId="77777777" w:rsidR="00094560" w:rsidRDefault="00BA5342" w:rsidP="00BB64BD">
      <w:pPr>
        <w:pStyle w:val="Heading2"/>
      </w:pPr>
      <w:r w:rsidRPr="00122C89">
        <w:t xml:space="preserve"> </w:t>
      </w:r>
      <w:bookmarkStart w:id="815" w:name="_Toc106037784"/>
      <w:bookmarkStart w:id="816" w:name="_Toc106201425"/>
      <w:bookmarkStart w:id="817" w:name="_Toc106201944"/>
      <w:bookmarkStart w:id="818" w:name="_Toc106202470"/>
      <w:bookmarkStart w:id="819" w:name="_Toc113344924"/>
      <w:bookmarkStart w:id="820" w:name="_Toc137460330"/>
      <w:bookmarkStart w:id="821" w:name="_Toc137460575"/>
      <w:bookmarkStart w:id="822" w:name="_Toc137460820"/>
      <w:bookmarkStart w:id="823" w:name="_Toc137461665"/>
      <w:bookmarkStart w:id="824" w:name="_Toc137471256"/>
      <w:bookmarkStart w:id="825" w:name="_Toc137471765"/>
      <w:bookmarkStart w:id="826" w:name="_Toc173222669"/>
      <w:bookmarkStart w:id="827" w:name="_Toc200375583"/>
      <w:bookmarkStart w:id="828" w:name="_Toc200376935"/>
      <w:r>
        <w:t>Accessible Units</w:t>
      </w:r>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p>
    <w:p w14:paraId="6FD8530B" w14:textId="77777777" w:rsidR="00094560" w:rsidRDefault="00094560" w:rsidP="00BA5342">
      <w:pPr>
        <w:spacing w:line="240" w:lineRule="auto"/>
        <w:rPr>
          <w:rFonts w:cs="Arial"/>
          <w:szCs w:val="20"/>
        </w:rPr>
      </w:pPr>
      <w:r w:rsidRPr="007D4947">
        <w:rPr>
          <w:rFonts w:cs="Arial"/>
          <w:szCs w:val="20"/>
        </w:rPr>
        <w:t>When an accessible unit becomes vacant, before offering such units to</w:t>
      </w:r>
      <w:r>
        <w:rPr>
          <w:rFonts w:cs="Arial"/>
          <w:szCs w:val="20"/>
        </w:rPr>
        <w:t xml:space="preserve"> </w:t>
      </w:r>
      <w:r w:rsidRPr="007D4947">
        <w:rPr>
          <w:rFonts w:cs="Arial"/>
          <w:szCs w:val="20"/>
        </w:rPr>
        <w:t>an applicant not having a disability requiring the accessibility features of the un</w:t>
      </w:r>
      <w:r>
        <w:rPr>
          <w:rFonts w:cs="Arial"/>
          <w:szCs w:val="20"/>
        </w:rPr>
        <w:t>it, HHA</w:t>
      </w:r>
      <w:r w:rsidRPr="007D4947">
        <w:rPr>
          <w:rFonts w:cs="Arial"/>
          <w:szCs w:val="20"/>
        </w:rPr>
        <w:t xml:space="preserve"> </w:t>
      </w:r>
      <w:r>
        <w:rPr>
          <w:rFonts w:cs="Arial"/>
          <w:szCs w:val="20"/>
        </w:rPr>
        <w:t>will</w:t>
      </w:r>
      <w:r w:rsidRPr="007D4947">
        <w:rPr>
          <w:rFonts w:cs="Arial"/>
          <w:szCs w:val="20"/>
        </w:rPr>
        <w:t xml:space="preserve"> offer such units</w:t>
      </w:r>
      <w:r>
        <w:rPr>
          <w:rFonts w:cs="Arial"/>
          <w:szCs w:val="20"/>
        </w:rPr>
        <w:t xml:space="preserve"> to the following applicants</w:t>
      </w:r>
      <w:r w:rsidRPr="007D4947">
        <w:rPr>
          <w:rFonts w:cs="Arial"/>
          <w:szCs w:val="20"/>
        </w:rPr>
        <w:t>:</w:t>
      </w:r>
    </w:p>
    <w:p w14:paraId="58F6C0E9" w14:textId="77777777" w:rsidR="00094560" w:rsidRPr="00904B56" w:rsidRDefault="00094560" w:rsidP="00CB52D8">
      <w:pPr>
        <w:pStyle w:val="ListParagraph"/>
        <w:numPr>
          <w:ilvl w:val="0"/>
          <w:numId w:val="31"/>
        </w:numPr>
        <w:contextualSpacing w:val="0"/>
        <w:rPr>
          <w:rFonts w:cs="Arial"/>
        </w:rPr>
      </w:pPr>
      <w:r w:rsidRPr="00904B56">
        <w:rPr>
          <w:rFonts w:cs="Arial"/>
        </w:rPr>
        <w:t>First, to a current resident of another unit of the same development, or other HHA public housing development who has a disability that requires the special features of the vacant unit and is occupying a unit not having such features; or if no such occupant exists, then</w:t>
      </w:r>
    </w:p>
    <w:p w14:paraId="0D53847D" w14:textId="77777777" w:rsidR="0071309F" w:rsidRPr="00904B56" w:rsidRDefault="00094560" w:rsidP="00CB52D8">
      <w:pPr>
        <w:pStyle w:val="ListParagraph"/>
        <w:numPr>
          <w:ilvl w:val="0"/>
          <w:numId w:val="31"/>
        </w:numPr>
        <w:contextualSpacing w:val="0"/>
        <w:rPr>
          <w:rFonts w:cs="Arial"/>
        </w:rPr>
      </w:pPr>
      <w:r w:rsidRPr="00904B56">
        <w:rPr>
          <w:rFonts w:cs="Arial"/>
        </w:rPr>
        <w:t>Second, to an eligible qualified applicant on the waiting list having a disability that requires the special features of the vacant unit.</w:t>
      </w:r>
    </w:p>
    <w:p w14:paraId="580E5AB8" w14:textId="77777777" w:rsidR="00094560" w:rsidRPr="00904B56" w:rsidRDefault="00094560" w:rsidP="00904B56">
      <w:pPr>
        <w:rPr>
          <w:rFonts w:cs="Arial"/>
        </w:rPr>
      </w:pPr>
      <w:r w:rsidRPr="00904B56">
        <w:rPr>
          <w:rFonts w:cs="Arial"/>
        </w:rPr>
        <w:t>Families requiring an accessible unit may be over-housed in such a unit if there are no resident or applicant families of the appropriate size who also require the accessible features of the unit.</w:t>
      </w:r>
    </w:p>
    <w:p w14:paraId="39BB1E3C" w14:textId="77777777" w:rsidR="00080D32" w:rsidRPr="00904B56" w:rsidRDefault="00094560" w:rsidP="00904B56">
      <w:pPr>
        <w:rPr>
          <w:rFonts w:cs="Arial"/>
        </w:rPr>
      </w:pPr>
      <w:r w:rsidRPr="00904B56">
        <w:rPr>
          <w:rFonts w:cs="Arial"/>
        </w:rPr>
        <w:t>When there are no resident or applicant families requiring the accessible features of the unit, including families who would be over-housed, HHA will offer the unit to a non-disabled applicant.</w:t>
      </w:r>
      <w:r w:rsidR="00080D32" w:rsidRPr="00904B56">
        <w:rPr>
          <w:rFonts w:cs="Arial"/>
        </w:rPr>
        <w:t xml:space="preserve"> When offering an accessible unit to an applicant not having a disability requiring the accessibility features of the unit, HHA will require the applicant to agree to move to an available non-accessible unit within 30 days when either a current resident or an applicant needs the features of the unit and there is another unit available for the non-disabled family. This requirement will be a provision of the lease agreement.</w:t>
      </w:r>
    </w:p>
    <w:p w14:paraId="5A83B205" w14:textId="77777777" w:rsidR="00D8017E" w:rsidRPr="00904B56" w:rsidRDefault="00D8017E" w:rsidP="00904B56">
      <w:pPr>
        <w:widowControl w:val="0"/>
        <w:tabs>
          <w:tab w:val="left" w:pos="881"/>
        </w:tabs>
        <w:autoSpaceDE w:val="0"/>
        <w:autoSpaceDN w:val="0"/>
      </w:pPr>
      <w:r w:rsidRPr="00904B56">
        <w:t>If an applicant household includes a member with a visual or hearing impairment, HHA will retrofit the unit to be offered to the household to make it fully accessible considering the household member’s</w:t>
      </w:r>
      <w:r w:rsidRPr="00904B56">
        <w:rPr>
          <w:spacing w:val="-4"/>
        </w:rPr>
        <w:t xml:space="preserve"> </w:t>
      </w:r>
      <w:r w:rsidRPr="00904B56">
        <w:t>disability.</w:t>
      </w:r>
    </w:p>
    <w:p w14:paraId="09515BF0" w14:textId="77777777" w:rsidR="00D8017E" w:rsidRDefault="00D8017E" w:rsidP="00094560">
      <w:pPr>
        <w:rPr>
          <w:rFonts w:cs="Arial"/>
          <w:szCs w:val="20"/>
        </w:rPr>
        <w:sectPr w:rsidR="00D8017E" w:rsidSect="00EE2233">
          <w:pgSz w:w="12240" w:h="15840"/>
          <w:pgMar w:top="1440" w:right="1440" w:bottom="1440" w:left="1440" w:header="720" w:footer="720" w:gutter="0"/>
          <w:cols w:space="720"/>
          <w:docGrid w:linePitch="360"/>
        </w:sectPr>
      </w:pPr>
    </w:p>
    <w:p w14:paraId="1140ABCE" w14:textId="77777777" w:rsidR="00D83D34" w:rsidRPr="00810C39" w:rsidRDefault="004D2A56" w:rsidP="004D2A56">
      <w:pPr>
        <w:pStyle w:val="Heading1"/>
      </w:pPr>
      <w:bookmarkStart w:id="829" w:name="_Ref165031095"/>
      <w:bookmarkStart w:id="830" w:name="_Toc173222670"/>
      <w:bookmarkStart w:id="831" w:name="_Toc200375584"/>
      <w:bookmarkStart w:id="832" w:name="_Toc200376936"/>
      <w:r w:rsidRPr="00810C39">
        <w:t>LEASING</w:t>
      </w:r>
      <w:bookmarkEnd w:id="829"/>
      <w:bookmarkEnd w:id="830"/>
      <w:bookmarkEnd w:id="831"/>
      <w:bookmarkEnd w:id="832"/>
    </w:p>
    <w:p w14:paraId="790BB85A" w14:textId="77777777" w:rsidR="00823E94" w:rsidRDefault="00823E94" w:rsidP="00BB64BD">
      <w:pPr>
        <w:pStyle w:val="Heading2"/>
      </w:pPr>
      <w:bookmarkStart w:id="833" w:name="_Toc534707014"/>
      <w:bookmarkStart w:id="834" w:name="_Toc534707692"/>
      <w:bookmarkStart w:id="835" w:name="_Toc534708500"/>
      <w:bookmarkStart w:id="836" w:name="_Toc106037882"/>
      <w:bookmarkStart w:id="837" w:name="_Toc106201521"/>
      <w:bookmarkStart w:id="838" w:name="_Toc106202040"/>
      <w:bookmarkStart w:id="839" w:name="_Toc106202566"/>
      <w:bookmarkStart w:id="840" w:name="_Toc113345020"/>
      <w:bookmarkStart w:id="841" w:name="_Toc137460381"/>
      <w:bookmarkStart w:id="842" w:name="_Toc137460626"/>
      <w:bookmarkStart w:id="843" w:name="_Toc137460871"/>
      <w:bookmarkStart w:id="844" w:name="_Toc137461760"/>
      <w:bookmarkStart w:id="845" w:name="_Toc137471351"/>
      <w:bookmarkStart w:id="846" w:name="_Toc137471860"/>
      <w:bookmarkStart w:id="847" w:name="_Toc173222671"/>
      <w:bookmarkStart w:id="848" w:name="_Toc200375585"/>
      <w:bookmarkStart w:id="849" w:name="_Toc200376937"/>
      <w:r w:rsidRPr="00122C89">
        <w:t>Overview</w:t>
      </w:r>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p>
    <w:p w14:paraId="51AC4F94" w14:textId="77777777" w:rsidR="00823E94" w:rsidRPr="00867B80" w:rsidRDefault="00823E94" w:rsidP="00823E94">
      <w:r w:rsidRPr="00867B80">
        <w:t xml:space="preserve">Public </w:t>
      </w:r>
      <w:r w:rsidR="004E5535">
        <w:t>h</w:t>
      </w:r>
      <w:r w:rsidRPr="00867B80">
        <w:t xml:space="preserve">ousing leases are the basis of the legal relationship between </w:t>
      </w:r>
      <w:r>
        <w:t>HHA</w:t>
      </w:r>
      <w:r w:rsidRPr="00867B80">
        <w:t xml:space="preserve"> and the tenant. All units must be occupied pursuant to a dwelling lease agreement.  </w:t>
      </w:r>
    </w:p>
    <w:p w14:paraId="5A75B668" w14:textId="77777777" w:rsidR="00823E94" w:rsidRDefault="00823E94" w:rsidP="00823E94">
      <w:r>
        <w:t>HHA</w:t>
      </w:r>
      <w:r w:rsidRPr="00867B80">
        <w:t xml:space="preserve"> will inspect each dwelling unit prior to move-in, at move-out, and </w:t>
      </w:r>
      <w:r w:rsidR="00CD2198">
        <w:t xml:space="preserve">at least </w:t>
      </w:r>
      <w:r w:rsidRPr="00867B80">
        <w:t xml:space="preserve">annually during occupancy. In addition, </w:t>
      </w:r>
      <w:r>
        <w:t>HHA</w:t>
      </w:r>
      <w:r w:rsidRPr="00867B80">
        <w:t xml:space="preserve"> may require additional inspections in accordance with </w:t>
      </w:r>
      <w:r>
        <w:t>H</w:t>
      </w:r>
      <w:r w:rsidRPr="00867B80">
        <w:t>HA policy.</w:t>
      </w:r>
      <w:bookmarkStart w:id="850" w:name="_Toc90029310"/>
      <w:bookmarkStart w:id="851" w:name="_Toc106037883"/>
      <w:bookmarkStart w:id="852" w:name="_Toc106201522"/>
      <w:bookmarkStart w:id="853" w:name="_Toc106202041"/>
      <w:bookmarkStart w:id="854" w:name="_Toc106202567"/>
    </w:p>
    <w:p w14:paraId="70E3A538" w14:textId="77777777" w:rsidR="00823E94" w:rsidRPr="00931E92" w:rsidRDefault="00823E94" w:rsidP="00BB64BD">
      <w:pPr>
        <w:pStyle w:val="Heading2"/>
      </w:pPr>
      <w:bookmarkStart w:id="855" w:name="_Toc113345021"/>
      <w:bookmarkStart w:id="856" w:name="_Toc137460382"/>
      <w:bookmarkStart w:id="857" w:name="_Toc137460627"/>
      <w:bookmarkStart w:id="858" w:name="_Toc137460872"/>
      <w:bookmarkStart w:id="859" w:name="_Toc137461761"/>
      <w:bookmarkStart w:id="860" w:name="_Toc137471352"/>
      <w:bookmarkStart w:id="861" w:name="_Toc137471861"/>
      <w:bookmarkStart w:id="862" w:name="_Toc173222672"/>
      <w:bookmarkStart w:id="863" w:name="_Toc200375586"/>
      <w:bookmarkStart w:id="864" w:name="_Toc200376938"/>
      <w:r w:rsidRPr="00931E92">
        <w:t>Lease Term</w:t>
      </w:r>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p>
    <w:p w14:paraId="684655B2" w14:textId="77777777" w:rsidR="00823E94" w:rsidRPr="00931E92" w:rsidRDefault="00823E94" w:rsidP="00823E94">
      <w:pPr>
        <w:tabs>
          <w:tab w:val="left" w:pos="1440"/>
          <w:tab w:val="left" w:pos="3080"/>
          <w:tab w:val="left" w:pos="4440"/>
          <w:tab w:val="left" w:pos="5720"/>
        </w:tabs>
        <w:autoSpaceDE w:val="0"/>
        <w:autoSpaceDN w:val="0"/>
        <w:adjustRightInd w:val="0"/>
        <w:ind w:right="57"/>
      </w:pPr>
      <w:r w:rsidRPr="00867B80">
        <w:rPr>
          <w:szCs w:val="20"/>
        </w:rPr>
        <w:t xml:space="preserve">The initial term of the lease </w:t>
      </w:r>
      <w:r w:rsidRPr="00685D5D">
        <w:rPr>
          <w:szCs w:val="20"/>
        </w:rPr>
        <w:t xml:space="preserve">will be for 12 months. After the initial term, the lease shall automatically renew for successive 12-month terms unless the </w:t>
      </w:r>
      <w:r w:rsidR="006C7FD4">
        <w:rPr>
          <w:szCs w:val="20"/>
        </w:rPr>
        <w:t>t</w:t>
      </w:r>
      <w:r w:rsidRPr="00685D5D">
        <w:rPr>
          <w:szCs w:val="20"/>
        </w:rPr>
        <w:t xml:space="preserve">enant and all applicable </w:t>
      </w:r>
      <w:r w:rsidR="006C7FD4">
        <w:rPr>
          <w:szCs w:val="20"/>
        </w:rPr>
        <w:t>f</w:t>
      </w:r>
      <w:r w:rsidRPr="00685D5D">
        <w:rPr>
          <w:szCs w:val="20"/>
        </w:rPr>
        <w:t xml:space="preserve">amily and </w:t>
      </w:r>
      <w:r w:rsidR="006C7FD4">
        <w:rPr>
          <w:szCs w:val="20"/>
        </w:rPr>
        <w:t>h</w:t>
      </w:r>
      <w:r w:rsidRPr="00685D5D">
        <w:rPr>
          <w:szCs w:val="20"/>
        </w:rPr>
        <w:t xml:space="preserve">ousehold </w:t>
      </w:r>
      <w:r w:rsidR="006C7FD4">
        <w:rPr>
          <w:szCs w:val="20"/>
        </w:rPr>
        <w:t>m</w:t>
      </w:r>
      <w:r w:rsidRPr="00685D5D">
        <w:rPr>
          <w:szCs w:val="20"/>
        </w:rPr>
        <w:t xml:space="preserve">embers do not fulfill the </w:t>
      </w:r>
      <w:r w:rsidR="00451B2E" w:rsidRPr="00451B2E">
        <w:rPr>
          <w:b/>
          <w:bCs/>
          <w:color w:val="0070C0"/>
          <w:szCs w:val="20"/>
        </w:rPr>
        <w:fldChar w:fldCharType="begin"/>
      </w:r>
      <w:r w:rsidR="00451B2E" w:rsidRPr="00451B2E">
        <w:rPr>
          <w:b/>
          <w:bCs/>
          <w:color w:val="0070C0"/>
          <w:szCs w:val="20"/>
        </w:rPr>
        <w:instrText xml:space="preserve"> REF _Ref151015514 \h </w:instrText>
      </w:r>
      <w:r w:rsidR="00451B2E">
        <w:rPr>
          <w:b/>
          <w:bCs/>
          <w:color w:val="0070C0"/>
          <w:szCs w:val="20"/>
        </w:rPr>
        <w:instrText xml:space="preserve"> \* MERGEFORMAT </w:instrText>
      </w:r>
      <w:r w:rsidR="00451B2E" w:rsidRPr="00451B2E">
        <w:rPr>
          <w:b/>
          <w:bCs/>
          <w:color w:val="0070C0"/>
          <w:szCs w:val="20"/>
        </w:rPr>
      </w:r>
      <w:r w:rsidR="00451B2E" w:rsidRPr="00451B2E">
        <w:rPr>
          <w:b/>
          <w:bCs/>
          <w:color w:val="0070C0"/>
          <w:szCs w:val="20"/>
        </w:rPr>
        <w:fldChar w:fldCharType="separate"/>
      </w:r>
      <w:r w:rsidR="00451B2E" w:rsidRPr="00451B2E">
        <w:rPr>
          <w:b/>
          <w:bCs/>
          <w:color w:val="0070C0"/>
        </w:rPr>
        <w:t>COMMUNITY SERVICE</w:t>
      </w:r>
      <w:r w:rsidR="00451B2E" w:rsidRPr="00451B2E">
        <w:rPr>
          <w:b/>
          <w:bCs/>
          <w:color w:val="0070C0"/>
          <w:szCs w:val="20"/>
        </w:rPr>
        <w:fldChar w:fldCharType="end"/>
      </w:r>
      <w:r w:rsidR="00451B2E">
        <w:rPr>
          <w:szCs w:val="20"/>
        </w:rPr>
        <w:t xml:space="preserve"> r</w:t>
      </w:r>
      <w:r w:rsidRPr="00685D5D">
        <w:rPr>
          <w:szCs w:val="20"/>
        </w:rPr>
        <w:t xml:space="preserve">equirements or the </w:t>
      </w:r>
      <w:r w:rsidR="006C7FD4">
        <w:rPr>
          <w:szCs w:val="20"/>
        </w:rPr>
        <w:t>l</w:t>
      </w:r>
      <w:r w:rsidRPr="00685D5D">
        <w:rPr>
          <w:szCs w:val="20"/>
        </w:rPr>
        <w:t xml:space="preserve">ease is terminated sooner by </w:t>
      </w:r>
      <w:r w:rsidR="006C7FD4">
        <w:rPr>
          <w:szCs w:val="20"/>
        </w:rPr>
        <w:t>t</w:t>
      </w:r>
      <w:r w:rsidRPr="00685D5D">
        <w:rPr>
          <w:szCs w:val="20"/>
        </w:rPr>
        <w:t xml:space="preserve">enant or by </w:t>
      </w:r>
      <w:r w:rsidR="006C7FD4">
        <w:rPr>
          <w:szCs w:val="20"/>
        </w:rPr>
        <w:t>H</w:t>
      </w:r>
      <w:r w:rsidRPr="00685D5D">
        <w:rPr>
          <w:szCs w:val="20"/>
        </w:rPr>
        <w:t xml:space="preserve">HA due to a default by </w:t>
      </w:r>
      <w:r w:rsidR="006C7FD4">
        <w:rPr>
          <w:szCs w:val="20"/>
        </w:rPr>
        <w:t>t</w:t>
      </w:r>
      <w:r w:rsidRPr="00685D5D">
        <w:rPr>
          <w:szCs w:val="20"/>
        </w:rPr>
        <w:t xml:space="preserve">enant and/or any </w:t>
      </w:r>
      <w:r w:rsidR="006C7FD4">
        <w:rPr>
          <w:szCs w:val="20"/>
        </w:rPr>
        <w:t>f</w:t>
      </w:r>
      <w:r w:rsidRPr="00685D5D">
        <w:rPr>
          <w:szCs w:val="20"/>
        </w:rPr>
        <w:t xml:space="preserve">amily or </w:t>
      </w:r>
      <w:r w:rsidR="00D839F9">
        <w:rPr>
          <w:szCs w:val="20"/>
        </w:rPr>
        <w:t>h</w:t>
      </w:r>
      <w:r w:rsidRPr="00685D5D">
        <w:rPr>
          <w:szCs w:val="20"/>
        </w:rPr>
        <w:t xml:space="preserve">ousehold </w:t>
      </w:r>
      <w:r w:rsidR="00D839F9">
        <w:rPr>
          <w:szCs w:val="20"/>
        </w:rPr>
        <w:t>m</w:t>
      </w:r>
      <w:r w:rsidRPr="00685D5D">
        <w:rPr>
          <w:szCs w:val="20"/>
        </w:rPr>
        <w:t>ember.</w:t>
      </w:r>
      <w:r w:rsidRPr="00663E4E">
        <w:rPr>
          <w:szCs w:val="20"/>
        </w:rPr>
        <w:t xml:space="preserve">  </w:t>
      </w:r>
    </w:p>
    <w:p w14:paraId="6D526D58" w14:textId="77777777" w:rsidR="00823E94" w:rsidRPr="00867B80" w:rsidRDefault="00153332" w:rsidP="00BB64BD">
      <w:pPr>
        <w:pStyle w:val="Heading2"/>
      </w:pPr>
      <w:bookmarkStart w:id="865" w:name="_Toc90029311"/>
      <w:bookmarkStart w:id="866" w:name="_Toc106037884"/>
      <w:bookmarkStart w:id="867" w:name="_Toc106201523"/>
      <w:bookmarkStart w:id="868" w:name="_Toc106202042"/>
      <w:bookmarkStart w:id="869" w:name="_Toc106202568"/>
      <w:bookmarkStart w:id="870" w:name="_Toc113345022"/>
      <w:bookmarkStart w:id="871" w:name="_Toc137460383"/>
      <w:bookmarkStart w:id="872" w:name="_Toc137460628"/>
      <w:bookmarkStart w:id="873" w:name="_Toc137460873"/>
      <w:bookmarkStart w:id="874" w:name="_Toc137461762"/>
      <w:bookmarkStart w:id="875" w:name="_Toc137471353"/>
      <w:bookmarkStart w:id="876" w:name="_Toc137471862"/>
      <w:bookmarkStart w:id="877" w:name="_Toc173222673"/>
      <w:bookmarkStart w:id="878" w:name="_Toc200375587"/>
      <w:bookmarkStart w:id="879" w:name="_Toc200376939"/>
      <w:r w:rsidRPr="00867B80">
        <w:t>Lease Orientation</w:t>
      </w:r>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p>
    <w:p w14:paraId="0E39C773" w14:textId="77777777" w:rsidR="00823E94" w:rsidRPr="00867B80" w:rsidRDefault="00823E94" w:rsidP="00904B56">
      <w:r w:rsidRPr="00867B80">
        <w:t xml:space="preserve">After unit acceptance, but prior to </w:t>
      </w:r>
      <w:r w:rsidRPr="00685D5D">
        <w:t xml:space="preserve">occupancy, an </w:t>
      </w:r>
      <w:r w:rsidR="00153332">
        <w:t>H</w:t>
      </w:r>
      <w:r w:rsidRPr="00685D5D">
        <w:t xml:space="preserve">HA representative or agent will provide a lease orientation to the family. </w:t>
      </w:r>
      <w:r w:rsidR="00D66D2C">
        <w:t>All adult family members are</w:t>
      </w:r>
      <w:r w:rsidRPr="00685D5D">
        <w:t xml:space="preserve"> required to participate. Orientation may be held in a group setting.</w:t>
      </w:r>
    </w:p>
    <w:p w14:paraId="59A551A1" w14:textId="77777777" w:rsidR="002C29EF" w:rsidRPr="00867B80" w:rsidRDefault="00DB3DE7" w:rsidP="002C29EF">
      <w:r>
        <w:t>Families</w:t>
      </w:r>
      <w:r w:rsidR="00823E94" w:rsidRPr="00867B80">
        <w:t xml:space="preserve"> attend</w:t>
      </w:r>
      <w:r>
        <w:t>ing</w:t>
      </w:r>
      <w:r w:rsidR="00823E94" w:rsidRPr="00867B80">
        <w:t xml:space="preserve"> the lease orientation</w:t>
      </w:r>
      <w:r w:rsidR="002C29EF">
        <w:t xml:space="preserve"> </w:t>
      </w:r>
      <w:r>
        <w:t>will</w:t>
      </w:r>
      <w:r w:rsidR="002C29EF">
        <w:t xml:space="preserve"> be provided with a copy of the lease and all required addenda. </w:t>
      </w:r>
    </w:p>
    <w:p w14:paraId="363978F0" w14:textId="77777777" w:rsidR="0042629E" w:rsidRPr="00685D5D" w:rsidRDefault="00904B56" w:rsidP="00BB64BD">
      <w:pPr>
        <w:pStyle w:val="Heading2"/>
      </w:pPr>
      <w:bookmarkStart w:id="880" w:name="_Toc90029312"/>
      <w:bookmarkStart w:id="881" w:name="_Toc106037885"/>
      <w:bookmarkStart w:id="882" w:name="_Toc106201524"/>
      <w:bookmarkStart w:id="883" w:name="_Toc106202043"/>
      <w:bookmarkStart w:id="884" w:name="_Toc106202569"/>
      <w:bookmarkStart w:id="885" w:name="_Toc113345023"/>
      <w:bookmarkStart w:id="886" w:name="_Toc137460384"/>
      <w:bookmarkStart w:id="887" w:name="_Toc137460629"/>
      <w:bookmarkStart w:id="888" w:name="_Toc137460874"/>
      <w:bookmarkStart w:id="889" w:name="_Toc137461763"/>
      <w:bookmarkStart w:id="890" w:name="_Toc137471354"/>
      <w:bookmarkStart w:id="891" w:name="_Toc137471863"/>
      <w:bookmarkStart w:id="892" w:name="_Toc173222674"/>
      <w:bookmarkStart w:id="893" w:name="_Toc200375588"/>
      <w:bookmarkStart w:id="894" w:name="_Toc200376940"/>
      <w:r w:rsidRPr="00685D5D">
        <w:t xml:space="preserve">Execution </w:t>
      </w:r>
      <w:r>
        <w:t>of</w:t>
      </w:r>
      <w:r w:rsidRPr="00685D5D">
        <w:t xml:space="preserve"> Lease</w:t>
      </w:r>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p>
    <w:p w14:paraId="55E154CB" w14:textId="77777777" w:rsidR="0042629E" w:rsidRPr="00685D5D" w:rsidRDefault="0042629E" w:rsidP="0042629E">
      <w:r w:rsidRPr="00685D5D">
        <w:t xml:space="preserve">The lease must be executed by the tenant and </w:t>
      </w:r>
      <w:r w:rsidR="00904B56">
        <w:t>H</w:t>
      </w:r>
      <w:r w:rsidRPr="00685D5D">
        <w:t>HA, except for automatic renewals of a lease. Lease signers must be persons legally authorized to execute contracts.</w:t>
      </w:r>
    </w:p>
    <w:p w14:paraId="407EE622" w14:textId="77777777" w:rsidR="0042629E" w:rsidRDefault="0042629E" w:rsidP="0042629E">
      <w:r w:rsidRPr="00685D5D">
        <w:t>The head of household, spouse or co-head, and all other adult members of</w:t>
      </w:r>
      <w:r w:rsidRPr="00867B80">
        <w:t xml:space="preserve"> the </w:t>
      </w:r>
      <w:r w:rsidR="00976BFC">
        <w:t>family</w:t>
      </w:r>
      <w:r w:rsidRPr="00867B80">
        <w:t xml:space="preserve"> will be required to sign the </w:t>
      </w:r>
      <w:r w:rsidR="00904B56">
        <w:t>p</w:t>
      </w:r>
      <w:r w:rsidRPr="00867B80">
        <w:t xml:space="preserve">ublic </w:t>
      </w:r>
      <w:r w:rsidR="00904B56">
        <w:t>h</w:t>
      </w:r>
      <w:r w:rsidRPr="00867B80">
        <w:t xml:space="preserve">ousing lease prior to admission. </w:t>
      </w:r>
      <w:r w:rsidRPr="009F5D43">
        <w:t xml:space="preserve">The head of household will be provided a copy of the executed lease and </w:t>
      </w:r>
      <w:r w:rsidR="00904B56">
        <w:t>HHA</w:t>
      </w:r>
      <w:r w:rsidRPr="009F5D43">
        <w:t xml:space="preserve"> will retain a copy in the resident’s file.</w:t>
      </w:r>
      <w:r>
        <w:t xml:space="preserve"> </w:t>
      </w:r>
    </w:p>
    <w:p w14:paraId="5F4F7FE4" w14:textId="77777777" w:rsidR="0042629E" w:rsidRPr="00685D5D" w:rsidRDefault="0042629E" w:rsidP="0042629E">
      <w:r w:rsidRPr="00685D5D">
        <w:t xml:space="preserve">All members of the household with the right to occupy the unit shall be listed on the lease. The lease shall specify the unit to be occupied, the effective date, rent to be charged, utilities, and other provisions as required by state and federal law, and </w:t>
      </w:r>
      <w:r w:rsidR="00904B56">
        <w:t>HHA</w:t>
      </w:r>
      <w:r w:rsidRPr="00685D5D">
        <w:t xml:space="preserve"> policy.</w:t>
      </w:r>
    </w:p>
    <w:p w14:paraId="07EA29FE" w14:textId="77777777" w:rsidR="0042629E" w:rsidRDefault="0042629E" w:rsidP="0042629E">
      <w:r w:rsidRPr="00685D5D">
        <w:t>Files for households that include a live-in aide will contain file documentation signed by the</w:t>
      </w:r>
      <w:r>
        <w:t xml:space="preserve"> live-in aide, that the live-in aide is not a party to the lease and is not entitled to </w:t>
      </w:r>
      <w:r w:rsidR="00904B56">
        <w:t>HHA</w:t>
      </w:r>
      <w:r>
        <w:t xml:space="preserve"> assistance. The live-in aide is only approved to live in the unit while serving as the attendant for the participant family member.</w:t>
      </w:r>
    </w:p>
    <w:p w14:paraId="3D59B8C9" w14:textId="77777777" w:rsidR="0042629E" w:rsidRPr="00122CF0" w:rsidRDefault="001972B8" w:rsidP="00BB64BD">
      <w:pPr>
        <w:pStyle w:val="Heading2"/>
      </w:pPr>
      <w:bookmarkStart w:id="895" w:name="_Toc90029314"/>
      <w:bookmarkStart w:id="896" w:name="_Toc106037886"/>
      <w:bookmarkStart w:id="897" w:name="_Toc106201525"/>
      <w:bookmarkStart w:id="898" w:name="_Toc106202044"/>
      <w:bookmarkStart w:id="899" w:name="_Toc106202570"/>
      <w:bookmarkStart w:id="900" w:name="_Toc113345024"/>
      <w:bookmarkStart w:id="901" w:name="_Toc137460385"/>
      <w:bookmarkStart w:id="902" w:name="_Toc137460630"/>
      <w:bookmarkStart w:id="903" w:name="_Toc137460875"/>
      <w:bookmarkStart w:id="904" w:name="_Toc137461764"/>
      <w:bookmarkStart w:id="905" w:name="_Toc137471355"/>
      <w:bookmarkStart w:id="906" w:name="_Toc137471864"/>
      <w:bookmarkStart w:id="907" w:name="_Toc173222675"/>
      <w:bookmarkStart w:id="908" w:name="_Toc200375589"/>
      <w:bookmarkStart w:id="909" w:name="_Toc200376941"/>
      <w:r w:rsidRPr="00122CF0">
        <w:t>Modifications to the Lease Form</w:t>
      </w:r>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p>
    <w:p w14:paraId="3612C3BF" w14:textId="77777777" w:rsidR="0042629E" w:rsidRPr="00122CF0" w:rsidRDefault="00904B56" w:rsidP="0042629E">
      <w:r>
        <w:t>HHA</w:t>
      </w:r>
      <w:r w:rsidR="0042629E" w:rsidRPr="00122CF0">
        <w:t xml:space="preserve"> may modify its lease from time to time. However, </w:t>
      </w:r>
      <w:r>
        <w:t>HHA</w:t>
      </w:r>
      <w:r w:rsidR="0042629E" w:rsidRPr="00122CF0">
        <w:t xml:space="preserve"> will give tenants thirty (30) days advance notice of the proposed changes and an opportunity to comment on the changes. </w:t>
      </w:r>
      <w:r>
        <w:t>HHA</w:t>
      </w:r>
      <w:r w:rsidR="0042629E" w:rsidRPr="00122CF0">
        <w:t xml:space="preserve"> will consider any comments before formally adopting the new lease.</w:t>
      </w:r>
    </w:p>
    <w:p w14:paraId="08EC503B" w14:textId="77777777" w:rsidR="0042629E" w:rsidRPr="00122CF0" w:rsidRDefault="0042629E" w:rsidP="0042629E">
      <w:r w:rsidRPr="00122CF0">
        <w:t>After proposed changes have been incorporated into the lease and approved by the Board, each family will be notified at least sixty (60) days in advance of the effective date of the new lease or lease revision.</w:t>
      </w:r>
      <w:r w:rsidR="00E450F9">
        <w:t xml:space="preserve"> </w:t>
      </w:r>
      <w:r w:rsidRPr="00122CF0">
        <w:t xml:space="preserve">The family will have thirty (30) days </w:t>
      </w:r>
      <w:r w:rsidR="009602FD" w:rsidRPr="003654FD">
        <w:t xml:space="preserve">of </w:t>
      </w:r>
      <w:r w:rsidR="003654FD" w:rsidRPr="003654FD">
        <w:t>date</w:t>
      </w:r>
      <w:r w:rsidR="009602FD" w:rsidRPr="003654FD">
        <w:t xml:space="preserve"> of the notification</w:t>
      </w:r>
      <w:r w:rsidR="00E450F9">
        <w:t xml:space="preserve"> </w:t>
      </w:r>
      <w:r w:rsidRPr="00122CF0">
        <w:t xml:space="preserve">to accept the revised lease. If the family does not accept the offer of the revised lease within that thirty (30) day timeframe, the family’s tenancy will be terminated for other good cause in accordance with the termination policies outlined in this ACOP (see </w:t>
      </w:r>
      <w:r w:rsidR="009E5348" w:rsidRPr="009E5348">
        <w:rPr>
          <w:b/>
          <w:bCs/>
          <w:color w:val="0070C0"/>
        </w:rPr>
        <w:fldChar w:fldCharType="begin"/>
      </w:r>
      <w:r w:rsidR="009E5348" w:rsidRPr="009E5348">
        <w:rPr>
          <w:b/>
          <w:bCs/>
          <w:color w:val="0070C0"/>
        </w:rPr>
        <w:instrText xml:space="preserve"> REF _Ref151015636 \h  \* MERGEFORMAT </w:instrText>
      </w:r>
      <w:r w:rsidR="009E5348" w:rsidRPr="009E5348">
        <w:rPr>
          <w:b/>
          <w:bCs/>
          <w:color w:val="0070C0"/>
        </w:rPr>
      </w:r>
      <w:r w:rsidR="009E5348" w:rsidRPr="009E5348">
        <w:rPr>
          <w:b/>
          <w:bCs/>
          <w:color w:val="0070C0"/>
        </w:rPr>
        <w:fldChar w:fldCharType="separate"/>
      </w:r>
      <w:r w:rsidR="009E5348" w:rsidRPr="009E5348">
        <w:rPr>
          <w:b/>
          <w:bCs/>
          <w:color w:val="0070C0"/>
        </w:rPr>
        <w:t>LEASE TERMINATIONS</w:t>
      </w:r>
      <w:r w:rsidR="009E5348" w:rsidRPr="009E5348">
        <w:rPr>
          <w:b/>
          <w:bCs/>
          <w:color w:val="0070C0"/>
        </w:rPr>
        <w:fldChar w:fldCharType="end"/>
      </w:r>
      <w:r w:rsidRPr="00122CF0">
        <w:t>).</w:t>
      </w:r>
    </w:p>
    <w:p w14:paraId="6CCE92BD" w14:textId="77777777" w:rsidR="0042629E" w:rsidRPr="00122CF0" w:rsidRDefault="0042629E" w:rsidP="0042629E">
      <w:r w:rsidRPr="00122CF0">
        <w:t xml:space="preserve">When </w:t>
      </w:r>
      <w:r w:rsidR="00904B56">
        <w:t>HHA</w:t>
      </w:r>
      <w:r w:rsidRPr="00122CF0">
        <w:t xml:space="preserve"> proposes to modify or revise schedules of special charges or rules and regulations, </w:t>
      </w:r>
      <w:r w:rsidR="00904B56">
        <w:t>HHA</w:t>
      </w:r>
      <w:r w:rsidRPr="00122CF0">
        <w:t xml:space="preserve"> will post a copy of the notice in the central office, and will </w:t>
      </w:r>
      <w:r w:rsidR="00A81134">
        <w:t xml:space="preserve">distribute </w:t>
      </w:r>
      <w:r w:rsidRPr="00122CF0">
        <w:t>a copy of the notice to each tenant family. Documentation of proper notice will be included in each tenant file.</w:t>
      </w:r>
    </w:p>
    <w:p w14:paraId="4BE05C6A" w14:textId="77777777" w:rsidR="0042629E" w:rsidRPr="00867B80" w:rsidRDefault="001972B8" w:rsidP="00BB64BD">
      <w:pPr>
        <w:pStyle w:val="Heading2"/>
      </w:pPr>
      <w:bookmarkStart w:id="910" w:name="_Toc90029313"/>
      <w:bookmarkStart w:id="911" w:name="_Toc106037887"/>
      <w:bookmarkStart w:id="912" w:name="_Toc106201526"/>
      <w:bookmarkStart w:id="913" w:name="_Toc106202045"/>
      <w:bookmarkStart w:id="914" w:name="_Toc106202571"/>
      <w:bookmarkStart w:id="915" w:name="_Toc113345025"/>
      <w:bookmarkStart w:id="916" w:name="_Toc137460386"/>
      <w:bookmarkStart w:id="917" w:name="_Toc137460631"/>
      <w:bookmarkStart w:id="918" w:name="_Toc137460876"/>
      <w:bookmarkStart w:id="919" w:name="_Toc137461765"/>
      <w:bookmarkStart w:id="920" w:name="_Toc137471356"/>
      <w:bookmarkStart w:id="921" w:name="_Toc137471865"/>
      <w:bookmarkStart w:id="922" w:name="_Toc173222676"/>
      <w:bookmarkStart w:id="923" w:name="_Toc200375590"/>
      <w:bookmarkStart w:id="924" w:name="_Toc200376942"/>
      <w:r>
        <w:t xml:space="preserve">Other </w:t>
      </w:r>
      <w:r w:rsidRPr="00867B80">
        <w:t>Modifications to the Lease</w:t>
      </w:r>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p>
    <w:p w14:paraId="79461CCE" w14:textId="77777777" w:rsidR="0042629E" w:rsidRPr="00122CF0" w:rsidRDefault="0042629E" w:rsidP="0042629E">
      <w:pPr>
        <w:ind w:right="86"/>
        <w:rPr>
          <w:rFonts w:eastAsia="Arial" w:cs="Arial"/>
          <w:szCs w:val="20"/>
        </w:rPr>
      </w:pPr>
      <w:r w:rsidRPr="00122CF0">
        <w:rPr>
          <w:rFonts w:eastAsia="Arial" w:cs="Arial"/>
          <w:szCs w:val="20"/>
        </w:rPr>
        <w:t>The lease will be amended to reflect all changes in family composition.</w:t>
      </w:r>
    </w:p>
    <w:p w14:paraId="11CC03EC" w14:textId="77777777" w:rsidR="0042629E" w:rsidRPr="00122CF0" w:rsidRDefault="0042629E" w:rsidP="0042629E">
      <w:pPr>
        <w:ind w:right="86"/>
        <w:rPr>
          <w:rFonts w:eastAsia="Arial" w:cs="Arial"/>
          <w:szCs w:val="20"/>
        </w:rPr>
      </w:pPr>
      <w:r w:rsidRPr="00122CF0">
        <w:rPr>
          <w:rFonts w:eastAsia="Arial" w:cs="Arial"/>
          <w:szCs w:val="20"/>
        </w:rPr>
        <w:t xml:space="preserve">If, for any reason, any member of the household ceases to reside in the unit, the lease will be amended to reflect the removal of the household member. </w:t>
      </w:r>
    </w:p>
    <w:p w14:paraId="5ABF3C97" w14:textId="77777777" w:rsidR="0042629E" w:rsidRPr="00C054FD" w:rsidRDefault="0042629E" w:rsidP="00C054FD">
      <w:pPr>
        <w:ind w:right="86"/>
        <w:rPr>
          <w:rFonts w:eastAsia="Arial" w:cs="Arial"/>
        </w:rPr>
      </w:pPr>
      <w:r w:rsidRPr="00C054FD">
        <w:rPr>
          <w:rFonts w:eastAsia="Arial" w:cs="Arial"/>
        </w:rPr>
        <w:t xml:space="preserve">The head of household and co-head may not remove one another’s name from the lease without mutual consent. The head of household and/or co-head may add or remove other family members from the lease. See </w:t>
      </w:r>
      <w:r w:rsidRPr="00F27B4D">
        <w:rPr>
          <w:rFonts w:eastAsia="Arial" w:cs="Arial"/>
          <w:b/>
          <w:bCs/>
          <w:color w:val="0070C0"/>
        </w:rPr>
        <w:fldChar w:fldCharType="begin"/>
      </w:r>
      <w:r w:rsidRPr="00F27B4D">
        <w:rPr>
          <w:rFonts w:eastAsia="Arial" w:cs="Arial"/>
          <w:b/>
          <w:bCs/>
          <w:color w:val="0070C0"/>
        </w:rPr>
        <w:instrText xml:space="preserve"> REF _Ref106182961 \h  \* MERGEFORMAT </w:instrText>
      </w:r>
      <w:r w:rsidRPr="00F27B4D">
        <w:rPr>
          <w:rFonts w:eastAsia="Arial" w:cs="Arial"/>
          <w:b/>
          <w:bCs/>
          <w:color w:val="0070C0"/>
        </w:rPr>
      </w:r>
      <w:r w:rsidRPr="00F27B4D">
        <w:rPr>
          <w:rFonts w:eastAsia="Arial" w:cs="Arial"/>
          <w:b/>
          <w:bCs/>
          <w:color w:val="0070C0"/>
        </w:rPr>
        <w:fldChar w:fldCharType="separate"/>
      </w:r>
      <w:r w:rsidR="00F27B4D" w:rsidRPr="00F27B4D">
        <w:rPr>
          <w:b/>
          <w:bCs/>
          <w:color w:val="0070C0"/>
        </w:rPr>
        <w:fldChar w:fldCharType="begin"/>
      </w:r>
      <w:r w:rsidR="00F27B4D" w:rsidRPr="00F27B4D">
        <w:rPr>
          <w:b/>
          <w:bCs/>
          <w:color w:val="0070C0"/>
        </w:rPr>
        <w:instrText xml:space="preserve"> REF _Ref144993796 \h  \* MERGEFORMAT </w:instrText>
      </w:r>
      <w:r w:rsidR="00F27B4D" w:rsidRPr="00F27B4D">
        <w:rPr>
          <w:b/>
          <w:bCs/>
          <w:color w:val="0070C0"/>
        </w:rPr>
      </w:r>
      <w:r w:rsidR="00F27B4D" w:rsidRPr="00F27B4D">
        <w:rPr>
          <w:b/>
          <w:bCs/>
          <w:color w:val="0070C0"/>
        </w:rPr>
        <w:fldChar w:fldCharType="separate"/>
      </w:r>
      <w:r w:rsidR="00F27B4D" w:rsidRPr="00F27B4D">
        <w:rPr>
          <w:b/>
          <w:bCs/>
          <w:color w:val="0070C0"/>
        </w:rPr>
        <w:t>APPENDIX C: VIOLENCE AGAINST WOMEN ACT (VAWA) POLICY</w:t>
      </w:r>
      <w:r w:rsidR="00F27B4D" w:rsidRPr="00F27B4D">
        <w:rPr>
          <w:b/>
          <w:bCs/>
          <w:color w:val="0070C0"/>
        </w:rPr>
        <w:fldChar w:fldCharType="end"/>
      </w:r>
      <w:r w:rsidRPr="00F27B4D">
        <w:rPr>
          <w:rFonts w:eastAsia="Arial" w:cs="Arial"/>
          <w:b/>
          <w:bCs/>
          <w:color w:val="0070C0"/>
        </w:rPr>
        <w:fldChar w:fldCharType="end"/>
      </w:r>
      <w:r w:rsidRPr="00C054FD">
        <w:rPr>
          <w:rFonts w:eastAsia="Arial" w:cs="Arial"/>
        </w:rPr>
        <w:t xml:space="preserve"> policies for VAWA exceptions to this policy.</w:t>
      </w:r>
    </w:p>
    <w:p w14:paraId="75844E1C" w14:textId="77777777" w:rsidR="0042629E" w:rsidRPr="00C054FD" w:rsidRDefault="0042629E" w:rsidP="00C054FD">
      <w:pPr>
        <w:ind w:right="88"/>
        <w:rPr>
          <w:rFonts w:eastAsia="Arial" w:cs="Arial"/>
        </w:rPr>
      </w:pPr>
      <w:r w:rsidRPr="00C054FD">
        <w:rPr>
          <w:rFonts w:eastAsia="Arial" w:cs="Arial"/>
        </w:rPr>
        <w:t xml:space="preserve">If a new household member is approved by </w:t>
      </w:r>
      <w:r w:rsidR="00904B56" w:rsidRPr="00C054FD">
        <w:rPr>
          <w:rFonts w:eastAsia="Arial" w:cs="Arial"/>
        </w:rPr>
        <w:t>HHA</w:t>
      </w:r>
      <w:r w:rsidRPr="00C054FD">
        <w:rPr>
          <w:rFonts w:eastAsia="Arial" w:cs="Arial"/>
        </w:rPr>
        <w:t xml:space="preserve"> to reside in the unit, the lease will be modified to reflect the addition of the new household member. The head of household, co-head and </w:t>
      </w:r>
      <w:r w:rsidR="00904B56" w:rsidRPr="00C054FD">
        <w:rPr>
          <w:rFonts w:eastAsia="Arial" w:cs="Arial"/>
        </w:rPr>
        <w:t>HHA</w:t>
      </w:r>
      <w:r w:rsidRPr="00C054FD">
        <w:rPr>
          <w:rFonts w:eastAsia="Arial" w:cs="Arial"/>
        </w:rPr>
        <w:t xml:space="preserve"> will be required to initial and date the change.</w:t>
      </w:r>
    </w:p>
    <w:p w14:paraId="6FB57F88" w14:textId="77777777" w:rsidR="0042629E" w:rsidRPr="00C054FD" w:rsidRDefault="0042629E" w:rsidP="00C054FD">
      <w:pPr>
        <w:ind w:right="89"/>
        <w:rPr>
          <w:rFonts w:eastAsia="Arial" w:cs="Arial"/>
        </w:rPr>
      </w:pPr>
      <w:r w:rsidRPr="00C054FD">
        <w:rPr>
          <w:rFonts w:eastAsia="Arial" w:cs="Arial"/>
        </w:rPr>
        <w:t>If at any time during the term of the lease agreement, a change in the tenant’s status results in the need for changing or amending any provision of the lease, either:</w:t>
      </w:r>
    </w:p>
    <w:p w14:paraId="20EA6BE2" w14:textId="77777777" w:rsidR="0042629E" w:rsidRPr="00C054FD" w:rsidRDefault="0042629E" w:rsidP="007F177E">
      <w:pPr>
        <w:widowControl w:val="0"/>
        <w:numPr>
          <w:ilvl w:val="0"/>
          <w:numId w:val="242"/>
        </w:numPr>
        <w:tabs>
          <w:tab w:val="clear" w:pos="360"/>
        </w:tabs>
        <w:ind w:left="720"/>
        <w:rPr>
          <w:rFonts w:eastAsia="Arial" w:cs="Arial"/>
        </w:rPr>
      </w:pPr>
      <w:r w:rsidRPr="00C054FD">
        <w:rPr>
          <w:rFonts w:eastAsia="Arial" w:cs="Arial"/>
        </w:rPr>
        <w:t>A new lease agreement will be executed, or</w:t>
      </w:r>
    </w:p>
    <w:p w14:paraId="5C399118" w14:textId="77777777" w:rsidR="0042629E" w:rsidRPr="00C054FD" w:rsidRDefault="00904B56" w:rsidP="007F177E">
      <w:pPr>
        <w:widowControl w:val="0"/>
        <w:numPr>
          <w:ilvl w:val="0"/>
          <w:numId w:val="242"/>
        </w:numPr>
        <w:tabs>
          <w:tab w:val="clear" w:pos="360"/>
        </w:tabs>
        <w:ind w:left="720"/>
        <w:rPr>
          <w:rFonts w:eastAsia="Arial" w:cs="Arial"/>
        </w:rPr>
      </w:pPr>
      <w:r w:rsidRPr="00C054FD">
        <w:rPr>
          <w:rFonts w:eastAsia="Arial" w:cs="Arial"/>
        </w:rPr>
        <w:t>HHA</w:t>
      </w:r>
      <w:r w:rsidR="0042629E" w:rsidRPr="00C054FD">
        <w:rPr>
          <w:rFonts w:eastAsia="Arial" w:cs="Arial"/>
        </w:rPr>
        <w:t xml:space="preserve"> will execute a Notice of Rent Adjustment, or</w:t>
      </w:r>
    </w:p>
    <w:p w14:paraId="27803750" w14:textId="77777777" w:rsidR="0042629E" w:rsidRPr="00C054FD" w:rsidRDefault="0042629E" w:rsidP="007F177E">
      <w:pPr>
        <w:widowControl w:val="0"/>
        <w:numPr>
          <w:ilvl w:val="0"/>
          <w:numId w:val="242"/>
        </w:numPr>
        <w:tabs>
          <w:tab w:val="clear" w:pos="360"/>
        </w:tabs>
        <w:ind w:left="720" w:right="-90"/>
        <w:rPr>
          <w:rFonts w:eastAsia="Arial" w:cs="Arial"/>
        </w:rPr>
      </w:pPr>
      <w:r w:rsidRPr="00C054FD">
        <w:rPr>
          <w:rFonts w:eastAsia="Arial" w:cs="Arial"/>
        </w:rPr>
        <w:t>An appropriate rider or insertions will be prepared and made a part of the existing lease.</w:t>
      </w:r>
    </w:p>
    <w:p w14:paraId="7CD6B99F" w14:textId="77777777" w:rsidR="0042629E" w:rsidRPr="00C054FD" w:rsidRDefault="0042629E" w:rsidP="00C054FD">
      <w:pPr>
        <w:ind w:right="90"/>
        <w:rPr>
          <w:rFonts w:eastAsia="Arial" w:cs="Arial"/>
        </w:rPr>
      </w:pPr>
      <w:r w:rsidRPr="00C054FD">
        <w:rPr>
          <w:rFonts w:eastAsia="Arial" w:cs="Arial"/>
        </w:rPr>
        <w:t xml:space="preserve">All copies of such riders or insertions are to be dated and signed by </w:t>
      </w:r>
      <w:r w:rsidR="00D66D2C">
        <w:rPr>
          <w:rFonts w:eastAsia="Arial" w:cs="Arial"/>
        </w:rPr>
        <w:t>all adult family members</w:t>
      </w:r>
      <w:r w:rsidRPr="00C054FD">
        <w:rPr>
          <w:rFonts w:eastAsia="Arial" w:cs="Arial"/>
        </w:rPr>
        <w:t xml:space="preserve"> and the authorized representative of </w:t>
      </w:r>
      <w:r w:rsidR="00904B56" w:rsidRPr="00C054FD">
        <w:rPr>
          <w:rFonts w:eastAsia="Arial" w:cs="Arial"/>
        </w:rPr>
        <w:t>HHA</w:t>
      </w:r>
      <w:r w:rsidRPr="00C054FD">
        <w:rPr>
          <w:rFonts w:eastAsia="Arial" w:cs="Arial"/>
        </w:rPr>
        <w:t>.</w:t>
      </w:r>
    </w:p>
    <w:p w14:paraId="549C067E" w14:textId="77777777" w:rsidR="0042629E" w:rsidRPr="00C054FD" w:rsidRDefault="0042629E" w:rsidP="00C054FD">
      <w:pPr>
        <w:ind w:right="87"/>
        <w:rPr>
          <w:rFonts w:eastAsia="Arial" w:cs="Arial"/>
        </w:rPr>
      </w:pPr>
      <w:r w:rsidRPr="00C054FD">
        <w:rPr>
          <w:rFonts w:eastAsia="Arial" w:cs="Arial"/>
        </w:rPr>
        <w:t>If a tenant transfers from one unit to another, a new lease will be executed for the dwelling unit to which the tenant moves.</w:t>
      </w:r>
    </w:p>
    <w:p w14:paraId="00B1E1D3" w14:textId="77777777" w:rsidR="0042629E" w:rsidRPr="00C054FD" w:rsidRDefault="0042629E" w:rsidP="00C054FD">
      <w:pPr>
        <w:ind w:right="89"/>
        <w:rPr>
          <w:rFonts w:eastAsia="Arial" w:cs="Arial"/>
        </w:rPr>
      </w:pPr>
      <w:r w:rsidRPr="00C054FD">
        <w:rPr>
          <w:rFonts w:eastAsia="Arial" w:cs="Arial"/>
        </w:rPr>
        <w:t>Policies governing when and how changes in family composition must be reported can be found at</w:t>
      </w:r>
      <w:r w:rsidR="00F50718">
        <w:rPr>
          <w:rFonts w:eastAsia="Arial" w:cs="Arial"/>
        </w:rPr>
        <w:t xml:space="preserve"> </w:t>
      </w:r>
      <w:r w:rsidR="00F50718" w:rsidRPr="00EA49D0">
        <w:rPr>
          <w:rFonts w:eastAsia="Arial" w:cs="Arial"/>
          <w:b/>
          <w:bCs/>
          <w:color w:val="0070C0"/>
        </w:rPr>
        <w:fldChar w:fldCharType="begin"/>
      </w:r>
      <w:r w:rsidR="00F50718" w:rsidRPr="00EA49D0">
        <w:rPr>
          <w:rFonts w:eastAsia="Arial" w:cs="Arial"/>
          <w:b/>
          <w:bCs/>
          <w:color w:val="0070C0"/>
        </w:rPr>
        <w:instrText xml:space="preserve"> REF _Ref151015731 \h </w:instrText>
      </w:r>
      <w:r w:rsidR="00EA49D0">
        <w:rPr>
          <w:rFonts w:eastAsia="Arial" w:cs="Arial"/>
          <w:b/>
          <w:bCs/>
          <w:color w:val="0070C0"/>
        </w:rPr>
        <w:instrText xml:space="preserve"> \* MERGEFORMAT </w:instrText>
      </w:r>
      <w:r w:rsidR="00F50718" w:rsidRPr="00EA49D0">
        <w:rPr>
          <w:rFonts w:eastAsia="Arial" w:cs="Arial"/>
          <w:b/>
          <w:bCs/>
          <w:color w:val="0070C0"/>
        </w:rPr>
      </w:r>
      <w:r w:rsidR="00F50718" w:rsidRPr="00EA49D0">
        <w:rPr>
          <w:rFonts w:eastAsia="Arial" w:cs="Arial"/>
          <w:b/>
          <w:bCs/>
          <w:color w:val="0070C0"/>
        </w:rPr>
        <w:fldChar w:fldCharType="separate"/>
      </w:r>
      <w:r w:rsidR="00F50718" w:rsidRPr="00EA49D0">
        <w:rPr>
          <w:b/>
          <w:bCs/>
          <w:color w:val="0070C0"/>
        </w:rPr>
        <w:t>Changes in Family and Household Composition</w:t>
      </w:r>
      <w:r w:rsidR="00F50718" w:rsidRPr="00EA49D0">
        <w:rPr>
          <w:rFonts w:eastAsia="Arial" w:cs="Arial"/>
          <w:b/>
          <w:bCs/>
          <w:color w:val="0070C0"/>
        </w:rPr>
        <w:fldChar w:fldCharType="end"/>
      </w:r>
      <w:r w:rsidR="00F50718">
        <w:rPr>
          <w:rFonts w:eastAsia="Arial" w:cs="Arial"/>
        </w:rPr>
        <w:t xml:space="preserve"> in the </w:t>
      </w:r>
      <w:r w:rsidR="00EA49D0" w:rsidRPr="00EA49D0">
        <w:rPr>
          <w:rFonts w:eastAsia="Arial" w:cs="Arial"/>
          <w:b/>
          <w:bCs/>
          <w:color w:val="0070C0"/>
        </w:rPr>
        <w:fldChar w:fldCharType="begin"/>
      </w:r>
      <w:r w:rsidR="00EA49D0" w:rsidRPr="00EA49D0">
        <w:rPr>
          <w:rFonts w:eastAsia="Arial" w:cs="Arial"/>
          <w:b/>
          <w:bCs/>
          <w:color w:val="0070C0"/>
        </w:rPr>
        <w:instrText xml:space="preserve"> REF _Ref151015710 \h </w:instrText>
      </w:r>
      <w:r w:rsidR="00EA49D0">
        <w:rPr>
          <w:rFonts w:eastAsia="Arial" w:cs="Arial"/>
          <w:b/>
          <w:bCs/>
          <w:color w:val="0070C0"/>
        </w:rPr>
        <w:instrText xml:space="preserve"> \* MERGEFORMAT </w:instrText>
      </w:r>
      <w:r w:rsidR="00EA49D0" w:rsidRPr="00EA49D0">
        <w:rPr>
          <w:rFonts w:eastAsia="Arial" w:cs="Arial"/>
          <w:b/>
          <w:bCs/>
          <w:color w:val="0070C0"/>
        </w:rPr>
      </w:r>
      <w:r w:rsidR="00EA49D0" w:rsidRPr="00EA49D0">
        <w:rPr>
          <w:rFonts w:eastAsia="Arial" w:cs="Arial"/>
          <w:b/>
          <w:bCs/>
          <w:color w:val="0070C0"/>
        </w:rPr>
        <w:fldChar w:fldCharType="separate"/>
      </w:r>
      <w:r w:rsidR="00EA49D0" w:rsidRPr="00EA49D0">
        <w:rPr>
          <w:b/>
          <w:bCs/>
          <w:color w:val="0070C0"/>
        </w:rPr>
        <w:t>REEXAMINATIONS AND CONTINUED OCCUPANCY</w:t>
      </w:r>
      <w:r w:rsidR="00EA49D0" w:rsidRPr="00EA49D0">
        <w:rPr>
          <w:rFonts w:eastAsia="Arial" w:cs="Arial"/>
          <w:b/>
          <w:bCs/>
          <w:color w:val="0070C0"/>
        </w:rPr>
        <w:fldChar w:fldCharType="end"/>
      </w:r>
      <w:r w:rsidRPr="00C054FD">
        <w:rPr>
          <w:rFonts w:eastAsia="Arial" w:cs="Arial"/>
        </w:rPr>
        <w:t xml:space="preserve"> </w:t>
      </w:r>
      <w:r w:rsidR="00EA49D0">
        <w:rPr>
          <w:rFonts w:eastAsia="Arial" w:cs="Arial"/>
        </w:rPr>
        <w:t>chapter.</w:t>
      </w:r>
    </w:p>
    <w:p w14:paraId="43310B28" w14:textId="77777777" w:rsidR="0042629E" w:rsidRPr="00685D5D" w:rsidRDefault="00C054FD" w:rsidP="00BB64BD">
      <w:pPr>
        <w:pStyle w:val="Heading2"/>
      </w:pPr>
      <w:bookmarkStart w:id="925" w:name="_Ref433798466"/>
      <w:bookmarkStart w:id="926" w:name="_Ref433798473"/>
      <w:bookmarkStart w:id="927" w:name="_Toc90029315"/>
      <w:bookmarkStart w:id="928" w:name="_Toc106037888"/>
      <w:bookmarkStart w:id="929" w:name="_Toc106201527"/>
      <w:bookmarkStart w:id="930" w:name="_Toc106202046"/>
      <w:bookmarkStart w:id="931" w:name="_Toc106202572"/>
      <w:bookmarkStart w:id="932" w:name="_Toc113345026"/>
      <w:bookmarkStart w:id="933" w:name="_Toc137460387"/>
      <w:bookmarkStart w:id="934" w:name="_Toc137460632"/>
      <w:bookmarkStart w:id="935" w:name="_Toc137460877"/>
      <w:bookmarkStart w:id="936" w:name="_Toc137461766"/>
      <w:bookmarkStart w:id="937" w:name="_Toc137471357"/>
      <w:bookmarkStart w:id="938" w:name="_Toc137471866"/>
      <w:bookmarkStart w:id="939" w:name="_Toc173222677"/>
      <w:bookmarkStart w:id="940" w:name="_Toc200375591"/>
      <w:bookmarkStart w:id="941" w:name="_Toc200376943"/>
      <w:r w:rsidRPr="00685D5D">
        <w:t>Security Deposits</w:t>
      </w:r>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p>
    <w:p w14:paraId="4B85DD84" w14:textId="77777777" w:rsidR="0042629E" w:rsidRPr="008F7322" w:rsidRDefault="0042629E" w:rsidP="008F7322">
      <w:pPr>
        <w:ind w:right="87"/>
        <w:rPr>
          <w:rFonts w:eastAsia="Arial" w:cs="Arial"/>
        </w:rPr>
      </w:pPr>
      <w:r w:rsidRPr="008F7322">
        <w:rPr>
          <w:rFonts w:eastAsia="Arial" w:cs="Arial"/>
        </w:rPr>
        <w:t xml:space="preserve">Residents must pay a security deposit to </w:t>
      </w:r>
      <w:r w:rsidR="00904B56" w:rsidRPr="008F7322">
        <w:rPr>
          <w:rFonts w:eastAsia="Arial" w:cs="Arial"/>
        </w:rPr>
        <w:t>HHA</w:t>
      </w:r>
      <w:r w:rsidRPr="008F7322">
        <w:rPr>
          <w:rFonts w:eastAsia="Arial" w:cs="Arial"/>
        </w:rPr>
        <w:t xml:space="preserve"> at the time of admission. </w:t>
      </w:r>
      <w:r w:rsidR="008F7322" w:rsidRPr="008F7322">
        <w:rPr>
          <w:rFonts w:eastAsia="Arial" w:cs="Arial"/>
        </w:rPr>
        <w:t>The security deposit for</w:t>
      </w:r>
      <w:r w:rsidR="00116A47">
        <w:rPr>
          <w:rFonts w:eastAsia="Arial" w:cs="Arial"/>
        </w:rPr>
        <w:t xml:space="preserve"> each family will be the</w:t>
      </w:r>
      <w:r w:rsidR="006A05C7">
        <w:rPr>
          <w:rFonts w:eastAsia="Arial" w:cs="Arial"/>
        </w:rPr>
        <w:t xml:space="preserve"> greater of the family’s</w:t>
      </w:r>
      <w:r w:rsidR="00116A47">
        <w:rPr>
          <w:rFonts w:eastAsia="Arial" w:cs="Arial"/>
        </w:rPr>
        <w:t xml:space="preserve"> portion of ren</w:t>
      </w:r>
      <w:r w:rsidR="006A05C7">
        <w:rPr>
          <w:rFonts w:eastAsia="Arial" w:cs="Arial"/>
        </w:rPr>
        <w:t>t at initial lease up or the minimum rent of $50.</w:t>
      </w:r>
      <w:r w:rsidR="008F7322" w:rsidRPr="008F7322">
        <w:rPr>
          <w:rFonts w:eastAsia="Arial" w:cs="Arial"/>
        </w:rPr>
        <w:t xml:space="preserve"> For all current residents, the amount of security deposit already paid will not be increased while the resident lives at any HHA property (including situations in which a household is transferred from one property to another). </w:t>
      </w:r>
      <w:r w:rsidR="002517C2">
        <w:rPr>
          <w:rFonts w:eastAsia="Arial" w:cs="Arial"/>
        </w:rPr>
        <w:t xml:space="preserve">The security deposit </w:t>
      </w:r>
      <w:r w:rsidRPr="008F7322">
        <w:rPr>
          <w:rFonts w:eastAsia="Arial" w:cs="Arial"/>
        </w:rPr>
        <w:t>must be paid in full prior to occupancy, except as noted below.</w:t>
      </w:r>
    </w:p>
    <w:p w14:paraId="698FEA0A" w14:textId="77777777" w:rsidR="0042629E" w:rsidRPr="00236DDA" w:rsidRDefault="00904B56" w:rsidP="0042629E">
      <w:r>
        <w:t>HHA</w:t>
      </w:r>
      <w:r w:rsidR="0042629E" w:rsidRPr="00364288">
        <w:t xml:space="preserve"> may permit installment payments of security deposits. </w:t>
      </w:r>
      <w:r w:rsidR="00832124">
        <w:t>Payments may be made in</w:t>
      </w:r>
      <w:r w:rsidR="008F3BEB">
        <w:t xml:space="preserve"> up to</w:t>
      </w:r>
      <w:r w:rsidR="00832124">
        <w:t xml:space="preserve"> </w:t>
      </w:r>
      <w:r w:rsidR="008F3BEB">
        <w:t xml:space="preserve">three </w:t>
      </w:r>
      <w:r w:rsidR="00C44EBA">
        <w:t>monthly</w:t>
      </w:r>
      <w:r w:rsidR="00832124">
        <w:t xml:space="preserve"> installments</w:t>
      </w:r>
      <w:r w:rsidR="00351244">
        <w:t xml:space="preserve"> so that the full security deposit amount is paid within 90 days of the lease </w:t>
      </w:r>
      <w:r w:rsidR="00814224">
        <w:t xml:space="preserve">start </w:t>
      </w:r>
      <w:r w:rsidR="00351244">
        <w:t>date.</w:t>
      </w:r>
    </w:p>
    <w:p w14:paraId="511280B6" w14:textId="77777777" w:rsidR="0042629E" w:rsidRPr="00364288" w:rsidRDefault="00904B56" w:rsidP="0042629E">
      <w:r>
        <w:t>HHA</w:t>
      </w:r>
      <w:r w:rsidR="0042629E" w:rsidRPr="00364288">
        <w:t xml:space="preserve"> will hold the security deposit for the period the family occupies the unit. </w:t>
      </w:r>
      <w:r>
        <w:t>HHA</w:t>
      </w:r>
      <w:r w:rsidR="0042629E" w:rsidRPr="00364288">
        <w:t xml:space="preserve"> will not use the security deposit for rent or other charges while the tenant is living in the unit.</w:t>
      </w:r>
    </w:p>
    <w:p w14:paraId="4DE0A25A" w14:textId="77777777" w:rsidR="0042629E" w:rsidRPr="00364288" w:rsidRDefault="0042629E" w:rsidP="002517C2">
      <w:r w:rsidRPr="00364288">
        <w:t>Within thirty (30) days of move-out</w:t>
      </w:r>
      <w:r w:rsidR="001D112D">
        <w:t xml:space="preserve"> or notification of th</w:t>
      </w:r>
      <w:r w:rsidR="0077320F">
        <w:t>e family’s new address (whichever is later)</w:t>
      </w:r>
      <w:r w:rsidRPr="00364288">
        <w:t xml:space="preserve">, </w:t>
      </w:r>
      <w:r w:rsidR="00904B56">
        <w:t>HHA</w:t>
      </w:r>
      <w:r w:rsidRPr="00364288">
        <w:t xml:space="preserve"> will refund to the tenant the amount of the security deposit</w:t>
      </w:r>
      <w:r>
        <w:t xml:space="preserve"> </w:t>
      </w:r>
      <w:r w:rsidRPr="00364288">
        <w:t>(including any interest earned on the security deposit) less any amount needed to pay the cost of:</w:t>
      </w:r>
    </w:p>
    <w:p w14:paraId="3DC1478A" w14:textId="77777777" w:rsidR="0042629E" w:rsidRPr="00364288" w:rsidRDefault="0042629E" w:rsidP="007F177E">
      <w:pPr>
        <w:widowControl w:val="0"/>
        <w:numPr>
          <w:ilvl w:val="0"/>
          <w:numId w:val="243"/>
        </w:numPr>
      </w:pPr>
      <w:r w:rsidRPr="00364288">
        <w:t>Unpaid rent;</w:t>
      </w:r>
    </w:p>
    <w:p w14:paraId="3AE241BD" w14:textId="77777777" w:rsidR="0042629E" w:rsidRPr="00364288" w:rsidRDefault="0042629E" w:rsidP="007F177E">
      <w:pPr>
        <w:widowControl w:val="0"/>
        <w:numPr>
          <w:ilvl w:val="0"/>
          <w:numId w:val="243"/>
        </w:numPr>
      </w:pPr>
      <w:r w:rsidRPr="00364288">
        <w:t>Damages listed on the move-out inspection report that exceed normal wear and tear; and</w:t>
      </w:r>
    </w:p>
    <w:p w14:paraId="1500C9E0" w14:textId="77777777" w:rsidR="0042629E" w:rsidRPr="00364288" w:rsidRDefault="0042629E" w:rsidP="007F177E">
      <w:pPr>
        <w:widowControl w:val="0"/>
        <w:numPr>
          <w:ilvl w:val="0"/>
          <w:numId w:val="243"/>
        </w:numPr>
      </w:pPr>
      <w:r w:rsidRPr="00364288">
        <w:t>Other charges due under the lease.</w:t>
      </w:r>
    </w:p>
    <w:p w14:paraId="5A4D6486" w14:textId="77777777" w:rsidR="0042629E" w:rsidRPr="00364288" w:rsidRDefault="00904B56" w:rsidP="002517C2">
      <w:r>
        <w:t>HHA</w:t>
      </w:r>
      <w:r w:rsidR="0042629E" w:rsidRPr="00364288">
        <w:t xml:space="preserve"> will provide the tenant or resident’s designee with a written list of any charges against the security deposit </w:t>
      </w:r>
      <w:r w:rsidR="0042629E" w:rsidRPr="00DA161E">
        <w:t>within 1</w:t>
      </w:r>
      <w:r w:rsidR="00DA161E" w:rsidRPr="00DA161E">
        <w:t>5</w:t>
      </w:r>
      <w:r w:rsidR="0042629E" w:rsidRPr="00DA161E">
        <w:t xml:space="preserve"> </w:t>
      </w:r>
      <w:r w:rsidR="005B2AAB" w:rsidRPr="00DA161E">
        <w:t>calendar</w:t>
      </w:r>
      <w:r w:rsidR="0042629E" w:rsidRPr="00DA161E">
        <w:t xml:space="preserve"> days</w:t>
      </w:r>
      <w:r w:rsidR="0042629E" w:rsidRPr="00364288">
        <w:t xml:space="preserve"> of the move-out inspection. If the resident disagrees with the amount charged, </w:t>
      </w:r>
      <w:r>
        <w:t>HHA</w:t>
      </w:r>
      <w:r w:rsidR="0042629E" w:rsidRPr="00364288">
        <w:t xml:space="preserve"> will provide a meeting to discuss the charges.</w:t>
      </w:r>
    </w:p>
    <w:p w14:paraId="661653D3" w14:textId="77777777" w:rsidR="0042629E" w:rsidRPr="00685D5D" w:rsidRDefault="0042629E" w:rsidP="002517C2">
      <w:r w:rsidRPr="00685D5D">
        <w:t xml:space="preserve">Residents must leave the unit in a clean and undamaged (beyond normal wear and tear) condition and must furnish a forwarding address to </w:t>
      </w:r>
      <w:r w:rsidR="00904B56">
        <w:t>HHA</w:t>
      </w:r>
      <w:r w:rsidRPr="00685D5D">
        <w:t>. All keys to the unit must be returned to management upon vacating the unit.</w:t>
      </w:r>
    </w:p>
    <w:p w14:paraId="019ABC1E" w14:textId="77777777" w:rsidR="0042629E" w:rsidRPr="00364288" w:rsidRDefault="005D26F5" w:rsidP="00BB64BD">
      <w:pPr>
        <w:pStyle w:val="Heading2"/>
      </w:pPr>
      <w:bookmarkStart w:id="942" w:name="_Toc90029316"/>
      <w:bookmarkStart w:id="943" w:name="_Toc106037889"/>
      <w:bookmarkStart w:id="944" w:name="_Toc106201528"/>
      <w:bookmarkStart w:id="945" w:name="_Toc106202047"/>
      <w:bookmarkStart w:id="946" w:name="_Toc106202573"/>
      <w:bookmarkStart w:id="947" w:name="_Toc113345027"/>
      <w:bookmarkStart w:id="948" w:name="_Toc137460388"/>
      <w:bookmarkStart w:id="949" w:name="_Toc137460633"/>
      <w:bookmarkStart w:id="950" w:name="_Toc137460878"/>
      <w:bookmarkStart w:id="951" w:name="_Toc137461767"/>
      <w:bookmarkStart w:id="952" w:name="_Toc137471358"/>
      <w:bookmarkStart w:id="953" w:name="_Toc137471867"/>
      <w:bookmarkStart w:id="954" w:name="_Toc173222678"/>
      <w:bookmarkStart w:id="955" w:name="_Toc200375592"/>
      <w:bookmarkStart w:id="956" w:name="_Toc200376944"/>
      <w:r w:rsidRPr="00364288">
        <w:t>Payments under the Lease</w:t>
      </w:r>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p>
    <w:p w14:paraId="282F850B" w14:textId="77777777" w:rsidR="0042629E" w:rsidRPr="00364288" w:rsidRDefault="0042629E" w:rsidP="00677451">
      <w:pPr>
        <w:pStyle w:val="Heading3"/>
      </w:pPr>
      <w:bookmarkStart w:id="957" w:name="_Toc90029317"/>
      <w:bookmarkStart w:id="958" w:name="_Toc106037890"/>
      <w:bookmarkStart w:id="959" w:name="_Toc106201529"/>
      <w:bookmarkStart w:id="960" w:name="_Toc106202048"/>
      <w:bookmarkStart w:id="961" w:name="_Toc106202574"/>
      <w:bookmarkStart w:id="962" w:name="_Toc113345028"/>
      <w:bookmarkStart w:id="963" w:name="_Toc137461768"/>
      <w:bookmarkStart w:id="964" w:name="_Toc137471359"/>
      <w:bookmarkStart w:id="965" w:name="_Toc137471868"/>
      <w:bookmarkStart w:id="966" w:name="_Toc200375593"/>
      <w:r w:rsidRPr="00364288">
        <w:t>Rent Payments</w:t>
      </w:r>
      <w:bookmarkEnd w:id="957"/>
      <w:bookmarkEnd w:id="958"/>
      <w:bookmarkEnd w:id="959"/>
      <w:bookmarkEnd w:id="960"/>
      <w:bookmarkEnd w:id="961"/>
      <w:bookmarkEnd w:id="962"/>
      <w:bookmarkEnd w:id="963"/>
      <w:bookmarkEnd w:id="964"/>
      <w:bookmarkEnd w:id="965"/>
      <w:bookmarkEnd w:id="966"/>
    </w:p>
    <w:p w14:paraId="420FCF0A" w14:textId="77777777" w:rsidR="0042629E" w:rsidRPr="00364288" w:rsidRDefault="0042629E" w:rsidP="0042629E">
      <w:r w:rsidRPr="00364288">
        <w:t xml:space="preserve">Families must pay the amount of the monthly tenant rent determined by </w:t>
      </w:r>
      <w:r w:rsidR="00904B56">
        <w:t>HHA</w:t>
      </w:r>
      <w:r w:rsidRPr="00364288">
        <w:t xml:space="preserve"> in accordance with its policies.</w:t>
      </w:r>
    </w:p>
    <w:p w14:paraId="73868204" w14:textId="77777777" w:rsidR="0042629E" w:rsidRPr="00685D5D" w:rsidRDefault="0042629E" w:rsidP="0042629E">
      <w:r w:rsidRPr="007E740D">
        <w:t xml:space="preserve">The lease specifies the initial amount of the tenant rent at the beginning of the initial lease term.  The tenant rent is due and payable at a </w:t>
      </w:r>
      <w:r w:rsidR="00904B56">
        <w:t>HHA</w:t>
      </w:r>
      <w:r w:rsidRPr="007E740D">
        <w:t xml:space="preserve">-designated location on the first of every month.  If the first falls on a weekend or holiday, the rent is due and payable on the </w:t>
      </w:r>
      <w:r w:rsidRPr="00685D5D">
        <w:t>first business day thereafter.</w:t>
      </w:r>
    </w:p>
    <w:p w14:paraId="0A36D1A3" w14:textId="77777777" w:rsidR="0042629E" w:rsidRPr="00685D5D" w:rsidRDefault="0042629E" w:rsidP="0042629E">
      <w:r w:rsidRPr="00685D5D">
        <w:t xml:space="preserve">Rent payments may be made by check or money order or by electronic payment, when applicable.  </w:t>
      </w:r>
      <w:r w:rsidR="00904B56">
        <w:t>HHA</w:t>
      </w:r>
      <w:r w:rsidRPr="00685D5D">
        <w:t xml:space="preserve"> will not accept rent payments in cash. </w:t>
      </w:r>
    </w:p>
    <w:p w14:paraId="74150931" w14:textId="77777777" w:rsidR="0042629E" w:rsidRPr="007E740D" w:rsidRDefault="0042629E" w:rsidP="0042629E">
      <w:r w:rsidRPr="007E740D">
        <w:t xml:space="preserve">If a family’s tenant rent changes, </w:t>
      </w:r>
      <w:r w:rsidR="00904B56">
        <w:t>HHA</w:t>
      </w:r>
      <w:r w:rsidRPr="007E740D">
        <w:t xml:space="preserve"> will notify the family of the new amount and the effective date by sending a </w:t>
      </w:r>
      <w:r w:rsidRPr="00685D5D">
        <w:rPr>
          <w:i/>
          <w:iCs/>
        </w:rPr>
        <w:t>Notice of Rent Adjustment</w:t>
      </w:r>
      <w:r w:rsidRPr="007E740D">
        <w:t>, which will become an attachment to the lease.</w:t>
      </w:r>
    </w:p>
    <w:p w14:paraId="660E98BB" w14:textId="77777777" w:rsidR="0042629E" w:rsidRPr="007E740D" w:rsidRDefault="0042629E" w:rsidP="00677451">
      <w:pPr>
        <w:pStyle w:val="Heading3"/>
      </w:pPr>
      <w:bookmarkStart w:id="967" w:name="_Toc90029318"/>
      <w:bookmarkStart w:id="968" w:name="_Toc106037891"/>
      <w:bookmarkStart w:id="969" w:name="_Toc106201530"/>
      <w:bookmarkStart w:id="970" w:name="_Toc106202049"/>
      <w:bookmarkStart w:id="971" w:name="_Toc106202575"/>
      <w:bookmarkStart w:id="972" w:name="_Toc113345029"/>
      <w:bookmarkStart w:id="973" w:name="_Toc137461769"/>
      <w:bookmarkStart w:id="974" w:name="_Toc137471360"/>
      <w:bookmarkStart w:id="975" w:name="_Toc137471869"/>
      <w:bookmarkStart w:id="976" w:name="_Toc200375594"/>
      <w:r w:rsidRPr="007E740D">
        <w:t>Late Fees and Non</w:t>
      </w:r>
      <w:r>
        <w:t>-P</w:t>
      </w:r>
      <w:r w:rsidRPr="007E740D">
        <w:t>ayment</w:t>
      </w:r>
      <w:bookmarkEnd w:id="967"/>
      <w:bookmarkEnd w:id="968"/>
      <w:bookmarkEnd w:id="969"/>
      <w:bookmarkEnd w:id="970"/>
      <w:bookmarkEnd w:id="971"/>
      <w:bookmarkEnd w:id="972"/>
      <w:bookmarkEnd w:id="973"/>
      <w:bookmarkEnd w:id="974"/>
      <w:bookmarkEnd w:id="975"/>
      <w:bookmarkEnd w:id="976"/>
    </w:p>
    <w:p w14:paraId="5906288E" w14:textId="77777777" w:rsidR="0042629E" w:rsidRPr="00685D5D" w:rsidRDefault="0042629E" w:rsidP="0042629E">
      <w:pPr>
        <w:rPr>
          <w:rFonts w:cs="Arial"/>
          <w:szCs w:val="20"/>
        </w:rPr>
      </w:pPr>
      <w:r w:rsidRPr="007E740D">
        <w:rPr>
          <w:rFonts w:cs="Arial"/>
          <w:szCs w:val="20"/>
        </w:rPr>
        <w:t xml:space="preserve">If </w:t>
      </w:r>
      <w:r w:rsidR="00904B56">
        <w:rPr>
          <w:rFonts w:cs="Arial"/>
          <w:szCs w:val="20"/>
        </w:rPr>
        <w:t>HHA</w:t>
      </w:r>
      <w:r w:rsidRPr="007E740D">
        <w:rPr>
          <w:rFonts w:cs="Arial"/>
          <w:szCs w:val="20"/>
        </w:rPr>
        <w:t xml:space="preserve"> does not receive the rent by the fifth (5th) calendar </w:t>
      </w:r>
      <w:r w:rsidRPr="00685D5D">
        <w:rPr>
          <w:rFonts w:cs="Arial"/>
          <w:szCs w:val="20"/>
        </w:rPr>
        <w:t xml:space="preserve">day of the month, and </w:t>
      </w:r>
      <w:r w:rsidR="00904B56">
        <w:rPr>
          <w:rFonts w:cs="Arial"/>
          <w:szCs w:val="20"/>
        </w:rPr>
        <w:t>HHA</w:t>
      </w:r>
      <w:r w:rsidRPr="00685D5D">
        <w:rPr>
          <w:rFonts w:cs="Arial"/>
          <w:szCs w:val="20"/>
        </w:rPr>
        <w:t xml:space="preserve"> has not agreed to accept payment later than the 5th calendar day of the month, </w:t>
      </w:r>
      <w:r w:rsidR="00904B56">
        <w:rPr>
          <w:rFonts w:cs="Arial"/>
          <w:szCs w:val="20"/>
        </w:rPr>
        <w:t>HHA</w:t>
      </w:r>
      <w:r w:rsidRPr="00685D5D">
        <w:rPr>
          <w:rFonts w:cs="Arial"/>
          <w:szCs w:val="20"/>
        </w:rPr>
        <w:t xml:space="preserve"> may issue to the tenant a </w:t>
      </w:r>
      <w:r w:rsidR="00EC4B34">
        <w:rPr>
          <w:rFonts w:cs="Arial"/>
          <w:szCs w:val="20"/>
        </w:rPr>
        <w:t>Lease Termination Notice</w:t>
      </w:r>
      <w:r w:rsidRPr="00685D5D">
        <w:rPr>
          <w:rFonts w:cs="Arial"/>
          <w:szCs w:val="20"/>
        </w:rPr>
        <w:t xml:space="preserve"> for failure to pay rent, demanding payment in full of all amounts due under the lease or the return of the property to </w:t>
      </w:r>
      <w:r w:rsidR="00904B56">
        <w:rPr>
          <w:rFonts w:cs="Arial"/>
          <w:szCs w:val="20"/>
        </w:rPr>
        <w:t>HHA</w:t>
      </w:r>
      <w:r w:rsidRPr="00685D5D">
        <w:rPr>
          <w:rFonts w:cs="Arial"/>
          <w:szCs w:val="20"/>
        </w:rPr>
        <w:t xml:space="preserve"> free of all occupants. </w:t>
      </w:r>
    </w:p>
    <w:p w14:paraId="5C4EBBA2" w14:textId="77777777" w:rsidR="0042629E" w:rsidRPr="00685D5D" w:rsidRDefault="0042629E" w:rsidP="0042629E">
      <w:pPr>
        <w:rPr>
          <w:rFonts w:cs="Arial"/>
          <w:szCs w:val="18"/>
        </w:rPr>
      </w:pPr>
      <w:r w:rsidRPr="00685D5D">
        <w:rPr>
          <w:rFonts w:cs="Arial"/>
          <w:szCs w:val="18"/>
        </w:rPr>
        <w:t>In addition, if the tenant fails to make a payment of rent by the end of office hours on the fifth (5th) calendar day of the month, a $</w:t>
      </w:r>
      <w:r w:rsidR="003C4320">
        <w:rPr>
          <w:rFonts w:cs="Arial"/>
          <w:szCs w:val="18"/>
        </w:rPr>
        <w:t>1</w:t>
      </w:r>
      <w:r w:rsidRPr="00685D5D">
        <w:rPr>
          <w:rFonts w:cs="Arial"/>
          <w:szCs w:val="18"/>
        </w:rPr>
        <w:t xml:space="preserve">5.00 late fee shall be charged. Three late rent payments within a </w:t>
      </w:r>
      <w:r w:rsidR="00895AC3">
        <w:rPr>
          <w:rFonts w:cs="Arial"/>
          <w:szCs w:val="18"/>
        </w:rPr>
        <w:t>12</w:t>
      </w:r>
      <w:r w:rsidRPr="00685D5D">
        <w:rPr>
          <w:rFonts w:cs="Arial"/>
          <w:szCs w:val="18"/>
        </w:rPr>
        <w:t xml:space="preserve">-month period constitute chronic late payments and is a material violation of the </w:t>
      </w:r>
      <w:r w:rsidR="00895AC3">
        <w:rPr>
          <w:rFonts w:cs="Arial"/>
          <w:szCs w:val="18"/>
        </w:rPr>
        <w:t>l</w:t>
      </w:r>
      <w:r w:rsidRPr="00685D5D">
        <w:rPr>
          <w:rFonts w:cs="Arial"/>
          <w:szCs w:val="18"/>
        </w:rPr>
        <w:t>ease.</w:t>
      </w:r>
    </w:p>
    <w:p w14:paraId="53810CD8" w14:textId="77777777" w:rsidR="0042629E" w:rsidRPr="00685D5D" w:rsidRDefault="00904B56" w:rsidP="0042629E">
      <w:pPr>
        <w:rPr>
          <w:rFonts w:cs="Arial"/>
          <w:szCs w:val="18"/>
        </w:rPr>
      </w:pPr>
      <w:r>
        <w:rPr>
          <w:rFonts w:cs="Arial"/>
          <w:szCs w:val="18"/>
        </w:rPr>
        <w:t>HHA</w:t>
      </w:r>
      <w:r w:rsidR="0042629E" w:rsidRPr="00685D5D">
        <w:rPr>
          <w:rFonts w:cs="Arial"/>
          <w:szCs w:val="18"/>
        </w:rPr>
        <w:t xml:space="preserve"> </w:t>
      </w:r>
      <w:r w:rsidR="001026F7">
        <w:rPr>
          <w:rFonts w:cs="Arial"/>
          <w:szCs w:val="18"/>
        </w:rPr>
        <w:t>will not accept partial payments; rent must be paid in full</w:t>
      </w:r>
      <w:r w:rsidR="00ED7250">
        <w:rPr>
          <w:rFonts w:cs="Arial"/>
          <w:szCs w:val="18"/>
        </w:rPr>
        <w:t xml:space="preserve"> when required.</w:t>
      </w:r>
    </w:p>
    <w:p w14:paraId="18D68FE4" w14:textId="77777777" w:rsidR="0042629E" w:rsidRPr="00685D5D" w:rsidRDefault="0042629E" w:rsidP="0042629E">
      <w:pPr>
        <w:rPr>
          <w:rFonts w:cs="Arial"/>
          <w:szCs w:val="18"/>
        </w:rPr>
      </w:pPr>
      <w:r w:rsidRPr="00685D5D">
        <w:rPr>
          <w:rFonts w:cs="Arial"/>
          <w:szCs w:val="18"/>
        </w:rPr>
        <w:t xml:space="preserve">If the </w:t>
      </w:r>
      <w:r w:rsidRPr="00685D5D">
        <w:rPr>
          <w:szCs w:val="20"/>
        </w:rPr>
        <w:t xml:space="preserve">tenant can document financial hardship, the late fee may be waived on a case-by-case basis. If the tenant lawfully withholds rent, no late fee shall be applied for that month. </w:t>
      </w:r>
    </w:p>
    <w:p w14:paraId="7A5AD400" w14:textId="77777777" w:rsidR="0042629E" w:rsidRDefault="0042629E" w:rsidP="0042629E">
      <w:r w:rsidRPr="00685D5D">
        <w:t>When a check is returned for insufficient funds or is written on a closed account, the rent will be considered unpaid and a returned check fee of $</w:t>
      </w:r>
      <w:r w:rsidR="00205D5F">
        <w:t>3</w:t>
      </w:r>
      <w:r w:rsidRPr="00685D5D">
        <w:t xml:space="preserve">5.00 will be charged to the family. The fee will be due and payable </w:t>
      </w:r>
      <w:r w:rsidR="00794333" w:rsidRPr="00794333">
        <w:t>15 calendar</w:t>
      </w:r>
      <w:r w:rsidRPr="00794333">
        <w:t xml:space="preserve"> days</w:t>
      </w:r>
      <w:r w:rsidRPr="00685D5D">
        <w:t xml:space="preserve"> after billing.</w:t>
      </w:r>
    </w:p>
    <w:p w14:paraId="0983EA5B" w14:textId="77777777" w:rsidR="00F63AD4" w:rsidRDefault="00F63AD4" w:rsidP="00677451">
      <w:pPr>
        <w:pStyle w:val="Heading3"/>
      </w:pPr>
      <w:bookmarkStart w:id="977" w:name="_Toc200375595"/>
      <w:r>
        <w:t>Excess Utility Charges</w:t>
      </w:r>
      <w:bookmarkEnd w:id="977"/>
    </w:p>
    <w:p w14:paraId="24C25D55" w14:textId="77777777" w:rsidR="00DB1988" w:rsidRDefault="00DB1988" w:rsidP="00D71354">
      <w:pPr>
        <w:rPr>
          <w:rFonts w:cs="Arial"/>
          <w:szCs w:val="18"/>
        </w:rPr>
      </w:pPr>
      <w:r>
        <w:t>When applicable, families will be charged for excess utility usage according to HHA’s current posted schedule.</w:t>
      </w:r>
      <w:r w:rsidR="00D7113F">
        <w:t xml:space="preserve"> See </w:t>
      </w:r>
      <w:r w:rsidR="00D7113F" w:rsidRPr="00D7113F">
        <w:rPr>
          <w:b/>
          <w:bCs/>
          <w:color w:val="0070C0"/>
        </w:rPr>
        <w:fldChar w:fldCharType="begin"/>
      </w:r>
      <w:r w:rsidR="00D7113F" w:rsidRPr="00D7113F">
        <w:rPr>
          <w:b/>
          <w:bCs/>
          <w:color w:val="0070C0"/>
        </w:rPr>
        <w:instrText xml:space="preserve"> REF _Ref160539791 \h  \* MERGEFORMAT </w:instrText>
      </w:r>
      <w:r w:rsidR="00D7113F" w:rsidRPr="00D7113F">
        <w:rPr>
          <w:b/>
          <w:bCs/>
          <w:color w:val="0070C0"/>
        </w:rPr>
      </w:r>
      <w:r w:rsidR="00D7113F" w:rsidRPr="00D7113F">
        <w:rPr>
          <w:b/>
          <w:bCs/>
          <w:color w:val="0070C0"/>
        </w:rPr>
        <w:fldChar w:fldCharType="separate"/>
      </w:r>
      <w:r w:rsidR="00D7113F" w:rsidRPr="00D7113F">
        <w:rPr>
          <w:b/>
          <w:bCs/>
          <w:color w:val="0070C0"/>
        </w:rPr>
        <w:t>Excess Utility Charges</w:t>
      </w:r>
      <w:r w:rsidR="00D7113F" w:rsidRPr="00D7113F">
        <w:rPr>
          <w:b/>
          <w:bCs/>
          <w:color w:val="0070C0"/>
        </w:rPr>
        <w:fldChar w:fldCharType="end"/>
      </w:r>
      <w:r w:rsidR="00D7113F">
        <w:t xml:space="preserve"> in the </w:t>
      </w:r>
      <w:r w:rsidR="00D7113F" w:rsidRPr="00D7113F">
        <w:rPr>
          <w:b/>
          <w:bCs/>
          <w:color w:val="0070C0"/>
        </w:rPr>
        <w:fldChar w:fldCharType="begin"/>
      </w:r>
      <w:r w:rsidR="00D7113F" w:rsidRPr="00D7113F">
        <w:rPr>
          <w:b/>
          <w:bCs/>
          <w:color w:val="0070C0"/>
        </w:rPr>
        <w:instrText xml:space="preserve"> REF _Ref160539475 \h  \* MERGEFORMAT </w:instrText>
      </w:r>
      <w:r w:rsidR="00D7113F" w:rsidRPr="00D7113F">
        <w:rPr>
          <w:b/>
          <w:bCs/>
          <w:color w:val="0070C0"/>
        </w:rPr>
      </w:r>
      <w:r w:rsidR="00D7113F" w:rsidRPr="00D7113F">
        <w:rPr>
          <w:b/>
          <w:bCs/>
          <w:color w:val="0070C0"/>
        </w:rPr>
        <w:fldChar w:fldCharType="separate"/>
      </w:r>
      <w:r w:rsidR="00D7113F" w:rsidRPr="00D7113F">
        <w:rPr>
          <w:b/>
          <w:bCs/>
          <w:color w:val="0070C0"/>
        </w:rPr>
        <w:t>UTILITIES</w:t>
      </w:r>
      <w:r w:rsidR="00D7113F" w:rsidRPr="00D7113F">
        <w:rPr>
          <w:b/>
          <w:bCs/>
          <w:color w:val="0070C0"/>
        </w:rPr>
        <w:fldChar w:fldCharType="end"/>
      </w:r>
      <w:r w:rsidR="00D7113F">
        <w:t xml:space="preserve"> chapter.</w:t>
      </w:r>
    </w:p>
    <w:p w14:paraId="4F83492A" w14:textId="77777777" w:rsidR="007979FB" w:rsidRDefault="007979FB" w:rsidP="00677451">
      <w:pPr>
        <w:pStyle w:val="Heading3"/>
      </w:pPr>
      <w:bookmarkStart w:id="978" w:name="_Toc200375596"/>
      <w:r>
        <w:t>Other Fee</w:t>
      </w:r>
      <w:r w:rsidR="00C24946">
        <w:t>s</w:t>
      </w:r>
      <w:bookmarkEnd w:id="978"/>
    </w:p>
    <w:p w14:paraId="7A9AAE70" w14:textId="77777777" w:rsidR="00C24946" w:rsidRPr="00C24946" w:rsidRDefault="00C24946" w:rsidP="00C24946">
      <w:r w:rsidRPr="00A2158C">
        <w:t>Non-refundable</w:t>
      </w:r>
      <w:r w:rsidRPr="00C24946">
        <w:t xml:space="preserve"> </w:t>
      </w:r>
      <w:r w:rsidRPr="00A2158C">
        <w:t>pet</w:t>
      </w:r>
      <w:r w:rsidRPr="00C24946">
        <w:t xml:space="preserve"> </w:t>
      </w:r>
      <w:r w:rsidRPr="00A2158C">
        <w:t>fees</w:t>
      </w:r>
      <w:r w:rsidRPr="00C24946">
        <w:t xml:space="preserve"> </w:t>
      </w:r>
      <w:r w:rsidRPr="00A2158C">
        <w:t>(public</w:t>
      </w:r>
      <w:r w:rsidRPr="00C24946">
        <w:t xml:space="preserve"> </w:t>
      </w:r>
      <w:r w:rsidRPr="00A2158C">
        <w:t>housing</w:t>
      </w:r>
      <w:r w:rsidRPr="00C24946">
        <w:t xml:space="preserve"> </w:t>
      </w:r>
      <w:r w:rsidRPr="00A2158C">
        <w:t>units)</w:t>
      </w:r>
      <w:r w:rsidRPr="00C24946">
        <w:t xml:space="preserve"> </w:t>
      </w:r>
      <w:r w:rsidRPr="00A2158C">
        <w:t>or</w:t>
      </w:r>
      <w:r w:rsidRPr="00C24946">
        <w:t xml:space="preserve"> </w:t>
      </w:r>
      <w:r w:rsidRPr="00A2158C">
        <w:t>pet</w:t>
      </w:r>
      <w:r w:rsidRPr="00C24946">
        <w:t xml:space="preserve"> </w:t>
      </w:r>
      <w:r w:rsidRPr="00A2158C">
        <w:t>deposits</w:t>
      </w:r>
      <w:r w:rsidRPr="00C24946">
        <w:t xml:space="preserve"> </w:t>
      </w:r>
      <w:r w:rsidRPr="00A2158C">
        <w:t>(Section</w:t>
      </w:r>
      <w:r w:rsidRPr="00C24946">
        <w:t xml:space="preserve"> </w:t>
      </w:r>
      <w:r w:rsidRPr="00A2158C">
        <w:t>8</w:t>
      </w:r>
      <w:r w:rsidRPr="00C24946">
        <w:t xml:space="preserve"> </w:t>
      </w:r>
      <w:r w:rsidRPr="00A2158C">
        <w:t>New</w:t>
      </w:r>
      <w:r w:rsidRPr="00C24946">
        <w:t xml:space="preserve"> </w:t>
      </w:r>
      <w:r w:rsidRPr="00A2158C">
        <w:t>Construction:</w:t>
      </w:r>
      <w:r w:rsidRPr="00C24946">
        <w:t xml:space="preserve"> </w:t>
      </w:r>
      <w:r w:rsidRPr="00A2158C">
        <w:t xml:space="preserve">Long Drive) are in addition to the security deposit, in accordance with </w:t>
      </w:r>
      <w:r w:rsidRPr="00C24946">
        <w:t xml:space="preserve">HHA’s </w:t>
      </w:r>
      <w:r w:rsidR="00E42133" w:rsidRPr="00E42133">
        <w:rPr>
          <w:b/>
          <w:bCs/>
          <w:color w:val="0070C0"/>
        </w:rPr>
        <w:fldChar w:fldCharType="begin"/>
      </w:r>
      <w:r w:rsidR="00E42133" w:rsidRPr="00E42133">
        <w:rPr>
          <w:b/>
          <w:bCs/>
          <w:color w:val="0070C0"/>
        </w:rPr>
        <w:instrText xml:space="preserve"> REF _Ref151015824 \h </w:instrText>
      </w:r>
      <w:r w:rsidR="00E42133">
        <w:rPr>
          <w:b/>
          <w:bCs/>
          <w:color w:val="0070C0"/>
        </w:rPr>
        <w:instrText xml:space="preserve"> \* MERGEFORMAT </w:instrText>
      </w:r>
      <w:r w:rsidR="00E42133" w:rsidRPr="00E42133">
        <w:rPr>
          <w:b/>
          <w:bCs/>
          <w:color w:val="0070C0"/>
        </w:rPr>
      </w:r>
      <w:r w:rsidR="00E42133" w:rsidRPr="00E42133">
        <w:rPr>
          <w:b/>
          <w:bCs/>
          <w:color w:val="0070C0"/>
        </w:rPr>
        <w:fldChar w:fldCharType="separate"/>
      </w:r>
      <w:r w:rsidR="00E42133" w:rsidRPr="00E42133">
        <w:rPr>
          <w:b/>
          <w:bCs/>
          <w:color w:val="0070C0"/>
        </w:rPr>
        <w:t>PETS AND ASSISTANCE ANIMALS</w:t>
      </w:r>
      <w:r w:rsidR="00E42133" w:rsidRPr="00E42133">
        <w:rPr>
          <w:b/>
          <w:bCs/>
          <w:color w:val="0070C0"/>
        </w:rPr>
        <w:fldChar w:fldCharType="end"/>
      </w:r>
      <w:r w:rsidR="00E42133">
        <w:t xml:space="preserve"> policy</w:t>
      </w:r>
      <w:r w:rsidRPr="00C24946">
        <w:t>.</w:t>
      </w:r>
    </w:p>
    <w:p w14:paraId="1B230B41" w14:textId="77777777" w:rsidR="0042629E" w:rsidRPr="00685D5D" w:rsidRDefault="00122519" w:rsidP="00BB64BD">
      <w:pPr>
        <w:pStyle w:val="Heading2"/>
      </w:pPr>
      <w:bookmarkStart w:id="979" w:name="_Toc90029320"/>
      <w:bookmarkStart w:id="980" w:name="_Toc106037893"/>
      <w:bookmarkStart w:id="981" w:name="_Toc106201532"/>
      <w:bookmarkStart w:id="982" w:name="_Toc106202051"/>
      <w:bookmarkStart w:id="983" w:name="_Toc106202577"/>
      <w:bookmarkStart w:id="984" w:name="_Toc113345031"/>
      <w:bookmarkStart w:id="985" w:name="_Toc137460390"/>
      <w:bookmarkStart w:id="986" w:name="_Toc137460635"/>
      <w:bookmarkStart w:id="987" w:name="_Toc137460880"/>
      <w:bookmarkStart w:id="988" w:name="_Toc137461771"/>
      <w:bookmarkStart w:id="989" w:name="_Toc137471362"/>
      <w:bookmarkStart w:id="990" w:name="_Toc137471871"/>
      <w:bookmarkStart w:id="991" w:name="_Ref160539420"/>
      <w:bookmarkStart w:id="992" w:name="_Ref160540175"/>
      <w:bookmarkStart w:id="993" w:name="_Toc173222679"/>
      <w:bookmarkStart w:id="994" w:name="_Toc200375597"/>
      <w:bookmarkStart w:id="995" w:name="_Toc200376945"/>
      <w:r w:rsidRPr="00685D5D">
        <w:t>Utilities</w:t>
      </w:r>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p>
    <w:p w14:paraId="2A738D2A" w14:textId="77777777" w:rsidR="0042629E" w:rsidRPr="00685D5D" w:rsidRDefault="0042629E" w:rsidP="0042629E">
      <w:pPr>
        <w:tabs>
          <w:tab w:val="left" w:pos="6750"/>
        </w:tabs>
      </w:pPr>
      <w:r w:rsidRPr="00685D5D">
        <w:t xml:space="preserve">Utilities shall be in the name of </w:t>
      </w:r>
      <w:r w:rsidR="00EF113B">
        <w:t>an adult family member</w:t>
      </w:r>
      <w:r w:rsidRPr="00685D5D">
        <w:t>. Residents will pay for all utilities, related deposits and charges on their utility bills. Failure to maintain active utility service, for all utilities, in the name of the head of household</w:t>
      </w:r>
      <w:r w:rsidR="00EA5A72">
        <w:t>, spouse,</w:t>
      </w:r>
      <w:r w:rsidRPr="00685D5D">
        <w:t xml:space="preserve"> or co-head</w:t>
      </w:r>
      <w:r w:rsidR="00A1124C">
        <w:t xml:space="preserve"> </w:t>
      </w:r>
      <w:r w:rsidRPr="00685D5D">
        <w:t>will be considered a breach of the lease.</w:t>
      </w:r>
      <w:r w:rsidR="00EA5A72">
        <w:t xml:space="preserve"> </w:t>
      </w:r>
      <w:r w:rsidR="009F094C">
        <w:t xml:space="preserve">See the chapter on </w:t>
      </w:r>
      <w:r w:rsidR="009F094C" w:rsidRPr="009F094C">
        <w:rPr>
          <w:b/>
          <w:bCs/>
          <w:color w:val="0070C0"/>
        </w:rPr>
        <w:fldChar w:fldCharType="begin"/>
      </w:r>
      <w:r w:rsidR="009F094C" w:rsidRPr="009F094C">
        <w:rPr>
          <w:b/>
          <w:bCs/>
          <w:color w:val="0070C0"/>
        </w:rPr>
        <w:instrText xml:space="preserve"> REF _Ref160539475 \h  \* MERGEFORMAT </w:instrText>
      </w:r>
      <w:r w:rsidR="009F094C" w:rsidRPr="009F094C">
        <w:rPr>
          <w:b/>
          <w:bCs/>
          <w:color w:val="0070C0"/>
        </w:rPr>
      </w:r>
      <w:r w:rsidR="009F094C" w:rsidRPr="009F094C">
        <w:rPr>
          <w:b/>
          <w:bCs/>
          <w:color w:val="0070C0"/>
        </w:rPr>
        <w:fldChar w:fldCharType="separate"/>
      </w:r>
      <w:r w:rsidR="009F094C" w:rsidRPr="009F094C">
        <w:rPr>
          <w:b/>
          <w:bCs/>
          <w:color w:val="0070C0"/>
        </w:rPr>
        <w:t>UTILITIES</w:t>
      </w:r>
      <w:r w:rsidR="009F094C" w:rsidRPr="009F094C">
        <w:rPr>
          <w:b/>
          <w:bCs/>
          <w:color w:val="0070C0"/>
        </w:rPr>
        <w:fldChar w:fldCharType="end"/>
      </w:r>
      <w:r w:rsidR="009F094C">
        <w:t>.</w:t>
      </w:r>
    </w:p>
    <w:p w14:paraId="2DFB41DA" w14:textId="77777777" w:rsidR="0042629E" w:rsidRPr="00685D5D" w:rsidRDefault="00122519" w:rsidP="00BB64BD">
      <w:pPr>
        <w:pStyle w:val="Heading2"/>
      </w:pPr>
      <w:bookmarkStart w:id="996" w:name="_Toc90029321"/>
      <w:bookmarkStart w:id="997" w:name="_Toc106037894"/>
      <w:bookmarkStart w:id="998" w:name="_Toc106201533"/>
      <w:bookmarkStart w:id="999" w:name="_Toc106202052"/>
      <w:bookmarkStart w:id="1000" w:name="_Toc106202578"/>
      <w:bookmarkStart w:id="1001" w:name="_Toc113345032"/>
      <w:bookmarkStart w:id="1002" w:name="_Toc137460391"/>
      <w:bookmarkStart w:id="1003" w:name="_Toc137460636"/>
      <w:bookmarkStart w:id="1004" w:name="_Toc137460881"/>
      <w:bookmarkStart w:id="1005" w:name="_Toc137461772"/>
      <w:bookmarkStart w:id="1006" w:name="_Toc137471363"/>
      <w:bookmarkStart w:id="1007" w:name="_Toc137471872"/>
      <w:bookmarkStart w:id="1008" w:name="_Toc173222680"/>
      <w:bookmarkStart w:id="1009" w:name="_Toc200375598"/>
      <w:bookmarkStart w:id="1010" w:name="_Toc200376946"/>
      <w:r w:rsidRPr="00685D5D">
        <w:t>Unit Maintenance and Repairs</w:t>
      </w:r>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p>
    <w:p w14:paraId="1B1A0783" w14:textId="77777777" w:rsidR="0042629E" w:rsidRPr="00685D5D" w:rsidRDefault="00904B56" w:rsidP="0042629E">
      <w:r>
        <w:t>HHA</w:t>
      </w:r>
      <w:r w:rsidR="0042629E" w:rsidRPr="00685D5D">
        <w:t xml:space="preserve"> will maintain dwelling units and the development in decent, safe and sanitary condition and make necessary repairs to dwelling units.</w:t>
      </w:r>
    </w:p>
    <w:p w14:paraId="509EF2B9" w14:textId="77777777" w:rsidR="0042629E" w:rsidRPr="00685D5D" w:rsidRDefault="0042629E" w:rsidP="0042629E">
      <w:r w:rsidRPr="00685D5D">
        <w:t xml:space="preserve">Families are responsible for paying reasonable charges, including the cost of labor, for the repair of any damage beyond normal wear and tear to the unit or to appliances provided by </w:t>
      </w:r>
      <w:r w:rsidR="00904B56">
        <w:t>HHA</w:t>
      </w:r>
      <w:r w:rsidRPr="00685D5D">
        <w:t xml:space="preserve"> that are negligently or intentionally caused by the tenant, family members, household members, live-in aides or guests.</w:t>
      </w:r>
    </w:p>
    <w:p w14:paraId="7CD27DA4" w14:textId="77777777" w:rsidR="0042629E" w:rsidRPr="00685D5D" w:rsidRDefault="0042629E" w:rsidP="0042629E">
      <w:r w:rsidRPr="00685D5D">
        <w:t>Damage caused by the family beyond normal wear and tear is considered a breach of the lease and grounds for termination, regardless of whether the charges are paid or not.</w:t>
      </w:r>
    </w:p>
    <w:p w14:paraId="322B05FF" w14:textId="77777777" w:rsidR="0042629E" w:rsidRPr="00685D5D" w:rsidRDefault="0042629E" w:rsidP="0042629E">
      <w:r w:rsidRPr="00685D5D">
        <w:t xml:space="preserve">When applicable, families will be charged for maintenance and/or damages according to </w:t>
      </w:r>
      <w:r w:rsidR="00904B56">
        <w:t>HHA</w:t>
      </w:r>
      <w:r w:rsidRPr="00685D5D">
        <w:t>’s current schedule. Work that is not covered in the schedule will be charged based on the actual cost of labor and materials to make needed repairs (including overtime, if applicable).</w:t>
      </w:r>
    </w:p>
    <w:p w14:paraId="3791E692" w14:textId="77777777" w:rsidR="0042629E" w:rsidRDefault="0042629E" w:rsidP="0042629E">
      <w:r w:rsidRPr="00685D5D">
        <w:t>Notices of maintenance and damage charges will be mailed monthly and will be in accordance with requirements regarding notices of adverse actions. Charges are due and payable 1</w:t>
      </w:r>
      <w:r w:rsidR="00794333">
        <w:t>5</w:t>
      </w:r>
      <w:r w:rsidRPr="00685D5D">
        <w:t xml:space="preserve"> calendar days after billing. If the family requests a grievance hearing within the required timeframe, </w:t>
      </w:r>
      <w:r w:rsidR="00904B56">
        <w:t>HHA</w:t>
      </w:r>
      <w:r w:rsidRPr="00685D5D">
        <w:t xml:space="preserve"> may not take action for nonpayment of the charges until the conclusion of the grievance</w:t>
      </w:r>
      <w:r>
        <w:t xml:space="preserve"> process.</w:t>
      </w:r>
    </w:p>
    <w:p w14:paraId="73474E32" w14:textId="77777777" w:rsidR="0042629E" w:rsidRDefault="0042629E" w:rsidP="0042629E">
      <w:r>
        <w:t>Nonpayment of maintenance and damage charges is a violation of the lease and is grounds for eviction.</w:t>
      </w:r>
    </w:p>
    <w:p w14:paraId="118FC83B" w14:textId="77777777" w:rsidR="00826283" w:rsidRPr="00A2158C" w:rsidRDefault="00826283" w:rsidP="00BB64BD">
      <w:pPr>
        <w:pStyle w:val="Heading2"/>
      </w:pPr>
      <w:bookmarkStart w:id="1011" w:name="_Toc114067458"/>
      <w:bookmarkStart w:id="1012" w:name="_Toc119412672"/>
      <w:bookmarkStart w:id="1013" w:name="_Toc137808983"/>
      <w:bookmarkStart w:id="1014" w:name="_Toc137809525"/>
      <w:bookmarkStart w:id="1015" w:name="_Toc137809769"/>
      <w:bookmarkStart w:id="1016" w:name="_Toc137810081"/>
      <w:bookmarkStart w:id="1017" w:name="_Toc138429414"/>
      <w:bookmarkStart w:id="1018" w:name="_Toc138430249"/>
      <w:bookmarkStart w:id="1019" w:name="_Toc138856429"/>
      <w:bookmarkStart w:id="1020" w:name="_Toc138857723"/>
      <w:bookmarkStart w:id="1021" w:name="_Toc138860503"/>
      <w:bookmarkStart w:id="1022" w:name="_Toc147141802"/>
      <w:bookmarkStart w:id="1023" w:name="_Toc173222681"/>
      <w:bookmarkStart w:id="1024" w:name="_Toc200375599"/>
      <w:bookmarkStart w:id="1025" w:name="_Toc200376947"/>
      <w:r w:rsidRPr="00A2158C">
        <w:t>Smoking</w:t>
      </w:r>
      <w:r w:rsidRPr="00A2158C">
        <w:rPr>
          <w:spacing w:val="-1"/>
        </w:rPr>
        <w:t xml:space="preserve"> </w:t>
      </w:r>
      <w:r w:rsidRPr="00A2158C">
        <w:t>Policy</w:t>
      </w:r>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p>
    <w:p w14:paraId="540140D8" w14:textId="77777777" w:rsidR="00826283" w:rsidRPr="00A2158C" w:rsidRDefault="00826283" w:rsidP="00826283">
      <w:r w:rsidRPr="00A2158C">
        <w:t xml:space="preserve">Smoking is not permitted in any restricted areas at public housing properties owned or managed by HHA, its affiliates, or any entity in which HHA has a partnership or ownership interest (HHA </w:t>
      </w:r>
      <w:r w:rsidR="00FC5362">
        <w:t>p</w:t>
      </w:r>
      <w:r w:rsidRPr="00A2158C">
        <w:t>roperty(ies)). Restricted areas in which smoking is prohibited</w:t>
      </w:r>
      <w:r w:rsidRPr="00826283">
        <w:t xml:space="preserve"> </w:t>
      </w:r>
      <w:r w:rsidRPr="00A2158C">
        <w:t>includes:</w:t>
      </w:r>
    </w:p>
    <w:p w14:paraId="4F218E43" w14:textId="77777777" w:rsidR="00826283" w:rsidRDefault="00826283" w:rsidP="00CB52D8">
      <w:pPr>
        <w:pStyle w:val="ListParagraph"/>
        <w:numPr>
          <w:ilvl w:val="0"/>
          <w:numId w:val="55"/>
        </w:numPr>
        <w:contextualSpacing w:val="0"/>
      </w:pPr>
      <w:r w:rsidRPr="00A2158C">
        <w:t>Inside any public housing living units and interior areas, including but not limited to hallways, rental and administrative offices, community centers, day care centers, laundry centers, and similar</w:t>
      </w:r>
      <w:r w:rsidRPr="00826283">
        <w:t xml:space="preserve"> </w:t>
      </w:r>
      <w:r w:rsidRPr="00A2158C">
        <w:t>structures;</w:t>
      </w:r>
    </w:p>
    <w:p w14:paraId="555B7A7A" w14:textId="77777777" w:rsidR="00826283" w:rsidRPr="00A2158C" w:rsidRDefault="00826283" w:rsidP="00CB52D8">
      <w:pPr>
        <w:pStyle w:val="ListParagraph"/>
        <w:numPr>
          <w:ilvl w:val="0"/>
          <w:numId w:val="55"/>
        </w:numPr>
        <w:contextualSpacing w:val="0"/>
      </w:pPr>
      <w:r w:rsidRPr="00A2158C">
        <w:t>Outdoor areas within 25 feet from public housing and administrative office buildings (including those identified</w:t>
      </w:r>
      <w:r w:rsidRPr="00826283">
        <w:t xml:space="preserve"> </w:t>
      </w:r>
      <w:r w:rsidRPr="00A2158C">
        <w:t>above)</w:t>
      </w:r>
    </w:p>
    <w:p w14:paraId="317687DE" w14:textId="77777777" w:rsidR="003665FA" w:rsidRPr="00280D31" w:rsidRDefault="003665FA" w:rsidP="003665FA">
      <w:pPr>
        <w:spacing w:before="120"/>
      </w:pPr>
      <w:bookmarkStart w:id="1026" w:name="_Toc132627459"/>
      <w:bookmarkStart w:id="1027" w:name="_Ref136505199"/>
      <w:bookmarkStart w:id="1028" w:name="_Toc137808984"/>
      <w:bookmarkStart w:id="1029" w:name="_Toc137809526"/>
      <w:bookmarkStart w:id="1030" w:name="_Toc137809770"/>
      <w:bookmarkStart w:id="1031" w:name="_Toc137810082"/>
      <w:bookmarkStart w:id="1032" w:name="_Toc138429415"/>
      <w:bookmarkStart w:id="1033" w:name="_Toc138430250"/>
      <w:bookmarkStart w:id="1034" w:name="_Toc138856430"/>
      <w:bookmarkStart w:id="1035" w:name="_Toc138857724"/>
      <w:bookmarkStart w:id="1036" w:name="_Toc138860504"/>
      <w:bookmarkStart w:id="1037" w:name="_Toc147141803"/>
      <w:r w:rsidRPr="00280D31">
        <w:t xml:space="preserve">The term </w:t>
      </w:r>
      <w:r w:rsidRPr="003665FA">
        <w:rPr>
          <w:i/>
          <w:iCs/>
        </w:rPr>
        <w:t>smoking</w:t>
      </w:r>
      <w:r w:rsidRPr="00280D31">
        <w:t xml:space="preserve"> means any inhaling, exhaling, burning, or carrying any lighted cigar, cigarette, pipe, or other prohibited tobacco product in any manner or any form. Prohibited tobacco products include water pipes or hookahs.</w:t>
      </w:r>
    </w:p>
    <w:p w14:paraId="2B47188E" w14:textId="77777777" w:rsidR="009D706C" w:rsidRDefault="009D706C" w:rsidP="003665FA">
      <w:pPr>
        <w:spacing w:before="120"/>
      </w:pPr>
      <w:r>
        <w:t>Electronic nicotine</w:t>
      </w:r>
      <w:r w:rsidR="0000523B">
        <w:t xml:space="preserve"> delivery systems (ENDS)</w:t>
      </w:r>
      <w:r w:rsidR="003C3E06">
        <w:t xml:space="preserve"> include e-cigarettes, nicotine inhalers, and vaping devices. Use of ENDS is not permitted in public housing units, common areas, or in outdoor areas within 25 fee</w:t>
      </w:r>
      <w:r w:rsidR="0014253B">
        <w:t>t</w:t>
      </w:r>
      <w:r w:rsidR="003C3E06">
        <w:t xml:space="preserve"> from housing a</w:t>
      </w:r>
      <w:r w:rsidR="001F5A35">
        <w:t>nd administrative buildings</w:t>
      </w:r>
      <w:r w:rsidR="00911111">
        <w:t>.</w:t>
      </w:r>
    </w:p>
    <w:p w14:paraId="6185CF4F" w14:textId="77777777" w:rsidR="00A87E51" w:rsidRDefault="00FB00F4" w:rsidP="003665FA">
      <w:pPr>
        <w:spacing w:before="120"/>
      </w:pPr>
      <w:r>
        <w:t xml:space="preserve">Smoking </w:t>
      </w:r>
      <w:r w:rsidR="00A87E51">
        <w:t>marijuan</w:t>
      </w:r>
      <w:r>
        <w:t>a on HHA properties is strictly prohibited</w:t>
      </w:r>
      <w:r w:rsidR="00821A19">
        <w:t>. This prohibition applies for both recreational and medical purposes.</w:t>
      </w:r>
    </w:p>
    <w:p w14:paraId="656EEDBA" w14:textId="77777777" w:rsidR="004511EC" w:rsidRDefault="004511EC" w:rsidP="004511EC">
      <w:pPr>
        <w:spacing w:before="120"/>
      </w:pPr>
      <w:r w:rsidRPr="00280D31">
        <w:t>Violation of the smoke-free policy</w:t>
      </w:r>
      <w:r w:rsidR="00A64EBB">
        <w:t>, including use of ENDS</w:t>
      </w:r>
      <w:r w:rsidR="00DD4AD7">
        <w:t xml:space="preserve"> </w:t>
      </w:r>
      <w:r w:rsidR="00A93BEE">
        <w:t>and/or smoking marijuana</w:t>
      </w:r>
      <w:r w:rsidR="00A64EBB">
        <w:t>,</w:t>
      </w:r>
      <w:r w:rsidRPr="00280D31">
        <w:t xml:space="preserve"> constitutes a violation of the terms of the public housing lease. Consequences of lease violations include termination of tenancy.</w:t>
      </w:r>
    </w:p>
    <w:p w14:paraId="6BA2E537" w14:textId="77777777" w:rsidR="00826283" w:rsidRPr="006E4F3B" w:rsidRDefault="00826283" w:rsidP="00BB64BD">
      <w:pPr>
        <w:pStyle w:val="Heading2"/>
      </w:pPr>
      <w:bookmarkStart w:id="1038" w:name="_Toc173222682"/>
      <w:bookmarkStart w:id="1039" w:name="_Toc200375600"/>
      <w:bookmarkStart w:id="1040" w:name="_Toc200376948"/>
      <w:r w:rsidRPr="006E4F3B">
        <w:t>NPHOI Lease Requirements</w:t>
      </w:r>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p>
    <w:p w14:paraId="6340575B" w14:textId="77777777" w:rsidR="00826283" w:rsidRDefault="00826283" w:rsidP="00826283">
      <w:pPr>
        <w:rPr>
          <w:rFonts w:cs="Arial"/>
        </w:rPr>
      </w:pPr>
      <w:r>
        <w:rPr>
          <w:rFonts w:cs="Arial"/>
        </w:rPr>
        <w:t xml:space="preserve">Families who exceed the over-income limit for 24 consecutive months—or upon HUD approval, 36 consecutive months—(see </w:t>
      </w:r>
      <w:r w:rsidR="001652DC" w:rsidRPr="001652DC">
        <w:rPr>
          <w:rFonts w:cs="Arial"/>
          <w:b/>
          <w:bCs/>
          <w:color w:val="0070C0"/>
        </w:rPr>
        <w:fldChar w:fldCharType="begin"/>
      </w:r>
      <w:r w:rsidR="001652DC" w:rsidRPr="001652DC">
        <w:rPr>
          <w:rFonts w:cs="Arial"/>
          <w:b/>
          <w:bCs/>
          <w:color w:val="0070C0"/>
        </w:rPr>
        <w:instrText xml:space="preserve"> REF _Ref151015055 \h  \* MERGEFORMAT </w:instrText>
      </w:r>
      <w:r w:rsidR="001652DC" w:rsidRPr="001652DC">
        <w:rPr>
          <w:rFonts w:cs="Arial"/>
          <w:b/>
          <w:bCs/>
          <w:color w:val="0070C0"/>
        </w:rPr>
      </w:r>
      <w:r w:rsidR="001652DC" w:rsidRPr="001652DC">
        <w:rPr>
          <w:rFonts w:cs="Arial"/>
          <w:b/>
          <w:bCs/>
          <w:color w:val="0070C0"/>
        </w:rPr>
        <w:fldChar w:fldCharType="separate"/>
      </w:r>
      <w:r w:rsidR="001652DC" w:rsidRPr="001652DC">
        <w:rPr>
          <w:b/>
          <w:bCs/>
          <w:color w:val="0070C0"/>
        </w:rPr>
        <w:t>OVER-INCOME FAMILIES</w:t>
      </w:r>
      <w:r w:rsidR="001652DC" w:rsidRPr="001652DC">
        <w:rPr>
          <w:rFonts w:cs="Arial"/>
          <w:b/>
          <w:bCs/>
          <w:color w:val="0070C0"/>
        </w:rPr>
        <w:fldChar w:fldCharType="end"/>
      </w:r>
      <w:r>
        <w:rPr>
          <w:rFonts w:cs="Arial"/>
        </w:rPr>
        <w:t xml:space="preserve">) will be given the opportunity to stay in their units by signing a Non-Public Housing Over-Income (NPHOI) lease. </w:t>
      </w:r>
    </w:p>
    <w:p w14:paraId="366418F3" w14:textId="77777777" w:rsidR="00826283" w:rsidRPr="006E4F3B" w:rsidRDefault="00826283" w:rsidP="00FC5362">
      <w:pPr>
        <w:rPr>
          <w:rFonts w:cs="Arial"/>
        </w:rPr>
      </w:pPr>
      <w:r w:rsidRPr="006E4F3B">
        <w:rPr>
          <w:rFonts w:cs="Arial"/>
        </w:rPr>
        <w:t>At a minimum, the NPHOI lease will contain the following plus other required provisions as stated in 24 CFR 960.509:</w:t>
      </w:r>
    </w:p>
    <w:p w14:paraId="391DE26B" w14:textId="77777777" w:rsidR="00826283" w:rsidRPr="006E4F3B" w:rsidRDefault="00826283" w:rsidP="007F177E">
      <w:pPr>
        <w:pStyle w:val="ListParagraph"/>
        <w:numPr>
          <w:ilvl w:val="0"/>
          <w:numId w:val="183"/>
        </w:numPr>
        <w:contextualSpacing w:val="0"/>
        <w:rPr>
          <w:rFonts w:cs="Arial"/>
        </w:rPr>
      </w:pPr>
      <w:r w:rsidRPr="006E4F3B">
        <w:rPr>
          <w:rFonts w:cs="Arial"/>
        </w:rPr>
        <w:t>Parties to the Lease;</w:t>
      </w:r>
    </w:p>
    <w:p w14:paraId="4A83E8EE" w14:textId="77777777" w:rsidR="00826283" w:rsidRPr="006E4F3B" w:rsidRDefault="00826283" w:rsidP="007F177E">
      <w:pPr>
        <w:pStyle w:val="ListParagraph"/>
        <w:numPr>
          <w:ilvl w:val="0"/>
          <w:numId w:val="183"/>
        </w:numPr>
        <w:contextualSpacing w:val="0"/>
        <w:rPr>
          <w:rFonts w:cs="Arial"/>
        </w:rPr>
      </w:pPr>
      <w:r w:rsidRPr="006E4F3B">
        <w:rPr>
          <w:rFonts w:cs="Arial"/>
        </w:rPr>
        <w:t>Dwelling Unit;</w:t>
      </w:r>
    </w:p>
    <w:p w14:paraId="418BC5EE" w14:textId="77777777" w:rsidR="00826283" w:rsidRPr="006E4F3B" w:rsidRDefault="00826283" w:rsidP="007F177E">
      <w:pPr>
        <w:pStyle w:val="ListParagraph"/>
        <w:numPr>
          <w:ilvl w:val="0"/>
          <w:numId w:val="183"/>
        </w:numPr>
        <w:contextualSpacing w:val="0"/>
        <w:rPr>
          <w:rFonts w:cs="Arial"/>
        </w:rPr>
      </w:pPr>
      <w:r w:rsidRPr="006E4F3B">
        <w:rPr>
          <w:rFonts w:cs="Arial"/>
        </w:rPr>
        <w:t>Initial rent and notice requirements for changes in rent;</w:t>
      </w:r>
    </w:p>
    <w:p w14:paraId="2A3522A4" w14:textId="77777777" w:rsidR="00826283" w:rsidRPr="006E4F3B" w:rsidRDefault="00826283" w:rsidP="007F177E">
      <w:pPr>
        <w:pStyle w:val="ListParagraph"/>
        <w:numPr>
          <w:ilvl w:val="0"/>
          <w:numId w:val="183"/>
        </w:numPr>
        <w:contextualSpacing w:val="0"/>
        <w:rPr>
          <w:rFonts w:cs="Arial"/>
        </w:rPr>
      </w:pPr>
      <w:r w:rsidRPr="006E4F3B">
        <w:rPr>
          <w:rFonts w:cs="Arial"/>
        </w:rPr>
        <w:t>Charges for late rent payments</w:t>
      </w:r>
      <w:r>
        <w:rPr>
          <w:rFonts w:cs="Arial"/>
        </w:rPr>
        <w:t>,</w:t>
      </w:r>
      <w:r w:rsidRPr="006E4F3B">
        <w:rPr>
          <w:rFonts w:cs="Arial"/>
        </w:rPr>
        <w:t xml:space="preserve"> per HHA policy;</w:t>
      </w:r>
    </w:p>
    <w:p w14:paraId="537EA5A0" w14:textId="77777777" w:rsidR="00826283" w:rsidRPr="006E4F3B" w:rsidRDefault="00826283" w:rsidP="007F177E">
      <w:pPr>
        <w:pStyle w:val="ListParagraph"/>
        <w:numPr>
          <w:ilvl w:val="0"/>
          <w:numId w:val="183"/>
        </w:numPr>
        <w:contextualSpacing w:val="0"/>
        <w:rPr>
          <w:rFonts w:cs="Arial"/>
        </w:rPr>
      </w:pPr>
      <w:r w:rsidRPr="006E4F3B">
        <w:rPr>
          <w:rFonts w:cs="Arial"/>
        </w:rPr>
        <w:t>Lease term and renewal as dictated by HHA policy</w:t>
      </w:r>
      <w:r>
        <w:rPr>
          <w:rFonts w:cs="Arial"/>
        </w:rPr>
        <w:t>, but with</w:t>
      </w:r>
      <w:r w:rsidRPr="006E4F3B">
        <w:rPr>
          <w:rFonts w:cs="Arial"/>
        </w:rPr>
        <w:t xml:space="preserve"> no automatic renewal;</w:t>
      </w:r>
    </w:p>
    <w:p w14:paraId="3CA4BFDF" w14:textId="77777777" w:rsidR="00826283" w:rsidRPr="006E4F3B" w:rsidRDefault="00826283" w:rsidP="007F177E">
      <w:pPr>
        <w:pStyle w:val="ListParagraph"/>
        <w:numPr>
          <w:ilvl w:val="0"/>
          <w:numId w:val="183"/>
        </w:numPr>
        <w:contextualSpacing w:val="0"/>
        <w:rPr>
          <w:rFonts w:cs="Arial"/>
        </w:rPr>
      </w:pPr>
      <w:r w:rsidRPr="006E4F3B">
        <w:rPr>
          <w:rFonts w:cs="Arial"/>
        </w:rPr>
        <w:t>Statement of utilities, services and equipment to be supplied by HHA without additional cost;</w:t>
      </w:r>
    </w:p>
    <w:p w14:paraId="17619233" w14:textId="77777777" w:rsidR="00826283" w:rsidRPr="006E4F3B" w:rsidRDefault="00826283" w:rsidP="007F177E">
      <w:pPr>
        <w:pStyle w:val="ListParagraph"/>
        <w:numPr>
          <w:ilvl w:val="0"/>
          <w:numId w:val="183"/>
        </w:numPr>
        <w:contextualSpacing w:val="0"/>
        <w:rPr>
          <w:rFonts w:cs="Arial"/>
        </w:rPr>
      </w:pPr>
      <w:r w:rsidRPr="006E4F3B">
        <w:rPr>
          <w:rFonts w:cs="Arial"/>
        </w:rPr>
        <w:t>Utilities and appliances to be supplied by the tenant;</w:t>
      </w:r>
    </w:p>
    <w:p w14:paraId="15326D3F" w14:textId="77777777" w:rsidR="00826283" w:rsidRPr="006E4F3B" w:rsidRDefault="00826283" w:rsidP="007F177E">
      <w:pPr>
        <w:pStyle w:val="ListParagraph"/>
        <w:numPr>
          <w:ilvl w:val="0"/>
          <w:numId w:val="183"/>
        </w:numPr>
        <w:contextualSpacing w:val="0"/>
        <w:rPr>
          <w:rFonts w:cs="Arial"/>
        </w:rPr>
      </w:pPr>
      <w:r w:rsidRPr="006E4F3B">
        <w:rPr>
          <w:rFonts w:cs="Arial"/>
        </w:rPr>
        <w:t>The HHA-approved household composition, including foster children, foster adults and approved live-in aides;</w:t>
      </w:r>
    </w:p>
    <w:p w14:paraId="4A95BEA3" w14:textId="77777777" w:rsidR="00826283" w:rsidRPr="006E4F3B" w:rsidRDefault="00826283" w:rsidP="007F177E">
      <w:pPr>
        <w:pStyle w:val="ListParagraph"/>
        <w:numPr>
          <w:ilvl w:val="0"/>
          <w:numId w:val="183"/>
        </w:numPr>
        <w:contextualSpacing w:val="0"/>
        <w:rPr>
          <w:rFonts w:cs="Arial"/>
        </w:rPr>
      </w:pPr>
      <w:r w:rsidRPr="006E4F3B">
        <w:rPr>
          <w:rFonts w:cs="Arial"/>
        </w:rPr>
        <w:t xml:space="preserve">Requirement for family to notify HHA of the birth, adoption and/or court-awarded custody of a child; </w:t>
      </w:r>
    </w:p>
    <w:p w14:paraId="6DBF4842" w14:textId="77777777" w:rsidR="00826283" w:rsidRPr="006E4F3B" w:rsidRDefault="00826283" w:rsidP="007F177E">
      <w:pPr>
        <w:pStyle w:val="ListParagraph"/>
        <w:numPr>
          <w:ilvl w:val="0"/>
          <w:numId w:val="183"/>
        </w:numPr>
        <w:contextualSpacing w:val="0"/>
        <w:rPr>
          <w:rFonts w:cs="Arial"/>
        </w:rPr>
      </w:pPr>
      <w:r w:rsidRPr="006E4F3B">
        <w:rPr>
          <w:rFonts w:cs="Arial"/>
        </w:rPr>
        <w:t>Charges for excess utility consumption (if there are individual check meters or are the result of use of major tenant-supplied appliances) and charges for repair beyond normal wear and tear;</w:t>
      </w:r>
    </w:p>
    <w:p w14:paraId="5E43EC08" w14:textId="77777777" w:rsidR="00826283" w:rsidRPr="006E4F3B" w:rsidRDefault="00826283" w:rsidP="007F177E">
      <w:pPr>
        <w:pStyle w:val="ListParagraph"/>
        <w:numPr>
          <w:ilvl w:val="0"/>
          <w:numId w:val="183"/>
        </w:numPr>
        <w:contextualSpacing w:val="0"/>
        <w:rPr>
          <w:rFonts w:cs="Arial"/>
        </w:rPr>
      </w:pPr>
      <w:r w:rsidRPr="006E4F3B">
        <w:rPr>
          <w:rFonts w:cs="Arial"/>
        </w:rPr>
        <w:t>Requirement to obtain HHA approval to add any other household member;</w:t>
      </w:r>
    </w:p>
    <w:p w14:paraId="6EC2EA03" w14:textId="77777777" w:rsidR="00826283" w:rsidRPr="006E4F3B" w:rsidRDefault="00826283" w:rsidP="007F177E">
      <w:pPr>
        <w:pStyle w:val="ListParagraph"/>
        <w:numPr>
          <w:ilvl w:val="0"/>
          <w:numId w:val="183"/>
        </w:numPr>
        <w:contextualSpacing w:val="0"/>
        <w:rPr>
          <w:rFonts w:cs="Arial"/>
        </w:rPr>
      </w:pPr>
      <w:r w:rsidRPr="006E4F3B">
        <w:rPr>
          <w:rFonts w:cs="Arial"/>
        </w:rPr>
        <w:t>HHA obligations under the lease;</w:t>
      </w:r>
    </w:p>
    <w:p w14:paraId="46985FA3" w14:textId="77777777" w:rsidR="00826283" w:rsidRPr="006E4F3B" w:rsidRDefault="00826283" w:rsidP="007F177E">
      <w:pPr>
        <w:pStyle w:val="ListParagraph"/>
        <w:numPr>
          <w:ilvl w:val="0"/>
          <w:numId w:val="183"/>
        </w:numPr>
        <w:contextualSpacing w:val="0"/>
        <w:rPr>
          <w:rFonts w:cs="Arial"/>
        </w:rPr>
      </w:pPr>
      <w:r w:rsidRPr="006E4F3B">
        <w:rPr>
          <w:rFonts w:cs="Arial"/>
        </w:rPr>
        <w:t>Tenant obligations;</w:t>
      </w:r>
    </w:p>
    <w:p w14:paraId="5E99D571" w14:textId="77777777" w:rsidR="00826283" w:rsidRPr="006E4F3B" w:rsidRDefault="00826283" w:rsidP="007F177E">
      <w:pPr>
        <w:pStyle w:val="ListParagraph"/>
        <w:numPr>
          <w:ilvl w:val="0"/>
          <w:numId w:val="183"/>
        </w:numPr>
        <w:contextualSpacing w:val="0"/>
        <w:rPr>
          <w:rFonts w:cs="Arial"/>
        </w:rPr>
      </w:pPr>
      <w:r w:rsidRPr="006E4F3B">
        <w:rPr>
          <w:rFonts w:cs="Arial"/>
        </w:rPr>
        <w:t>Defects hazardous to life, health or safety;</w:t>
      </w:r>
    </w:p>
    <w:p w14:paraId="4E9E391A" w14:textId="77777777" w:rsidR="00826283" w:rsidRPr="006E4F3B" w:rsidRDefault="00826283" w:rsidP="007F177E">
      <w:pPr>
        <w:pStyle w:val="ListParagraph"/>
        <w:numPr>
          <w:ilvl w:val="0"/>
          <w:numId w:val="183"/>
        </w:numPr>
        <w:contextualSpacing w:val="0"/>
        <w:rPr>
          <w:rFonts w:cs="Arial"/>
        </w:rPr>
      </w:pPr>
      <w:bookmarkStart w:id="1041" w:name="_Hlk128128677"/>
      <w:r w:rsidRPr="006E4F3B">
        <w:rPr>
          <w:rFonts w:cs="Arial"/>
        </w:rPr>
        <w:t>No smoking policy</w:t>
      </w:r>
      <w:bookmarkEnd w:id="1041"/>
      <w:r w:rsidRPr="006E4F3B">
        <w:rPr>
          <w:rFonts w:cs="Arial"/>
        </w:rPr>
        <w:t>;</w:t>
      </w:r>
    </w:p>
    <w:p w14:paraId="27016740" w14:textId="77777777" w:rsidR="00826283" w:rsidRPr="006E4F3B" w:rsidRDefault="00826283" w:rsidP="007F177E">
      <w:pPr>
        <w:pStyle w:val="ListParagraph"/>
        <w:numPr>
          <w:ilvl w:val="0"/>
          <w:numId w:val="183"/>
        </w:numPr>
        <w:contextualSpacing w:val="0"/>
        <w:rPr>
          <w:rFonts w:cs="Arial"/>
        </w:rPr>
      </w:pPr>
      <w:r w:rsidRPr="006E4F3B">
        <w:rPr>
          <w:rFonts w:cs="Arial"/>
        </w:rPr>
        <w:t>Entry of the dwelling unit during tenancy;</w:t>
      </w:r>
    </w:p>
    <w:p w14:paraId="7BE2BCB1" w14:textId="77777777" w:rsidR="00826283" w:rsidRPr="006E4F3B" w:rsidRDefault="00826283" w:rsidP="007F177E">
      <w:pPr>
        <w:pStyle w:val="ListParagraph"/>
        <w:numPr>
          <w:ilvl w:val="0"/>
          <w:numId w:val="183"/>
        </w:numPr>
        <w:contextualSpacing w:val="0"/>
        <w:rPr>
          <w:rFonts w:cs="Arial"/>
        </w:rPr>
      </w:pPr>
      <w:r w:rsidRPr="006E4F3B">
        <w:rPr>
          <w:rFonts w:cs="Arial"/>
        </w:rPr>
        <w:t>Notice procedures;</w:t>
      </w:r>
    </w:p>
    <w:p w14:paraId="446DC637" w14:textId="77777777" w:rsidR="00826283" w:rsidRPr="006E4F3B" w:rsidRDefault="00826283" w:rsidP="007F177E">
      <w:pPr>
        <w:pStyle w:val="ListParagraph"/>
        <w:numPr>
          <w:ilvl w:val="0"/>
          <w:numId w:val="183"/>
        </w:numPr>
        <w:contextualSpacing w:val="0"/>
        <w:rPr>
          <w:rFonts w:cs="Arial"/>
        </w:rPr>
      </w:pPr>
      <w:r w:rsidRPr="006E4F3B">
        <w:rPr>
          <w:rFonts w:cs="Arial"/>
        </w:rPr>
        <w:t>Seasonal maintenance requirements (elderly/disabled may opt out);</w:t>
      </w:r>
    </w:p>
    <w:p w14:paraId="425A05D2" w14:textId="77777777" w:rsidR="00826283" w:rsidRPr="006E4F3B" w:rsidRDefault="00826283" w:rsidP="007F177E">
      <w:pPr>
        <w:pStyle w:val="ListParagraph"/>
        <w:numPr>
          <w:ilvl w:val="0"/>
          <w:numId w:val="183"/>
        </w:numPr>
        <w:contextualSpacing w:val="0"/>
        <w:rPr>
          <w:rFonts w:cs="Arial"/>
        </w:rPr>
      </w:pPr>
      <w:r w:rsidRPr="006E4F3B">
        <w:rPr>
          <w:rFonts w:cs="Arial"/>
        </w:rPr>
        <w:t>Termination of tenancy and eviction;</w:t>
      </w:r>
    </w:p>
    <w:p w14:paraId="129E1AF7" w14:textId="77777777" w:rsidR="00826283" w:rsidRPr="006E4F3B" w:rsidRDefault="00826283" w:rsidP="007F177E">
      <w:pPr>
        <w:pStyle w:val="ListParagraph"/>
        <w:numPr>
          <w:ilvl w:val="0"/>
          <w:numId w:val="183"/>
        </w:numPr>
        <w:contextualSpacing w:val="0"/>
        <w:rPr>
          <w:rFonts w:cs="Arial"/>
        </w:rPr>
      </w:pPr>
      <w:r w:rsidRPr="006E4F3B">
        <w:rPr>
          <w:rFonts w:cs="Arial"/>
        </w:rPr>
        <w:t>Grievance procedures</w:t>
      </w:r>
      <w:r>
        <w:rPr>
          <w:rFonts w:cs="Arial"/>
        </w:rPr>
        <w:t xml:space="preserve"> (if applicable)</w:t>
      </w:r>
      <w:r w:rsidRPr="006E4F3B">
        <w:rPr>
          <w:rFonts w:cs="Arial"/>
        </w:rPr>
        <w:t xml:space="preserve">; </w:t>
      </w:r>
    </w:p>
    <w:p w14:paraId="567D28C1" w14:textId="77777777" w:rsidR="00826283" w:rsidRPr="006E4F3B" w:rsidRDefault="00826283" w:rsidP="007F177E">
      <w:pPr>
        <w:pStyle w:val="ListParagraph"/>
        <w:numPr>
          <w:ilvl w:val="0"/>
          <w:numId w:val="183"/>
        </w:numPr>
        <w:contextualSpacing w:val="0"/>
        <w:rPr>
          <w:rFonts w:cs="Arial"/>
        </w:rPr>
      </w:pPr>
      <w:r w:rsidRPr="006E4F3B">
        <w:rPr>
          <w:rFonts w:cs="Arial"/>
        </w:rPr>
        <w:t>Provisions for lease modification; and</w:t>
      </w:r>
    </w:p>
    <w:p w14:paraId="1A9168B4" w14:textId="77777777" w:rsidR="00826283" w:rsidRPr="006E4F3B" w:rsidRDefault="00826283" w:rsidP="007F177E">
      <w:pPr>
        <w:pStyle w:val="ListParagraph"/>
        <w:numPr>
          <w:ilvl w:val="0"/>
          <w:numId w:val="183"/>
        </w:numPr>
        <w:contextualSpacing w:val="0"/>
        <w:rPr>
          <w:rFonts w:cs="Arial"/>
        </w:rPr>
      </w:pPr>
      <w:r w:rsidRPr="006E4F3B">
        <w:rPr>
          <w:rFonts w:cs="Arial"/>
        </w:rPr>
        <w:t>Signature clause.</w:t>
      </w:r>
    </w:p>
    <w:p w14:paraId="576A8D24" w14:textId="77777777" w:rsidR="00826283" w:rsidRPr="006E4F3B" w:rsidRDefault="00826283" w:rsidP="00677451">
      <w:pPr>
        <w:pStyle w:val="Heading3"/>
      </w:pPr>
      <w:bookmarkStart w:id="1042" w:name="_Toc132627460"/>
      <w:bookmarkStart w:id="1043" w:name="_Toc137808985"/>
      <w:bookmarkStart w:id="1044" w:name="_Toc137809527"/>
      <w:bookmarkStart w:id="1045" w:name="_Toc137809771"/>
      <w:bookmarkStart w:id="1046" w:name="_Toc137810083"/>
      <w:bookmarkStart w:id="1047" w:name="_Toc138429416"/>
      <w:bookmarkStart w:id="1048" w:name="_Toc138430251"/>
      <w:bookmarkStart w:id="1049" w:name="_Toc138860505"/>
      <w:bookmarkStart w:id="1050" w:name="_Toc147141804"/>
      <w:bookmarkStart w:id="1051" w:name="_Toc200375601"/>
      <w:r w:rsidRPr="006E4F3B">
        <w:t>Security Deposits for NPHOI Families</w:t>
      </w:r>
      <w:bookmarkEnd w:id="1042"/>
      <w:bookmarkEnd w:id="1043"/>
      <w:bookmarkEnd w:id="1044"/>
      <w:bookmarkEnd w:id="1045"/>
      <w:bookmarkEnd w:id="1046"/>
      <w:bookmarkEnd w:id="1047"/>
      <w:bookmarkEnd w:id="1048"/>
      <w:bookmarkEnd w:id="1049"/>
      <w:bookmarkEnd w:id="1050"/>
      <w:bookmarkEnd w:id="1051"/>
    </w:p>
    <w:p w14:paraId="2DB5906C" w14:textId="77777777" w:rsidR="00826283" w:rsidRDefault="00826283" w:rsidP="00826283">
      <w:pPr>
        <w:rPr>
          <w:rFonts w:cs="Arial"/>
        </w:rPr>
      </w:pPr>
      <w:r w:rsidRPr="006E4F3B">
        <w:rPr>
          <w:rFonts w:cs="Arial"/>
        </w:rPr>
        <w:t>Any previously paid security deposit will be applied to the tenancy upon signing of the NPHOI lease. The NPHOI lease will include the circumstances under which the security deposit will be returned plus circumstances when the tenant will be charged for damage to the unit, all of which will be consistent with state and local security deposit laws.</w:t>
      </w:r>
    </w:p>
    <w:p w14:paraId="297239C1" w14:textId="77777777" w:rsidR="0042629E" w:rsidRDefault="0042629E" w:rsidP="00823E94"/>
    <w:p w14:paraId="1E1E75A3" w14:textId="77777777" w:rsidR="00FC5362" w:rsidRPr="00867B80" w:rsidRDefault="00FC5362" w:rsidP="00823E94"/>
    <w:p w14:paraId="11939D7F" w14:textId="77777777" w:rsidR="007C569D" w:rsidRDefault="007C569D" w:rsidP="007C569D"/>
    <w:p w14:paraId="670DDC36" w14:textId="77777777" w:rsidR="00A95B1E" w:rsidRDefault="00A95B1E" w:rsidP="00A95B1E">
      <w:pPr>
        <w:pStyle w:val="Heading1"/>
        <w:ind w:left="0" w:firstLine="0"/>
        <w:sectPr w:rsidR="00A95B1E" w:rsidSect="00EE2233">
          <w:pgSz w:w="12240" w:h="15840"/>
          <w:pgMar w:top="1440" w:right="1440" w:bottom="1440" w:left="1440" w:header="720" w:footer="720" w:gutter="0"/>
          <w:cols w:space="720"/>
          <w:docGrid w:linePitch="360"/>
        </w:sectPr>
      </w:pPr>
    </w:p>
    <w:p w14:paraId="19C603F9" w14:textId="77777777" w:rsidR="00A95B1E" w:rsidRPr="008B4CB5" w:rsidRDefault="00A6749C" w:rsidP="00A95B1E">
      <w:pPr>
        <w:pStyle w:val="Heading1"/>
        <w:ind w:left="0" w:firstLine="0"/>
      </w:pPr>
      <w:bookmarkStart w:id="1052" w:name="_Toc173222683"/>
      <w:bookmarkStart w:id="1053" w:name="_Toc200375602"/>
      <w:bookmarkStart w:id="1054" w:name="_Toc200376949"/>
      <w:r w:rsidRPr="008B4CB5">
        <w:t>INSPECTIONS</w:t>
      </w:r>
      <w:bookmarkEnd w:id="1052"/>
      <w:bookmarkEnd w:id="1053"/>
      <w:bookmarkEnd w:id="1054"/>
    </w:p>
    <w:p w14:paraId="5C9320B3" w14:textId="77777777" w:rsidR="0095577E" w:rsidRDefault="0095577E" w:rsidP="00BB64BD">
      <w:pPr>
        <w:pStyle w:val="Heading2"/>
      </w:pPr>
      <w:bookmarkStart w:id="1055" w:name="_Toc173222684"/>
      <w:bookmarkStart w:id="1056" w:name="_Toc200375603"/>
      <w:bookmarkStart w:id="1057" w:name="_Toc200376950"/>
      <w:bookmarkStart w:id="1058" w:name="_Toc90029322"/>
      <w:bookmarkStart w:id="1059" w:name="_Toc106037896"/>
      <w:bookmarkStart w:id="1060" w:name="_Toc106201535"/>
      <w:bookmarkStart w:id="1061" w:name="_Toc106202054"/>
      <w:bookmarkStart w:id="1062" w:name="_Toc106202580"/>
      <w:bookmarkStart w:id="1063" w:name="_Toc113345034"/>
      <w:bookmarkStart w:id="1064" w:name="_Toc137460393"/>
      <w:bookmarkStart w:id="1065" w:name="_Toc137460638"/>
      <w:bookmarkStart w:id="1066" w:name="_Toc137460883"/>
      <w:bookmarkStart w:id="1067" w:name="_Toc137461774"/>
      <w:bookmarkStart w:id="1068" w:name="_Toc137471365"/>
      <w:bookmarkStart w:id="1069" w:name="_Toc137471874"/>
      <w:r>
        <w:t>Overview</w:t>
      </w:r>
      <w:bookmarkEnd w:id="1055"/>
      <w:bookmarkEnd w:id="1056"/>
      <w:bookmarkEnd w:id="1057"/>
    </w:p>
    <w:p w14:paraId="135A6A8B" w14:textId="77777777" w:rsidR="00CA20E5" w:rsidRPr="008D6484" w:rsidRDefault="00B257D7" w:rsidP="00CA20E5">
      <w:pPr>
        <w:spacing w:before="120"/>
      </w:pPr>
      <w:r>
        <w:t>HHA is obligated to maintain safe and habitable dwelling units and to make necessary repairs to dwelling units. The National Standards for the Inspection Physical Inspection of Real Estate (NSPIRE) are the standard under which HUD housing units, including those under the public housing program, are inspected.</w:t>
      </w:r>
      <w:r w:rsidR="00CA20E5">
        <w:t xml:space="preserve"> Further, units must comply with state and local code requirements (such as fire, mechanical, plumbing, carbon monoxide, property maintenance, and residential code) as well as with all requirements related to the evaluation and control of lead-based paint hazards.</w:t>
      </w:r>
    </w:p>
    <w:p w14:paraId="0EB5FF1C" w14:textId="77777777" w:rsidR="00CA20E5" w:rsidRDefault="00CA20E5" w:rsidP="00CA20E5">
      <w:pPr>
        <w:spacing w:before="120"/>
      </w:pPr>
      <w:r>
        <w:t xml:space="preserve">Under NSPIRE, public housing units are subject to three types of inspections: </w:t>
      </w:r>
    </w:p>
    <w:p w14:paraId="770899E1" w14:textId="77777777" w:rsidR="00CA20E5" w:rsidRDefault="00CA20E5" w:rsidP="00CB52D8">
      <w:pPr>
        <w:pStyle w:val="ListParagraph"/>
        <w:numPr>
          <w:ilvl w:val="3"/>
          <w:numId w:val="46"/>
        </w:numPr>
        <w:ind w:left="720"/>
        <w:contextualSpacing w:val="0"/>
      </w:pPr>
      <w:r>
        <w:t xml:space="preserve">Annual self-inspections, </w:t>
      </w:r>
    </w:p>
    <w:p w14:paraId="20043C3C" w14:textId="77777777" w:rsidR="00154FAE" w:rsidRDefault="00CA20E5" w:rsidP="00CB52D8">
      <w:pPr>
        <w:pStyle w:val="ListParagraph"/>
        <w:numPr>
          <w:ilvl w:val="3"/>
          <w:numId w:val="46"/>
        </w:numPr>
        <w:ind w:left="720"/>
        <w:contextualSpacing w:val="0"/>
      </w:pPr>
      <w:r>
        <w:t xml:space="preserve">NSPIRE Inspections (which are used to assess and score </w:t>
      </w:r>
      <w:r w:rsidR="00154FAE">
        <w:t>H</w:t>
      </w:r>
      <w:r>
        <w:t xml:space="preserve">HA under the Public Housing Assessment System (PHAS)), and </w:t>
      </w:r>
    </w:p>
    <w:p w14:paraId="5D878810" w14:textId="77777777" w:rsidR="00154FAE" w:rsidRDefault="00CA20E5" w:rsidP="00CB52D8">
      <w:pPr>
        <w:pStyle w:val="ListParagraph"/>
        <w:numPr>
          <w:ilvl w:val="3"/>
          <w:numId w:val="46"/>
        </w:numPr>
        <w:ind w:left="720"/>
        <w:contextualSpacing w:val="0"/>
      </w:pPr>
      <w:r>
        <w:t xml:space="preserve">NSPIRE Plus Inspections (which are triggered by poor property conditions). </w:t>
      </w:r>
    </w:p>
    <w:p w14:paraId="337BA57B" w14:textId="77777777" w:rsidR="00B83F54" w:rsidRDefault="00CA20E5" w:rsidP="00154FAE">
      <w:pPr>
        <w:spacing w:before="120"/>
      </w:pPr>
      <w:r w:rsidRPr="004C55A1">
        <w:t xml:space="preserve">HUD </w:t>
      </w:r>
      <w:r>
        <w:t>regulations</w:t>
      </w:r>
      <w:r w:rsidRPr="004C55A1">
        <w:t xml:space="preserve"> </w:t>
      </w:r>
      <w:r>
        <w:t xml:space="preserve">also </w:t>
      </w:r>
      <w:r w:rsidRPr="004C55A1">
        <w:t xml:space="preserve">require </w:t>
      </w:r>
      <w:r w:rsidR="00154FAE">
        <w:t>H</w:t>
      </w:r>
      <w:r w:rsidRPr="004C55A1">
        <w:t xml:space="preserve">HA to inspect each </w:t>
      </w:r>
      <w:r>
        <w:t xml:space="preserve">public housing </w:t>
      </w:r>
      <w:r w:rsidRPr="004C55A1">
        <w:t xml:space="preserve">unit </w:t>
      </w:r>
      <w:r w:rsidR="007561B4">
        <w:t xml:space="preserve">annually, as well as </w:t>
      </w:r>
      <w:r w:rsidRPr="004C55A1">
        <w:t>prior to move-in</w:t>
      </w:r>
      <w:r>
        <w:t xml:space="preserve"> and</w:t>
      </w:r>
      <w:r w:rsidRPr="004C55A1">
        <w:t xml:space="preserve"> at move-out. </w:t>
      </w:r>
      <w:r w:rsidR="00154FAE">
        <w:t>H</w:t>
      </w:r>
      <w:r w:rsidRPr="004C55A1">
        <w:t>HA may require additional inspections,</w:t>
      </w:r>
      <w:r>
        <w:t xml:space="preserve"> in accordance with </w:t>
      </w:r>
      <w:r w:rsidR="00B83F54">
        <w:t>H</w:t>
      </w:r>
      <w:r>
        <w:t>HA policy.</w:t>
      </w:r>
      <w:r w:rsidRPr="004C55A1">
        <w:t xml:space="preserve"> </w:t>
      </w:r>
    </w:p>
    <w:p w14:paraId="29882718" w14:textId="77777777" w:rsidR="00CA20E5" w:rsidRPr="004C55A1" w:rsidRDefault="00CA20E5" w:rsidP="00154FAE">
      <w:pPr>
        <w:spacing w:before="120"/>
      </w:pPr>
      <w:r>
        <w:t xml:space="preserve">This part </w:t>
      </w:r>
      <w:r w:rsidRPr="004C55A1">
        <w:t xml:space="preserve">contains </w:t>
      </w:r>
      <w:r w:rsidR="00B83F54">
        <w:t>H</w:t>
      </w:r>
      <w:r w:rsidRPr="004C55A1">
        <w:t>HA’s policies governing inspections</w:t>
      </w:r>
      <w:r>
        <w:t xml:space="preserve"> by </w:t>
      </w:r>
      <w:r w:rsidR="00B83F54">
        <w:t>H</w:t>
      </w:r>
      <w:r>
        <w:t>HA and HUD</w:t>
      </w:r>
      <w:r w:rsidRPr="004C55A1">
        <w:t xml:space="preserve">, notification of unit entry, and inspection </w:t>
      </w:r>
      <w:r>
        <w:t>repair timelines</w:t>
      </w:r>
      <w:r w:rsidR="00B83F54">
        <w:t>; it also</w:t>
      </w:r>
      <w:r>
        <w:t xml:space="preserve"> discusses inspections conducted by </w:t>
      </w:r>
      <w:r w:rsidR="00B83F54">
        <w:t>H</w:t>
      </w:r>
      <w:r>
        <w:t>HA (including annual self-inspections) and inspections conducted by HUD REAC.</w:t>
      </w:r>
    </w:p>
    <w:p w14:paraId="67507B2A" w14:textId="77777777" w:rsidR="00EE6050" w:rsidRPr="00685D5D" w:rsidRDefault="00EE6050" w:rsidP="00BB64BD">
      <w:pPr>
        <w:pStyle w:val="Heading2"/>
      </w:pPr>
      <w:bookmarkStart w:id="1070" w:name="_Toc173222685"/>
      <w:bookmarkStart w:id="1071" w:name="_Toc200375604"/>
      <w:bookmarkStart w:id="1072" w:name="_Toc200376951"/>
      <w:r w:rsidRPr="00685D5D">
        <w:t>Types of Inspections</w:t>
      </w:r>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p>
    <w:p w14:paraId="1591E3FC" w14:textId="77777777" w:rsidR="00EE6050" w:rsidRPr="00685D5D" w:rsidRDefault="00EE6050" w:rsidP="00677451">
      <w:pPr>
        <w:pStyle w:val="Heading3"/>
      </w:pPr>
      <w:bookmarkStart w:id="1073" w:name="_Toc90029323"/>
      <w:bookmarkStart w:id="1074" w:name="_Toc106037897"/>
      <w:bookmarkStart w:id="1075" w:name="_Toc106201536"/>
      <w:bookmarkStart w:id="1076" w:name="_Toc106202055"/>
      <w:bookmarkStart w:id="1077" w:name="_Toc106202581"/>
      <w:bookmarkStart w:id="1078" w:name="_Toc113345035"/>
      <w:bookmarkStart w:id="1079" w:name="_Toc137461775"/>
      <w:bookmarkStart w:id="1080" w:name="_Toc137471366"/>
      <w:bookmarkStart w:id="1081" w:name="_Toc137471875"/>
      <w:bookmarkStart w:id="1082" w:name="_Toc200375605"/>
      <w:r w:rsidRPr="00685D5D">
        <w:t>Move-</w:t>
      </w:r>
      <w:r>
        <w:t>I</w:t>
      </w:r>
      <w:r w:rsidRPr="00685D5D">
        <w:t>n Inspections</w:t>
      </w:r>
      <w:bookmarkEnd w:id="1073"/>
      <w:bookmarkEnd w:id="1074"/>
      <w:bookmarkEnd w:id="1075"/>
      <w:bookmarkEnd w:id="1076"/>
      <w:bookmarkEnd w:id="1077"/>
      <w:bookmarkEnd w:id="1078"/>
      <w:bookmarkEnd w:id="1079"/>
      <w:bookmarkEnd w:id="1080"/>
      <w:bookmarkEnd w:id="1081"/>
      <w:bookmarkEnd w:id="1082"/>
    </w:p>
    <w:p w14:paraId="18E3F957" w14:textId="77777777" w:rsidR="00EE6050" w:rsidRPr="00685D5D" w:rsidRDefault="00EE6050" w:rsidP="00EE6050">
      <w:r>
        <w:t>HHA</w:t>
      </w:r>
      <w:r w:rsidRPr="00685D5D">
        <w:t xml:space="preserve"> and the tenant will inspect the dwelling unit prior to occupancy. </w:t>
      </w:r>
      <w:r>
        <w:t>HHA</w:t>
      </w:r>
      <w:r w:rsidRPr="00685D5D">
        <w:t xml:space="preserve"> will give the tenant a copy of the inspection form showing the conditions of the premises, interior and exterior as applicable and any equipment provided in the unit. </w:t>
      </w:r>
      <w:r>
        <w:t>HHA</w:t>
      </w:r>
      <w:r w:rsidRPr="00685D5D">
        <w:t xml:space="preserve"> and the tenant shall sign the inspection form and a copy of the form will be retained in the tenant’s file. </w:t>
      </w:r>
      <w:r>
        <w:t>HHA</w:t>
      </w:r>
      <w:r w:rsidRPr="00685D5D">
        <w:t xml:space="preserve"> will correct any deficiencies noted on the inspection form before or shortly after the tenant moves in depending on the severity of the deficiency, at no charge to the tenant.</w:t>
      </w:r>
    </w:p>
    <w:p w14:paraId="7CE13A52" w14:textId="77777777" w:rsidR="00EE6050" w:rsidRPr="00A408A9" w:rsidRDefault="00EE6050" w:rsidP="00EE6050">
      <w:pPr>
        <w:rPr>
          <w:strike/>
          <w:szCs w:val="20"/>
        </w:rPr>
      </w:pPr>
      <w:r w:rsidRPr="00685D5D">
        <w:t xml:space="preserve">The head of household must attend the initial inspection and sign the inspection </w:t>
      </w:r>
      <w:r w:rsidRPr="00A408A9">
        <w:t xml:space="preserve">form. </w:t>
      </w:r>
    </w:p>
    <w:p w14:paraId="67875313" w14:textId="77777777" w:rsidR="00EE6050" w:rsidRPr="005457A0" w:rsidRDefault="00EE6050" w:rsidP="00677451">
      <w:pPr>
        <w:pStyle w:val="Heading3"/>
      </w:pPr>
      <w:bookmarkStart w:id="1083" w:name="_Toc90029328"/>
      <w:bookmarkStart w:id="1084" w:name="_Toc106037898"/>
      <w:bookmarkStart w:id="1085" w:name="_Toc106201537"/>
      <w:bookmarkStart w:id="1086" w:name="_Toc106202056"/>
      <w:bookmarkStart w:id="1087" w:name="_Toc106202582"/>
      <w:bookmarkStart w:id="1088" w:name="_Toc113345036"/>
      <w:bookmarkStart w:id="1089" w:name="_Toc137461776"/>
      <w:bookmarkStart w:id="1090" w:name="_Toc137471367"/>
      <w:bookmarkStart w:id="1091" w:name="_Toc137471876"/>
      <w:bookmarkStart w:id="1092" w:name="_Toc200375606"/>
      <w:r w:rsidRPr="005457A0">
        <w:t>Move-</w:t>
      </w:r>
      <w:r>
        <w:t>O</w:t>
      </w:r>
      <w:r w:rsidRPr="005457A0">
        <w:t>ut Inspections</w:t>
      </w:r>
      <w:bookmarkEnd w:id="1083"/>
      <w:bookmarkEnd w:id="1084"/>
      <w:bookmarkEnd w:id="1085"/>
      <w:bookmarkEnd w:id="1086"/>
      <w:bookmarkEnd w:id="1087"/>
      <w:bookmarkEnd w:id="1088"/>
      <w:bookmarkEnd w:id="1089"/>
      <w:bookmarkEnd w:id="1090"/>
      <w:bookmarkEnd w:id="1091"/>
      <w:bookmarkEnd w:id="1092"/>
    </w:p>
    <w:p w14:paraId="4D8AE056" w14:textId="77777777" w:rsidR="00EE6050" w:rsidRDefault="00EE6050" w:rsidP="00EE6050">
      <w:r>
        <w:t>HHA</w:t>
      </w:r>
      <w:r w:rsidRPr="005457A0">
        <w:t xml:space="preserve"> will inspect the unit at the time the tenant vacates the unit</w:t>
      </w:r>
      <w:r w:rsidR="004960A2">
        <w:t xml:space="preserve"> and will allow the resident to participate in the inspection if they wish, unless the tenant vacates without notice to HHA</w:t>
      </w:r>
      <w:r w:rsidRPr="005457A0">
        <w:t xml:space="preserve">. </w:t>
      </w:r>
      <w:r>
        <w:t>HHA</w:t>
      </w:r>
      <w:r w:rsidRPr="005457A0">
        <w:t xml:space="preserve"> will provide the tenant a written statement of the charges, if any, </w:t>
      </w:r>
      <w:r w:rsidR="005F4B74">
        <w:t>to be made for maintenance and damage beyond normal wear and tear</w:t>
      </w:r>
      <w:r w:rsidRPr="00963E3D">
        <w:t xml:space="preserve">. </w:t>
      </w:r>
    </w:p>
    <w:p w14:paraId="63CD1450" w14:textId="77777777" w:rsidR="002306DA" w:rsidRDefault="002306DA" w:rsidP="002306DA">
      <w:pPr>
        <w:tabs>
          <w:tab w:val="left" w:pos="-1440"/>
        </w:tabs>
        <w:spacing w:before="120"/>
      </w:pPr>
      <w:r w:rsidRPr="004C55A1">
        <w:t>The difference between the condition of the unit at move-in and move-out establishes the basis for any charges against the security deposit so long as the work needed exceeds that for normal wear and tear.</w:t>
      </w:r>
    </w:p>
    <w:p w14:paraId="4D912F6E" w14:textId="77777777" w:rsidR="00EE6050" w:rsidRPr="00963E3D" w:rsidRDefault="00EE6050" w:rsidP="00EE6050">
      <w:pPr>
        <w:rPr>
          <w:sz w:val="24"/>
          <w:szCs w:val="24"/>
        </w:rPr>
      </w:pPr>
      <w:r w:rsidRPr="00963E3D">
        <w:t>If present, the head of household</w:t>
      </w:r>
      <w:r w:rsidR="00A408A9">
        <w:t>, spouse</w:t>
      </w:r>
      <w:r w:rsidR="00E83F75">
        <w:t>,</w:t>
      </w:r>
      <w:r w:rsidRPr="00963E3D">
        <w:t xml:space="preserve"> or co-head will sign the move-out inspection form.</w:t>
      </w:r>
    </w:p>
    <w:p w14:paraId="55D57E27" w14:textId="77777777" w:rsidR="00EE6050" w:rsidRPr="00963E3D" w:rsidRDefault="00735393" w:rsidP="00677451">
      <w:pPr>
        <w:pStyle w:val="Heading3"/>
      </w:pPr>
      <w:bookmarkStart w:id="1093" w:name="_Toc200375607"/>
      <w:r>
        <w:t>HHA</w:t>
      </w:r>
      <w:r w:rsidR="00926B8A">
        <w:t xml:space="preserve"> Annual</w:t>
      </w:r>
      <w:r>
        <w:t xml:space="preserve"> Self-Inspections</w:t>
      </w:r>
      <w:bookmarkEnd w:id="1093"/>
    </w:p>
    <w:p w14:paraId="7A558D49" w14:textId="77777777" w:rsidR="00882684" w:rsidRDefault="00882684" w:rsidP="00882684">
      <w:pPr>
        <w:tabs>
          <w:tab w:val="left" w:pos="-1440"/>
        </w:tabs>
        <w:spacing w:before="120"/>
      </w:pPr>
      <w:bookmarkStart w:id="1094" w:name="_Hlk141866639"/>
      <w:bookmarkStart w:id="1095" w:name="_Hlk135917140"/>
      <w:r>
        <w:t xml:space="preserve">HHA is required to self-inspect their properties annually, including all units, to ensure units are maintained in accordance with NSPIRE standards </w:t>
      </w:r>
      <w:bookmarkEnd w:id="1094"/>
      <w:r>
        <w:t xml:space="preserve">in 24 CFR 5.703. As part of the self-inspection process, HHA must ensure that deficiencies previously cited </w:t>
      </w:r>
      <w:r w:rsidR="0007421C">
        <w:t xml:space="preserve">have been </w:t>
      </w:r>
      <w:r>
        <w:t xml:space="preserve">repaired </w:t>
      </w:r>
      <w:r w:rsidR="0007421C">
        <w:t>and</w:t>
      </w:r>
      <w:r>
        <w:t xml:space="preserve"> not subsequently failed. </w:t>
      </w:r>
    </w:p>
    <w:p w14:paraId="3F1A11AC" w14:textId="77777777" w:rsidR="00882684" w:rsidRDefault="00E12061" w:rsidP="00882684">
      <w:pPr>
        <w:tabs>
          <w:tab w:val="left" w:pos="-1440"/>
        </w:tabs>
        <w:spacing w:before="120"/>
      </w:pPr>
      <w:r>
        <w:t>HHA</w:t>
      </w:r>
      <w:r w:rsidR="00882684">
        <w:t xml:space="preserve"> must maintain the results of self-inspections for three years and must provide the results to HUD upon request.</w:t>
      </w:r>
    </w:p>
    <w:p w14:paraId="6624B98A" w14:textId="77777777" w:rsidR="00C240EF" w:rsidRDefault="00C240EF" w:rsidP="00677451">
      <w:pPr>
        <w:pStyle w:val="Heading3"/>
      </w:pPr>
      <w:bookmarkStart w:id="1096" w:name="_Toc200375608"/>
      <w:bookmarkEnd w:id="1095"/>
      <w:r>
        <w:t>Quality Control Inspections</w:t>
      </w:r>
      <w:bookmarkEnd w:id="1096"/>
    </w:p>
    <w:p w14:paraId="29EEDCF8" w14:textId="77777777" w:rsidR="002F422C" w:rsidRPr="002F422C" w:rsidRDefault="00440A02" w:rsidP="002F422C">
      <w:pPr>
        <w:spacing w:before="120"/>
      </w:pPr>
      <w:r w:rsidRPr="004C55A1">
        <w:t>The purpose of quality control inspections is to assure that all defects were identified</w:t>
      </w:r>
      <w:r>
        <w:t xml:space="preserve"> in the original inspection</w:t>
      </w:r>
      <w:r w:rsidRPr="004C55A1">
        <w:t>, and that repairs were completed at an acceptable level of craftsmanship and within an acceptable time frame</w:t>
      </w:r>
      <w:r>
        <w:t>.</w:t>
      </w:r>
    </w:p>
    <w:p w14:paraId="4B9FD6E8" w14:textId="77777777" w:rsidR="002F422C" w:rsidRPr="002F422C" w:rsidRDefault="002F422C" w:rsidP="002F422C">
      <w:pPr>
        <w:spacing w:before="120"/>
      </w:pPr>
      <w:r>
        <w:t>Supervisory quality control inspections will be conducted in accordance with HHA’s</w:t>
      </w:r>
      <w:r w:rsidR="001E6C48">
        <w:t xml:space="preserve"> or their agent’s</w:t>
      </w:r>
      <w:r>
        <w:t xml:space="preserve"> maintenance plan</w:t>
      </w:r>
      <w:r w:rsidRPr="004C55A1">
        <w:t>.</w:t>
      </w:r>
    </w:p>
    <w:p w14:paraId="4E0460B1" w14:textId="77777777" w:rsidR="00EE6050" w:rsidRPr="00963E3D" w:rsidRDefault="00EE6050" w:rsidP="00677451">
      <w:pPr>
        <w:pStyle w:val="Heading3"/>
      </w:pPr>
      <w:bookmarkStart w:id="1097" w:name="_Toc106037900"/>
      <w:bookmarkStart w:id="1098" w:name="_Toc106201539"/>
      <w:bookmarkStart w:id="1099" w:name="_Toc106202058"/>
      <w:bookmarkStart w:id="1100" w:name="_Toc106202584"/>
      <w:bookmarkStart w:id="1101" w:name="_Toc113345039"/>
      <w:bookmarkStart w:id="1102" w:name="_Toc137461779"/>
      <w:bookmarkStart w:id="1103" w:name="_Toc137471370"/>
      <w:bookmarkStart w:id="1104" w:name="_Toc137471879"/>
      <w:bookmarkStart w:id="1105" w:name="_Toc200375609"/>
      <w:r w:rsidRPr="00963E3D">
        <w:t>Special Inspections</w:t>
      </w:r>
      <w:bookmarkEnd w:id="1097"/>
      <w:bookmarkEnd w:id="1098"/>
      <w:bookmarkEnd w:id="1099"/>
      <w:bookmarkEnd w:id="1100"/>
      <w:bookmarkEnd w:id="1101"/>
      <w:bookmarkEnd w:id="1102"/>
      <w:bookmarkEnd w:id="1103"/>
      <w:bookmarkEnd w:id="1104"/>
      <w:bookmarkEnd w:id="1105"/>
    </w:p>
    <w:p w14:paraId="18FE3B0C" w14:textId="77777777" w:rsidR="00EE6050" w:rsidRPr="00963E3D" w:rsidRDefault="00EE6050" w:rsidP="00EE6050">
      <w:r>
        <w:t>HHA</w:t>
      </w:r>
      <w:r w:rsidRPr="00963E3D">
        <w:t xml:space="preserve"> staff may conduct a special inspection for any of the following reasons:</w:t>
      </w:r>
    </w:p>
    <w:p w14:paraId="6C2BFF8B" w14:textId="77777777" w:rsidR="002F422C" w:rsidRDefault="002F422C" w:rsidP="007F177E">
      <w:pPr>
        <w:pStyle w:val="ListParagraph"/>
        <w:numPr>
          <w:ilvl w:val="0"/>
          <w:numId w:val="244"/>
        </w:numPr>
        <w:contextualSpacing w:val="0"/>
      </w:pPr>
      <w:r>
        <w:t>Housekeeping,</w:t>
      </w:r>
    </w:p>
    <w:p w14:paraId="6EF75C92" w14:textId="77777777" w:rsidR="00EE6050" w:rsidRPr="00963E3D" w:rsidRDefault="00EE6050" w:rsidP="007F177E">
      <w:pPr>
        <w:pStyle w:val="ListParagraph"/>
        <w:numPr>
          <w:ilvl w:val="0"/>
          <w:numId w:val="244"/>
        </w:numPr>
        <w:contextualSpacing w:val="0"/>
      </w:pPr>
      <w:r w:rsidRPr="00963E3D">
        <w:t>Unit condition</w:t>
      </w:r>
      <w:r w:rsidR="002F422C">
        <w:t>,</w:t>
      </w:r>
    </w:p>
    <w:p w14:paraId="22A74E98" w14:textId="77777777" w:rsidR="00EE6050" w:rsidRPr="00963E3D" w:rsidRDefault="00EE6050" w:rsidP="007F177E">
      <w:pPr>
        <w:pStyle w:val="ListParagraph"/>
        <w:numPr>
          <w:ilvl w:val="0"/>
          <w:numId w:val="244"/>
        </w:numPr>
        <w:contextualSpacing w:val="0"/>
      </w:pPr>
      <w:r w:rsidRPr="00963E3D">
        <w:t>Suspected lease violation</w:t>
      </w:r>
      <w:r w:rsidR="002F422C">
        <w:t>,</w:t>
      </w:r>
    </w:p>
    <w:p w14:paraId="077ED2F2" w14:textId="77777777" w:rsidR="00EE6050" w:rsidRPr="00963E3D" w:rsidRDefault="00EE6050" w:rsidP="007F177E">
      <w:pPr>
        <w:pStyle w:val="ListParagraph"/>
        <w:numPr>
          <w:ilvl w:val="0"/>
          <w:numId w:val="244"/>
        </w:numPr>
        <w:contextualSpacing w:val="0"/>
      </w:pPr>
      <w:r w:rsidRPr="00963E3D">
        <w:t>Preventive maintenance</w:t>
      </w:r>
      <w:r w:rsidR="002F422C">
        <w:t>,</w:t>
      </w:r>
    </w:p>
    <w:p w14:paraId="276F4A75" w14:textId="77777777" w:rsidR="00EE6050" w:rsidRPr="00114E54" w:rsidRDefault="00EE6050" w:rsidP="007F177E">
      <w:pPr>
        <w:pStyle w:val="ListParagraph"/>
        <w:numPr>
          <w:ilvl w:val="0"/>
          <w:numId w:val="244"/>
        </w:numPr>
        <w:contextualSpacing w:val="0"/>
      </w:pPr>
      <w:r w:rsidRPr="00114E54">
        <w:t>Routine maintenance</w:t>
      </w:r>
      <w:r w:rsidR="002F422C">
        <w:t>,</w:t>
      </w:r>
      <w:r w:rsidR="00727844">
        <w:t xml:space="preserve"> and/or</w:t>
      </w:r>
    </w:p>
    <w:p w14:paraId="73883B59" w14:textId="77777777" w:rsidR="006D2C75" w:rsidRPr="00114E54" w:rsidRDefault="00EE6050" w:rsidP="007F177E">
      <w:pPr>
        <w:pStyle w:val="ListParagraph"/>
        <w:numPr>
          <w:ilvl w:val="0"/>
          <w:numId w:val="244"/>
        </w:numPr>
        <w:contextualSpacing w:val="0"/>
      </w:pPr>
      <w:r w:rsidRPr="00114E54">
        <w:t>There is reasonable cause to believe an emergency exists</w:t>
      </w:r>
      <w:r w:rsidR="00727844">
        <w:t>.</w:t>
      </w:r>
    </w:p>
    <w:p w14:paraId="4C59C529" w14:textId="77777777" w:rsidR="00EE6050" w:rsidRPr="005457A0" w:rsidRDefault="00EE6050" w:rsidP="00677451">
      <w:pPr>
        <w:pStyle w:val="Heading3"/>
      </w:pPr>
      <w:bookmarkStart w:id="1106" w:name="_Toc106037901"/>
      <w:bookmarkStart w:id="1107" w:name="_Toc106201540"/>
      <w:bookmarkStart w:id="1108" w:name="_Toc106202059"/>
      <w:bookmarkStart w:id="1109" w:name="_Toc106202585"/>
      <w:bookmarkStart w:id="1110" w:name="_Toc113345040"/>
      <w:bookmarkStart w:id="1111" w:name="_Toc137461780"/>
      <w:bookmarkStart w:id="1112" w:name="_Toc137471371"/>
      <w:bookmarkStart w:id="1113" w:name="_Toc137471880"/>
      <w:bookmarkStart w:id="1114" w:name="_Toc200375610"/>
      <w:r w:rsidRPr="005457A0">
        <w:t>Other Inspections</w:t>
      </w:r>
      <w:bookmarkEnd w:id="1106"/>
      <w:bookmarkEnd w:id="1107"/>
      <w:bookmarkEnd w:id="1108"/>
      <w:bookmarkEnd w:id="1109"/>
      <w:bookmarkEnd w:id="1110"/>
      <w:bookmarkEnd w:id="1111"/>
      <w:bookmarkEnd w:id="1112"/>
      <w:bookmarkEnd w:id="1113"/>
      <w:bookmarkEnd w:id="1114"/>
    </w:p>
    <w:p w14:paraId="2AED8B3D" w14:textId="77777777" w:rsidR="00EE6050" w:rsidRDefault="00EE6050" w:rsidP="00EE6050">
      <w:r>
        <w:t xml:space="preserve">Building exteriors, grounds, common areas and systems will be inspected according to HHA’s </w:t>
      </w:r>
      <w:r w:rsidR="001E6C48">
        <w:t>or their agent’s m</w:t>
      </w:r>
      <w:r>
        <w:t>aintenance plan.</w:t>
      </w:r>
    </w:p>
    <w:p w14:paraId="760378BA" w14:textId="77777777" w:rsidR="00EE6050" w:rsidRDefault="006F417C" w:rsidP="00BB64BD">
      <w:pPr>
        <w:pStyle w:val="Heading2"/>
      </w:pPr>
      <w:bookmarkStart w:id="1115" w:name="_Toc90029330"/>
      <w:bookmarkStart w:id="1116" w:name="_Toc106037902"/>
      <w:bookmarkStart w:id="1117" w:name="_Toc106201541"/>
      <w:bookmarkStart w:id="1118" w:name="_Toc106202060"/>
      <w:bookmarkStart w:id="1119" w:name="_Toc106202586"/>
      <w:bookmarkStart w:id="1120" w:name="_Toc113345041"/>
      <w:bookmarkStart w:id="1121" w:name="_Toc137460394"/>
      <w:bookmarkStart w:id="1122" w:name="_Toc137460639"/>
      <w:bookmarkStart w:id="1123" w:name="_Toc137460884"/>
      <w:bookmarkStart w:id="1124" w:name="_Toc137461781"/>
      <w:bookmarkStart w:id="1125" w:name="_Toc137471372"/>
      <w:bookmarkStart w:id="1126" w:name="_Toc137471881"/>
      <w:bookmarkStart w:id="1127" w:name="_Toc173222686"/>
      <w:bookmarkStart w:id="1128" w:name="_Toc200375611"/>
      <w:bookmarkStart w:id="1129" w:name="_Toc200376952"/>
      <w:r w:rsidRPr="002965D3">
        <w:t>Scheduling Inspections/Unit Repairs</w:t>
      </w:r>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p>
    <w:p w14:paraId="7E3B620A" w14:textId="77777777" w:rsidR="00C072B9" w:rsidRPr="00813845" w:rsidRDefault="00C072B9" w:rsidP="00C072B9">
      <w:r w:rsidRPr="00813845">
        <w:t xml:space="preserve">Inspections will be conducted during business hours. If a family needs to reschedule an inspection, they must notify </w:t>
      </w:r>
      <w:r>
        <w:t>H</w:t>
      </w:r>
      <w:r w:rsidRPr="00813845">
        <w:t xml:space="preserve">HA at least 24 hours prior to the scheduled inspection. </w:t>
      </w:r>
      <w:r>
        <w:t>H</w:t>
      </w:r>
      <w:r w:rsidRPr="00813845">
        <w:t xml:space="preserve">HA will reschedule the inspection no more than once unless the resident has a verifiable good cause to delay the inspection. </w:t>
      </w:r>
      <w:r>
        <w:t>H</w:t>
      </w:r>
      <w:r w:rsidRPr="00813845">
        <w:t>HA may request verification of such cause.</w:t>
      </w:r>
    </w:p>
    <w:p w14:paraId="472D1E2E" w14:textId="77777777" w:rsidR="00F223AD" w:rsidRDefault="0043436F" w:rsidP="00BB64BD">
      <w:pPr>
        <w:pStyle w:val="Heading2"/>
      </w:pPr>
      <w:bookmarkStart w:id="1130" w:name="_Toc173222687"/>
      <w:bookmarkStart w:id="1131" w:name="_Toc200375612"/>
      <w:bookmarkStart w:id="1132" w:name="_Toc200376953"/>
      <w:bookmarkStart w:id="1133" w:name="_Toc90029329"/>
      <w:bookmarkStart w:id="1134" w:name="_Toc106037903"/>
      <w:bookmarkStart w:id="1135" w:name="_Toc106201542"/>
      <w:bookmarkStart w:id="1136" w:name="_Toc106202061"/>
      <w:bookmarkStart w:id="1137" w:name="_Toc106202587"/>
      <w:bookmarkStart w:id="1138" w:name="_Toc113345042"/>
      <w:bookmarkStart w:id="1139" w:name="_Toc137460395"/>
      <w:bookmarkStart w:id="1140" w:name="_Toc137460640"/>
      <w:bookmarkStart w:id="1141" w:name="_Toc137460885"/>
      <w:bookmarkStart w:id="1142" w:name="_Toc137461782"/>
      <w:bookmarkStart w:id="1143" w:name="_Toc137471373"/>
      <w:bookmarkStart w:id="1144" w:name="_Toc137471882"/>
      <w:r w:rsidRPr="002965D3">
        <w:t xml:space="preserve">Notice </w:t>
      </w:r>
      <w:r>
        <w:t>o</w:t>
      </w:r>
      <w:r w:rsidRPr="002965D3">
        <w:t xml:space="preserve">f </w:t>
      </w:r>
      <w:r w:rsidR="00F223AD">
        <w:t>Entry</w:t>
      </w:r>
      <w:bookmarkEnd w:id="1130"/>
      <w:bookmarkEnd w:id="1131"/>
      <w:bookmarkEnd w:id="1132"/>
    </w:p>
    <w:p w14:paraId="28EBB0FD" w14:textId="77777777" w:rsidR="00EE6050" w:rsidRPr="002965D3" w:rsidRDefault="00F223AD" w:rsidP="00677451">
      <w:pPr>
        <w:pStyle w:val="Heading3"/>
      </w:pPr>
      <w:bookmarkStart w:id="1145" w:name="_Toc200375613"/>
      <w:r>
        <w:t xml:space="preserve">Notice of </w:t>
      </w:r>
      <w:r w:rsidR="0043436F" w:rsidRPr="002965D3">
        <w:t>Non-Emergency Entries</w:t>
      </w:r>
      <w:bookmarkEnd w:id="1133"/>
      <w:bookmarkEnd w:id="1134"/>
      <w:bookmarkEnd w:id="1135"/>
      <w:bookmarkEnd w:id="1136"/>
      <w:bookmarkEnd w:id="1137"/>
      <w:bookmarkEnd w:id="1138"/>
      <w:bookmarkEnd w:id="1139"/>
      <w:bookmarkEnd w:id="1140"/>
      <w:bookmarkEnd w:id="1141"/>
      <w:bookmarkEnd w:id="1142"/>
      <w:bookmarkEnd w:id="1143"/>
      <w:bookmarkEnd w:id="1144"/>
      <w:bookmarkEnd w:id="1145"/>
    </w:p>
    <w:p w14:paraId="74F1B16C" w14:textId="77777777" w:rsidR="0043436F" w:rsidRPr="004C55A1" w:rsidRDefault="0043436F" w:rsidP="0043436F">
      <w:pPr>
        <w:spacing w:before="120"/>
      </w:pPr>
      <w:r>
        <w:t xml:space="preserve">HHA </w:t>
      </w:r>
      <w:r w:rsidRPr="004C55A1">
        <w:t xml:space="preserve">will notify the resident in writing at least 48 hours prior to any non-emergency </w:t>
      </w:r>
      <w:r>
        <w:t>inspection</w:t>
      </w:r>
      <w:r w:rsidRPr="004C55A1">
        <w:t xml:space="preserve">. </w:t>
      </w:r>
    </w:p>
    <w:p w14:paraId="7730826E" w14:textId="77777777" w:rsidR="0043436F" w:rsidRDefault="0043436F" w:rsidP="0043436F">
      <w:pPr>
        <w:spacing w:before="120"/>
      </w:pPr>
      <w:r w:rsidRPr="004C55A1">
        <w:t xml:space="preserve">For regular annual </w:t>
      </w:r>
      <w:r w:rsidR="00926B8A">
        <w:t>self-</w:t>
      </w:r>
      <w:r w:rsidRPr="004C55A1">
        <w:t xml:space="preserve">inspections, the family will receive at least </w:t>
      </w:r>
      <w:r>
        <w:t>two</w:t>
      </w:r>
      <w:r w:rsidRPr="004C55A1">
        <w:t xml:space="preserve"> weeks written notice of the inspection to allow the family to prepare the unit for the inspection.</w:t>
      </w:r>
    </w:p>
    <w:p w14:paraId="1B089C17" w14:textId="77777777" w:rsidR="00E26E9A" w:rsidRPr="004C55A1" w:rsidRDefault="00E26E9A" w:rsidP="00E26E9A">
      <w:pPr>
        <w:spacing w:before="120"/>
      </w:pPr>
      <w:r w:rsidRPr="004C55A1">
        <w:t xml:space="preserve">Except at move-in inspections, the resident is not required to be present for the inspection. The resident may attend the inspection if </w:t>
      </w:r>
      <w:r>
        <w:t>they</w:t>
      </w:r>
      <w:r w:rsidRPr="004C55A1">
        <w:t xml:space="preserve"> wish.</w:t>
      </w:r>
      <w:r>
        <w:t xml:space="preserve"> </w:t>
      </w:r>
      <w:r w:rsidRPr="004C55A1">
        <w:t>If no one is at home, the inspector will enter the unit</w:t>
      </w:r>
      <w:r>
        <w:t>,</w:t>
      </w:r>
      <w:r w:rsidRPr="004C55A1">
        <w:t xml:space="preserve"> conduct the inspection</w:t>
      </w:r>
      <w:r>
        <w:t xml:space="preserve"> and leave a copy o</w:t>
      </w:r>
      <w:r w:rsidRPr="004C55A1">
        <w:t>f the inspection report in the unit.</w:t>
      </w:r>
    </w:p>
    <w:p w14:paraId="3458E803" w14:textId="77777777" w:rsidR="0043436F" w:rsidRDefault="0043436F" w:rsidP="0043436F">
      <w:pPr>
        <w:spacing w:before="120"/>
      </w:pPr>
      <w:r w:rsidRPr="004C55A1">
        <w:t xml:space="preserve">Entry for repairs requested by the family will not require prior notice. Resident-requested repairs presume permission for </w:t>
      </w:r>
      <w:r>
        <w:t>HHA</w:t>
      </w:r>
      <w:r w:rsidRPr="004C55A1">
        <w:t xml:space="preserve"> to enter the unit.</w:t>
      </w:r>
    </w:p>
    <w:p w14:paraId="51C983C5" w14:textId="77777777" w:rsidR="0043436F" w:rsidRDefault="0043436F" w:rsidP="0043436F">
      <w:r w:rsidRPr="00E82C7C">
        <w:t xml:space="preserve">Except for emergencies, management will not enter the dwelling unit </w:t>
      </w:r>
      <w:r>
        <w:t>to perform inspections</w:t>
      </w:r>
      <w:r w:rsidRPr="00E82C7C">
        <w:t xml:space="preserve"> where a pet resides unless accompanied for the entire duration of the inspection by the pet owner or responsible person designated by the pet owner</w:t>
      </w:r>
      <w:r>
        <w:t xml:space="preserve"> in accordance with HHA pet policy.</w:t>
      </w:r>
    </w:p>
    <w:p w14:paraId="3AD0FDC0" w14:textId="77777777" w:rsidR="00F223AD" w:rsidRPr="001B16CF" w:rsidRDefault="00F223AD" w:rsidP="00677451">
      <w:pPr>
        <w:pStyle w:val="Heading3"/>
      </w:pPr>
      <w:bookmarkStart w:id="1146" w:name="_Toc90029331"/>
      <w:bookmarkStart w:id="1147" w:name="_Toc106037905"/>
      <w:bookmarkStart w:id="1148" w:name="_Toc106201544"/>
      <w:bookmarkStart w:id="1149" w:name="_Toc106202063"/>
      <w:bookmarkStart w:id="1150" w:name="_Toc106202589"/>
      <w:bookmarkStart w:id="1151" w:name="_Toc113345044"/>
      <w:bookmarkStart w:id="1152" w:name="_Toc137460397"/>
      <w:bookmarkStart w:id="1153" w:name="_Toc137460642"/>
      <w:bookmarkStart w:id="1154" w:name="_Toc137460887"/>
      <w:bookmarkStart w:id="1155" w:name="_Toc137461784"/>
      <w:bookmarkStart w:id="1156" w:name="_Toc137471375"/>
      <w:bookmarkStart w:id="1157" w:name="_Toc137471884"/>
      <w:bookmarkStart w:id="1158" w:name="_Toc200375614"/>
      <w:r>
        <w:t xml:space="preserve">Notice of </w:t>
      </w:r>
      <w:r w:rsidRPr="001B16CF">
        <w:t>Emergency Entries</w:t>
      </w:r>
      <w:bookmarkEnd w:id="1146"/>
      <w:bookmarkEnd w:id="1147"/>
      <w:bookmarkEnd w:id="1148"/>
      <w:bookmarkEnd w:id="1149"/>
      <w:bookmarkEnd w:id="1150"/>
      <w:bookmarkEnd w:id="1151"/>
      <w:bookmarkEnd w:id="1152"/>
      <w:bookmarkEnd w:id="1153"/>
      <w:bookmarkEnd w:id="1154"/>
      <w:bookmarkEnd w:id="1155"/>
      <w:bookmarkEnd w:id="1156"/>
      <w:bookmarkEnd w:id="1157"/>
      <w:bookmarkEnd w:id="1158"/>
    </w:p>
    <w:p w14:paraId="7EA378C7" w14:textId="77777777" w:rsidR="00F223AD" w:rsidRDefault="00F223AD" w:rsidP="00F223AD">
      <w:r>
        <w:t>HHA may enter the dwelling unit at any time without advance notice when there is reasonable cause to believe that an emergency exists. If</w:t>
      </w:r>
      <w:r w:rsidRPr="004C55A1">
        <w:t xml:space="preserve"> no adult household member is present at the time of an emergency entry, </w:t>
      </w:r>
      <w:r>
        <w:t>HHA will</w:t>
      </w:r>
      <w:r w:rsidRPr="004C55A1">
        <w:t xml:space="preserve"> leave a written statement showing the date, time and purpose of the entry</w:t>
      </w:r>
      <w:r>
        <w:t xml:space="preserve"> prior to leaving the dwelling unit</w:t>
      </w:r>
      <w:r w:rsidRPr="004C55A1">
        <w:t>.</w:t>
      </w:r>
    </w:p>
    <w:p w14:paraId="605D55D0" w14:textId="77777777" w:rsidR="00F223AD" w:rsidRDefault="00F223AD" w:rsidP="00BB64BD">
      <w:pPr>
        <w:pStyle w:val="Heading2"/>
      </w:pPr>
      <w:bookmarkStart w:id="1159" w:name="_Toc173222688"/>
      <w:bookmarkStart w:id="1160" w:name="_Toc200375615"/>
      <w:bookmarkStart w:id="1161" w:name="_Toc200376954"/>
      <w:bookmarkStart w:id="1162" w:name="_Toc90029333"/>
      <w:bookmarkStart w:id="1163" w:name="_Toc106037904"/>
      <w:bookmarkStart w:id="1164" w:name="_Toc106201543"/>
      <w:bookmarkStart w:id="1165" w:name="_Toc106202062"/>
      <w:bookmarkStart w:id="1166" w:name="_Toc106202588"/>
      <w:bookmarkStart w:id="1167" w:name="_Toc113345043"/>
      <w:bookmarkStart w:id="1168" w:name="_Toc137460396"/>
      <w:bookmarkStart w:id="1169" w:name="_Toc137460641"/>
      <w:bookmarkStart w:id="1170" w:name="_Toc137460886"/>
      <w:bookmarkStart w:id="1171" w:name="_Toc137461783"/>
      <w:bookmarkStart w:id="1172" w:name="_Toc137471374"/>
      <w:bookmarkStart w:id="1173" w:name="_Toc137471883"/>
      <w:r>
        <w:t>Repairs</w:t>
      </w:r>
      <w:bookmarkEnd w:id="1159"/>
      <w:bookmarkEnd w:id="1160"/>
      <w:bookmarkEnd w:id="1161"/>
    </w:p>
    <w:p w14:paraId="77B1FF93" w14:textId="77777777" w:rsidR="00EE6050" w:rsidRPr="00E947AB" w:rsidRDefault="00E26E9A" w:rsidP="00677451">
      <w:pPr>
        <w:pStyle w:val="Heading3"/>
      </w:pPr>
      <w:bookmarkStart w:id="1174" w:name="_Toc200375616"/>
      <w:r w:rsidRPr="00E947AB">
        <w:t>Non-Emergency Repairs</w:t>
      </w:r>
      <w:bookmarkEnd w:id="1162"/>
      <w:bookmarkEnd w:id="1163"/>
      <w:bookmarkEnd w:id="1164"/>
      <w:bookmarkEnd w:id="1165"/>
      <w:bookmarkEnd w:id="1166"/>
      <w:bookmarkEnd w:id="1167"/>
      <w:bookmarkEnd w:id="1168"/>
      <w:bookmarkEnd w:id="1169"/>
      <w:bookmarkEnd w:id="1170"/>
      <w:bookmarkEnd w:id="1171"/>
      <w:bookmarkEnd w:id="1172"/>
      <w:bookmarkEnd w:id="1173"/>
      <w:bookmarkEnd w:id="1174"/>
    </w:p>
    <w:p w14:paraId="02A6A3A4" w14:textId="77777777" w:rsidR="00A97A49" w:rsidRDefault="00EE6050" w:rsidP="00A97A49">
      <w:pPr>
        <w:spacing w:before="120"/>
      </w:pPr>
      <w:r>
        <w:rPr>
          <w:bCs/>
        </w:rPr>
        <w:t>HHA</w:t>
      </w:r>
      <w:r w:rsidRPr="00E947AB">
        <w:rPr>
          <w:bCs/>
        </w:rPr>
        <w:t xml:space="preserve"> will correct non-life threatening health and safety defects within </w:t>
      </w:r>
      <w:r w:rsidR="00E26E9A">
        <w:rPr>
          <w:bCs/>
        </w:rPr>
        <w:t>1</w:t>
      </w:r>
      <w:r>
        <w:rPr>
          <w:bCs/>
        </w:rPr>
        <w:t>5</w:t>
      </w:r>
      <w:r w:rsidRPr="00E947AB">
        <w:rPr>
          <w:bCs/>
        </w:rPr>
        <w:t xml:space="preserve"> business days of the inspection date</w:t>
      </w:r>
      <w:r>
        <w:rPr>
          <w:bCs/>
        </w:rPr>
        <w:t xml:space="preserve"> or repair request date</w:t>
      </w:r>
      <w:r w:rsidRPr="00E947AB">
        <w:rPr>
          <w:bCs/>
        </w:rPr>
        <w:t xml:space="preserve">. </w:t>
      </w:r>
      <w:r w:rsidR="00A97A49">
        <w:t>If HHA is unable to make repairs within that period due to circumstances beyond HHA’s control (e.g.,</w:t>
      </w:r>
      <w:r w:rsidR="00A97A49" w:rsidRPr="0018240B">
        <w:t xml:space="preserve"> </w:t>
      </w:r>
      <w:r w:rsidR="00A97A49">
        <w:t>required parts or services are not available, unsuitable weather conditions) HHA will notify the family of an estimated date of completion.</w:t>
      </w:r>
    </w:p>
    <w:p w14:paraId="4DE07A28" w14:textId="77777777" w:rsidR="00A97A49" w:rsidRDefault="00A97A49" w:rsidP="00A97A49">
      <w:pPr>
        <w:spacing w:before="120"/>
      </w:pPr>
      <w:r>
        <w:t>T</w:t>
      </w:r>
      <w:r w:rsidRPr="004C55A1">
        <w:t xml:space="preserve">he family must allow </w:t>
      </w:r>
      <w:r>
        <w:t>H</w:t>
      </w:r>
      <w:r w:rsidRPr="004C55A1">
        <w:t>HA access to the unit to make repairs.</w:t>
      </w:r>
    </w:p>
    <w:p w14:paraId="37BB377C" w14:textId="77777777" w:rsidR="00EE6050" w:rsidRPr="00E947AB" w:rsidRDefault="00A97A49" w:rsidP="00A97A49">
      <w:pPr>
        <w:rPr>
          <w:bCs/>
          <w:highlight w:val="yellow"/>
        </w:rPr>
      </w:pPr>
      <w:r w:rsidRPr="00E82C7C">
        <w:t xml:space="preserve">Except for emergencies, management will not enter the dwelling unit to perform </w:t>
      </w:r>
      <w:r>
        <w:t>repairs</w:t>
      </w:r>
      <w:r w:rsidRPr="00E82C7C">
        <w:t xml:space="preserve"> where a pet resides unless accompanied for the entire duration of the </w:t>
      </w:r>
      <w:r>
        <w:t>repair</w:t>
      </w:r>
      <w:r w:rsidRPr="00E82C7C">
        <w:t xml:space="preserve"> by the pet owner or responsible person designated by the pet owner in accordance with </w:t>
      </w:r>
      <w:r>
        <w:t>HHA’s</w:t>
      </w:r>
      <w:r w:rsidRPr="00E82C7C">
        <w:t xml:space="preserve"> pet policies</w:t>
      </w:r>
      <w:r>
        <w:t>.</w:t>
      </w:r>
    </w:p>
    <w:p w14:paraId="244C708E" w14:textId="77777777" w:rsidR="00EE6050" w:rsidRPr="00477399" w:rsidRDefault="00CE65C1" w:rsidP="00677451">
      <w:pPr>
        <w:pStyle w:val="Heading3"/>
      </w:pPr>
      <w:bookmarkStart w:id="1175" w:name="_Toc90029332"/>
      <w:bookmarkStart w:id="1176" w:name="_Toc106037906"/>
      <w:bookmarkStart w:id="1177" w:name="_Toc106201545"/>
      <w:bookmarkStart w:id="1178" w:name="_Toc106202064"/>
      <w:bookmarkStart w:id="1179" w:name="_Toc106202590"/>
      <w:bookmarkStart w:id="1180" w:name="_Toc113345045"/>
      <w:bookmarkStart w:id="1181" w:name="_Toc137460398"/>
      <w:bookmarkStart w:id="1182" w:name="_Toc137460643"/>
      <w:bookmarkStart w:id="1183" w:name="_Toc137460888"/>
      <w:bookmarkStart w:id="1184" w:name="_Toc137461785"/>
      <w:bookmarkStart w:id="1185" w:name="_Toc137471376"/>
      <w:bookmarkStart w:id="1186" w:name="_Toc137471885"/>
      <w:bookmarkStart w:id="1187" w:name="_Toc200375617"/>
      <w:r w:rsidRPr="00477399">
        <w:t>Emergency Repairs</w:t>
      </w:r>
      <w:bookmarkEnd w:id="1175"/>
      <w:bookmarkEnd w:id="1176"/>
      <w:bookmarkEnd w:id="1177"/>
      <w:bookmarkEnd w:id="1178"/>
      <w:bookmarkEnd w:id="1179"/>
      <w:bookmarkEnd w:id="1180"/>
      <w:bookmarkEnd w:id="1181"/>
      <w:bookmarkEnd w:id="1182"/>
      <w:bookmarkEnd w:id="1183"/>
      <w:bookmarkEnd w:id="1184"/>
      <w:bookmarkEnd w:id="1185"/>
      <w:bookmarkEnd w:id="1186"/>
      <w:bookmarkEnd w:id="1187"/>
    </w:p>
    <w:p w14:paraId="2386CFA1" w14:textId="77777777" w:rsidR="002234C3" w:rsidRPr="004C55A1" w:rsidRDefault="002234C3" w:rsidP="002234C3">
      <w:pPr>
        <w:spacing w:before="120"/>
      </w:pPr>
      <w:r w:rsidRPr="004C55A1">
        <w:t xml:space="preserve">If the unit is damaged to the extent that conditions are created which are hazardous to the life, health, or safety of the occupants, </w:t>
      </w:r>
      <w:r>
        <w:t>the tenant must immediately notify HHA of the damage, and HHA</w:t>
      </w:r>
      <w:r w:rsidRPr="004C55A1">
        <w:t xml:space="preserve"> must make repairs within</w:t>
      </w:r>
      <w:r>
        <w:t xml:space="preserve"> a reasonable time frame. </w:t>
      </w:r>
      <w:bookmarkStart w:id="1188" w:name="_Hlk141867977"/>
      <w:r>
        <w:t>Under NSPIRE, HHA</w:t>
      </w:r>
      <w:r w:rsidRPr="00196F2D">
        <w:t xml:space="preserve"> must correct all Life-Threatening and Severe </w:t>
      </w:r>
      <w:r w:rsidRPr="00E6211C">
        <w:t>deficiencies</w:t>
      </w:r>
      <w:r w:rsidRPr="00196F2D">
        <w:t xml:space="preserve"> within 24 hours</w:t>
      </w:r>
      <w:r>
        <w:t>.</w:t>
      </w:r>
      <w:bookmarkEnd w:id="1188"/>
    </w:p>
    <w:p w14:paraId="05D81761" w14:textId="77777777" w:rsidR="002234C3" w:rsidRPr="004C55A1" w:rsidRDefault="002234C3" w:rsidP="002234C3">
      <w:pPr>
        <w:spacing w:before="120"/>
      </w:pPr>
      <w:r w:rsidRPr="004C55A1">
        <w:t xml:space="preserve">If the damage was caused by a household member or guest, </w:t>
      </w:r>
      <w:r>
        <w:t>HHA</w:t>
      </w:r>
      <w:r w:rsidRPr="004C55A1">
        <w:t xml:space="preserve"> </w:t>
      </w:r>
      <w:r>
        <w:t>must</w:t>
      </w:r>
      <w:r w:rsidRPr="004C55A1">
        <w:t xml:space="preserve"> charge the family for the reasonable cost of repairs. </w:t>
      </w:r>
      <w:r>
        <w:t>HHA</w:t>
      </w:r>
      <w:r w:rsidRPr="004C55A1">
        <w:t xml:space="preserve"> may also take lease enforcement action against the family.</w:t>
      </w:r>
    </w:p>
    <w:p w14:paraId="4E058714" w14:textId="77777777" w:rsidR="002234C3" w:rsidRDefault="002234C3" w:rsidP="002234C3">
      <w:r w:rsidRPr="004C55A1">
        <w:t xml:space="preserve">If </w:t>
      </w:r>
      <w:r>
        <w:t>HHA</w:t>
      </w:r>
      <w:r w:rsidRPr="004C55A1">
        <w:t xml:space="preserve"> cannot make repairs quickly, </w:t>
      </w:r>
      <w:r>
        <w:t>HHA</w:t>
      </w:r>
      <w:r w:rsidRPr="004C55A1">
        <w:t xml:space="preserve"> must offer the family standard alternative accommodations.</w:t>
      </w:r>
      <w:r>
        <w:t xml:space="preserve"> </w:t>
      </w:r>
      <w:r w:rsidRPr="004C55A1">
        <w:t xml:space="preserve">If </w:t>
      </w:r>
      <w:r>
        <w:t>HHA</w:t>
      </w:r>
      <w:r w:rsidRPr="004C55A1">
        <w:t xml:space="preserve"> can neither repair the defect within </w:t>
      </w:r>
      <w:r>
        <w:t>a reasonable time frame</w:t>
      </w:r>
      <w:r w:rsidRPr="004C55A1">
        <w:t xml:space="preserve"> nor offer alternative housing, rent shall be abated in proportion to the seriousness of the damage and loss in value as a dwelling.</w:t>
      </w:r>
      <w:r>
        <w:t xml:space="preserve"> </w:t>
      </w:r>
      <w:r w:rsidRPr="004C55A1">
        <w:t>Rent shall not be abated if the damage was caused by a household member or guest, or if the resident rejects the alternative accommodations.</w:t>
      </w:r>
    </w:p>
    <w:p w14:paraId="451BF5DD" w14:textId="77777777" w:rsidR="00EE6050" w:rsidRPr="002965D3" w:rsidRDefault="00AF3997" w:rsidP="00BB64BD">
      <w:pPr>
        <w:pStyle w:val="Heading2"/>
      </w:pPr>
      <w:bookmarkStart w:id="1189" w:name="_Toc90029336"/>
      <w:bookmarkStart w:id="1190" w:name="_Toc106037908"/>
      <w:bookmarkStart w:id="1191" w:name="_Toc106201547"/>
      <w:bookmarkStart w:id="1192" w:name="_Toc106202066"/>
      <w:bookmarkStart w:id="1193" w:name="_Toc106202592"/>
      <w:bookmarkStart w:id="1194" w:name="_Toc113345046"/>
      <w:bookmarkStart w:id="1195" w:name="_Toc137460399"/>
      <w:bookmarkStart w:id="1196" w:name="_Toc137460644"/>
      <w:bookmarkStart w:id="1197" w:name="_Toc137460889"/>
      <w:bookmarkStart w:id="1198" w:name="_Toc137461786"/>
      <w:bookmarkStart w:id="1199" w:name="_Toc137471377"/>
      <w:bookmarkStart w:id="1200" w:name="_Toc137471886"/>
      <w:bookmarkStart w:id="1201" w:name="_Toc173222689"/>
      <w:bookmarkStart w:id="1202" w:name="_Toc200375618"/>
      <w:bookmarkStart w:id="1203" w:name="_Toc200376955"/>
      <w:r w:rsidRPr="002965D3">
        <w:t>Tenant-Caused Damages</w:t>
      </w:r>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p>
    <w:p w14:paraId="5CB3F2D4" w14:textId="77777777" w:rsidR="00EE6050" w:rsidRPr="002965D3" w:rsidRDefault="00EE6050" w:rsidP="00EE6050">
      <w:r w:rsidRPr="002965D3">
        <w:t xml:space="preserve">Damages to the unit beyond wear and tear will be billed to the tenant in accordance with </w:t>
      </w:r>
      <w:r>
        <w:t>HHA</w:t>
      </w:r>
      <w:r w:rsidRPr="002965D3">
        <w:t xml:space="preserve"> policies. </w:t>
      </w:r>
    </w:p>
    <w:p w14:paraId="7E779D28" w14:textId="77777777" w:rsidR="00EE6050" w:rsidRDefault="00EE6050" w:rsidP="00EE6050">
      <w:r w:rsidRPr="002965D3">
        <w:t xml:space="preserve">Repeated tenant-caused damages to the unit beyond normal wear and tear may constitute serious or repeated lease violations. </w:t>
      </w:r>
    </w:p>
    <w:p w14:paraId="4DD5082F" w14:textId="77777777" w:rsidR="00FA374E" w:rsidRDefault="00FA374E" w:rsidP="00BB64BD">
      <w:pPr>
        <w:pStyle w:val="Heading2"/>
      </w:pPr>
      <w:bookmarkStart w:id="1204" w:name="_Toc173222690"/>
      <w:bookmarkStart w:id="1205" w:name="_Toc200375619"/>
      <w:bookmarkStart w:id="1206" w:name="_Toc200376956"/>
      <w:r>
        <w:t>Housekeeping</w:t>
      </w:r>
      <w:bookmarkEnd w:id="1204"/>
      <w:bookmarkEnd w:id="1205"/>
      <w:bookmarkEnd w:id="1206"/>
    </w:p>
    <w:p w14:paraId="00A7C846" w14:textId="77777777" w:rsidR="0073299D" w:rsidRPr="004C55A1" w:rsidRDefault="0073299D" w:rsidP="0073299D">
      <w:pPr>
        <w:spacing w:before="120"/>
      </w:pPr>
      <w:r w:rsidRPr="004C55A1">
        <w:t>Residents whose housekeeping</w:t>
      </w:r>
      <w:r>
        <w:t xml:space="preserve"> habits</w:t>
      </w:r>
      <w:r w:rsidRPr="004C55A1">
        <w:t xml:space="preserve"> pose a non-emergency h</w:t>
      </w:r>
      <w:r>
        <w:t>ealth or safety risk, encourage</w:t>
      </w:r>
      <w:r w:rsidRPr="004C55A1">
        <w:t xml:space="preserve"> insect or rodent infestatio</w:t>
      </w:r>
      <w:r>
        <w:t>n, or cause</w:t>
      </w:r>
      <w:r w:rsidRPr="004C55A1">
        <w:t xml:space="preserve"> damage to the unit are in violation of the lease. </w:t>
      </w:r>
      <w:r>
        <w:t>In these instances, HHA will provide p</w:t>
      </w:r>
      <w:r w:rsidRPr="004C55A1">
        <w:t>roper notice</w:t>
      </w:r>
      <w:r>
        <w:t xml:space="preserve"> of a lease violation</w:t>
      </w:r>
      <w:r w:rsidRPr="004C55A1">
        <w:t>.</w:t>
      </w:r>
    </w:p>
    <w:p w14:paraId="3FBAC6B3" w14:textId="77777777" w:rsidR="0073299D" w:rsidRPr="004C55A1" w:rsidRDefault="0073299D" w:rsidP="0073299D">
      <w:pPr>
        <w:spacing w:before="120"/>
      </w:pPr>
      <w:r w:rsidRPr="004C55A1">
        <w:t>A reinspection will be conducted within 30 days to confirm that the resident has complied with the requirement to abate the problem.</w:t>
      </w:r>
      <w:r>
        <w:t xml:space="preserve"> </w:t>
      </w:r>
      <w:r w:rsidRPr="004C55A1">
        <w:t>Failure to abat</w:t>
      </w:r>
      <w:r>
        <w:t>e</w:t>
      </w:r>
      <w:r w:rsidRPr="004C55A1">
        <w:t xml:space="preserve"> the problem or </w:t>
      </w:r>
      <w:r>
        <w:t xml:space="preserve">allow for a </w:t>
      </w:r>
      <w:r w:rsidRPr="004C55A1">
        <w:t>reinspection is considered a violation of the lease</w:t>
      </w:r>
      <w:r>
        <w:t xml:space="preserve"> and may result in termination of tenancy</w:t>
      </w:r>
      <w:r w:rsidRPr="004C55A1">
        <w:t>.</w:t>
      </w:r>
    </w:p>
    <w:p w14:paraId="7B658D61" w14:textId="77777777" w:rsidR="00EE6050" w:rsidRPr="002965D3" w:rsidRDefault="00443575" w:rsidP="00BB64BD">
      <w:pPr>
        <w:pStyle w:val="Heading2"/>
      </w:pPr>
      <w:bookmarkStart w:id="1207" w:name="_Toc113345047"/>
      <w:bookmarkStart w:id="1208" w:name="_Toc137460400"/>
      <w:bookmarkStart w:id="1209" w:name="_Toc137460645"/>
      <w:bookmarkStart w:id="1210" w:name="_Toc137460890"/>
      <w:bookmarkStart w:id="1211" w:name="_Toc137461787"/>
      <w:bookmarkStart w:id="1212" w:name="_Toc137471378"/>
      <w:bookmarkStart w:id="1213" w:name="_Toc137471887"/>
      <w:bookmarkStart w:id="1214" w:name="_Toc173222691"/>
      <w:bookmarkStart w:id="1215" w:name="_Toc200375620"/>
      <w:bookmarkStart w:id="1216" w:name="_Toc200376957"/>
      <w:r w:rsidRPr="002965D3">
        <w:t>Smoke Detectors</w:t>
      </w:r>
      <w:bookmarkEnd w:id="1207"/>
      <w:bookmarkEnd w:id="1208"/>
      <w:bookmarkEnd w:id="1209"/>
      <w:bookmarkEnd w:id="1210"/>
      <w:bookmarkEnd w:id="1211"/>
      <w:bookmarkEnd w:id="1212"/>
      <w:bookmarkEnd w:id="1213"/>
      <w:bookmarkEnd w:id="1214"/>
      <w:bookmarkEnd w:id="1215"/>
      <w:bookmarkEnd w:id="1216"/>
    </w:p>
    <w:p w14:paraId="01EDAB11" w14:textId="77777777" w:rsidR="00EE6050" w:rsidRDefault="00EE6050" w:rsidP="00C349A2">
      <w:pPr>
        <w:pStyle w:val="00Normal"/>
        <w:spacing w:after="160" w:line="259" w:lineRule="auto"/>
        <w:jc w:val="both"/>
        <w:rPr>
          <w:sz w:val="22"/>
          <w:szCs w:val="22"/>
        </w:rPr>
      </w:pPr>
      <w:r w:rsidRPr="00C349A2">
        <w:rPr>
          <w:sz w:val="22"/>
          <w:szCs w:val="22"/>
        </w:rPr>
        <w:t>Notices of lease violation will be issued to residents who purposely disengage the unit’s smoke detector</w:t>
      </w:r>
      <w:r w:rsidR="00207F6A">
        <w:rPr>
          <w:sz w:val="22"/>
          <w:szCs w:val="22"/>
        </w:rPr>
        <w:t xml:space="preserve"> and/or carbon monoxide alarm</w:t>
      </w:r>
      <w:r w:rsidRPr="00C349A2">
        <w:rPr>
          <w:sz w:val="22"/>
          <w:szCs w:val="22"/>
        </w:rPr>
        <w:t>. Only one warning will be given. A second incidence will result in lease termination.</w:t>
      </w:r>
    </w:p>
    <w:p w14:paraId="15C86326" w14:textId="77777777" w:rsidR="00D36825" w:rsidRPr="00C349A2" w:rsidRDefault="00D36825" w:rsidP="00D36825">
      <w:pPr>
        <w:pStyle w:val="Heading2"/>
      </w:pPr>
      <w:bookmarkStart w:id="1217" w:name="_Toc173222692"/>
      <w:bookmarkStart w:id="1218" w:name="_Toc200375621"/>
      <w:bookmarkStart w:id="1219" w:name="_Toc200376958"/>
      <w:r>
        <w:t>NSPIRE Inspections</w:t>
      </w:r>
      <w:bookmarkEnd w:id="1217"/>
      <w:bookmarkEnd w:id="1218"/>
      <w:bookmarkEnd w:id="1219"/>
    </w:p>
    <w:p w14:paraId="43907695" w14:textId="77777777" w:rsidR="00300028" w:rsidRDefault="00300028" w:rsidP="00300028">
      <w:pPr>
        <w:spacing w:before="120"/>
      </w:pPr>
      <w:r>
        <w:t>During an NSPIRE inspection, REAC inspectors will inspect areas and associated items or components that are listed in the regulations as affirmative requirements and those included within the NSPIRE standards. For most properties, the frequency of NSPIRE inspections is determined by the date of the prior inspection and the score received.</w:t>
      </w:r>
    </w:p>
    <w:p w14:paraId="18221171" w14:textId="77777777" w:rsidR="00EE6050" w:rsidRDefault="00906510" w:rsidP="00677451">
      <w:pPr>
        <w:pStyle w:val="Heading3"/>
      </w:pPr>
      <w:bookmarkStart w:id="1220" w:name="_Toc200375622"/>
      <w:r>
        <w:t>Notice of NSPIRE Inspection</w:t>
      </w:r>
      <w:r w:rsidR="000F5A85">
        <w:t xml:space="preserve"> Entries</w:t>
      </w:r>
      <w:bookmarkEnd w:id="1220"/>
    </w:p>
    <w:p w14:paraId="6E03D153" w14:textId="77777777" w:rsidR="000F5A85" w:rsidRDefault="005278F5" w:rsidP="005278F5">
      <w:r>
        <w:t>HHA will provide all residents with at least seven (7) days’ notice of an NSPIRE inspection. Notice will be provided through multiple communication methods, including by posted notice on each resident’s door and through email where applicable. All materials, notices, and communications to families regarding the inspection will be clearly communicated and provided in a manner that is effective for persons with hearing, visual, and other communication-related disabilities consistent with Section 504 of the Rehabilitation Act (Section 504) and HUD’s Section 504 regulation, and Titles II or III of the Americans with Disabilities Act (ADA) and implementing regulations.</w:t>
      </w:r>
    </w:p>
    <w:p w14:paraId="23823C9D" w14:textId="77777777" w:rsidR="00CB653A" w:rsidRDefault="00204789" w:rsidP="00677451">
      <w:pPr>
        <w:pStyle w:val="Heading3"/>
      </w:pPr>
      <w:bookmarkStart w:id="1221" w:name="_Toc200375623"/>
      <w:r>
        <w:t>NSPIRE Emergency Repairs</w:t>
      </w:r>
      <w:bookmarkEnd w:id="1221"/>
    </w:p>
    <w:p w14:paraId="565C1665" w14:textId="77777777" w:rsidR="00DF449B" w:rsidRDefault="00BC3D4B" w:rsidP="00DF449B">
      <w:r>
        <w:t>At the conclusion of the NSPIRE inspection, or at the end of the day on multi-day inspections, HUD provides HHA with a list of Life-Threatening and Severe deficiencies.</w:t>
      </w:r>
    </w:p>
    <w:p w14:paraId="25D405D9" w14:textId="77777777" w:rsidR="00DF449B" w:rsidRDefault="00DF449B" w:rsidP="00DF449B">
      <w:r>
        <w:t xml:space="preserve">HHA will correct all Life-Threatening and Severe deficiencies within 24 hours. </w:t>
      </w:r>
      <w:r w:rsidRPr="00DF449B">
        <w:rPr>
          <w:i/>
          <w:iCs/>
        </w:rPr>
        <w:t>Correcting the deficiency</w:t>
      </w:r>
      <w:r>
        <w:t xml:space="preserve"> means HHA will resolve or sufficiently address the deficiency in a manner that it no longer poses a severe health or safety risk to residents or the hazard is blocked until permanent repairs can be completed. A correction could include controlling or blocking access to the hazard by performing a temporary relocation of the resident while repairs are made.</w:t>
      </w:r>
    </w:p>
    <w:p w14:paraId="51F1118D" w14:textId="77777777" w:rsidR="00DF449B" w:rsidRDefault="00DF449B" w:rsidP="00DF449B">
      <w:r>
        <w:t xml:space="preserve">While </w:t>
      </w:r>
      <w:r w:rsidR="000D434F">
        <w:t>HH</w:t>
      </w:r>
      <w:r>
        <w:t xml:space="preserve">A will complete all repairs expeditiously, if a permanent repair is not possible within 24-hours, </w:t>
      </w:r>
      <w:r w:rsidR="000D434F">
        <w:t>HHA</w:t>
      </w:r>
      <w:r>
        <w:t xml:space="preserve"> will correct the deficiency by performing an interim repair to remove the health and safety hazard. If the correction is temporary or professional services or materials are unavailable within 24 hours, </w:t>
      </w:r>
      <w:r w:rsidR="00BF5CB8">
        <w:t>H</w:t>
      </w:r>
      <w:r>
        <w:t xml:space="preserve">HA will provide a target date for permanent correction. Such interim repairs will be fully completed within a reasonable timeframe approved by HUD. </w:t>
      </w:r>
    </w:p>
    <w:p w14:paraId="283B1F26" w14:textId="77777777" w:rsidR="00DF449B" w:rsidRDefault="00DF449B" w:rsidP="00DF449B">
      <w:r>
        <w:t>T</w:t>
      </w:r>
      <w:r w:rsidRPr="004C55A1">
        <w:t xml:space="preserve">he family must allow </w:t>
      </w:r>
      <w:r w:rsidR="00BF5CB8">
        <w:t>HHA</w:t>
      </w:r>
      <w:r w:rsidRPr="004C55A1">
        <w:t xml:space="preserve"> access to the unit to make repairs.</w:t>
      </w:r>
    </w:p>
    <w:p w14:paraId="7F26AEDF" w14:textId="77777777" w:rsidR="00BF5CB8" w:rsidRDefault="00BF5CB8" w:rsidP="00677451">
      <w:pPr>
        <w:pStyle w:val="Heading3"/>
      </w:pPr>
      <w:bookmarkStart w:id="1222" w:name="_Toc200375624"/>
      <w:r>
        <w:t>NSPIRE Non-Emergency Repairs</w:t>
      </w:r>
      <w:bookmarkEnd w:id="1222"/>
    </w:p>
    <w:p w14:paraId="0A0F9873" w14:textId="77777777" w:rsidR="00BF5CB8" w:rsidRDefault="00506FFC" w:rsidP="00506FFC">
      <w:bookmarkStart w:id="1223" w:name="_Hlk141868104"/>
      <w:r w:rsidRPr="00196F2D">
        <w:t>Under N</w:t>
      </w:r>
      <w:r>
        <w:t>SP</w:t>
      </w:r>
      <w:r w:rsidRPr="00196F2D">
        <w:t xml:space="preserve">IRE, </w:t>
      </w:r>
      <w:r>
        <w:t>H</w:t>
      </w:r>
      <w:r w:rsidRPr="00196F2D">
        <w:t xml:space="preserve">HA must correct Moderate </w:t>
      </w:r>
      <w:r w:rsidRPr="00E76E0A">
        <w:t>deficiencies</w:t>
      </w:r>
      <w:r w:rsidRPr="00196F2D">
        <w:t xml:space="preserve"> within 30 days and Low </w:t>
      </w:r>
      <w:r w:rsidRPr="00E76E0A">
        <w:t>deficiencies</w:t>
      </w:r>
      <w:r w:rsidRPr="00196F2D">
        <w:t xml:space="preserve"> within 60 days, or as otherwise provided in the </w:t>
      </w:r>
      <w:r>
        <w:t>N</w:t>
      </w:r>
      <w:r w:rsidRPr="00196F2D">
        <w:t xml:space="preserve">SPIRE </w:t>
      </w:r>
      <w:r>
        <w:t>s</w:t>
      </w:r>
      <w:r w:rsidRPr="00196F2D">
        <w:t>tandard</w:t>
      </w:r>
      <w:r>
        <w:t>s</w:t>
      </w:r>
      <w:r w:rsidRPr="00196F2D">
        <w:t xml:space="preserve">. </w:t>
      </w:r>
      <w:bookmarkEnd w:id="1223"/>
      <w:r w:rsidRPr="00196F2D">
        <w:t xml:space="preserve">Repairs should be permanent fixes, </w:t>
      </w:r>
      <w:r w:rsidRPr="00E76E0A">
        <w:t>unless</w:t>
      </w:r>
      <w:r w:rsidRPr="00196F2D">
        <w:t xml:space="preserve"> otherwise approved by HUD in writing. </w:t>
      </w:r>
      <w:r>
        <w:t>HUD may also prescribe timelines in Corrective Action Plans.</w:t>
      </w:r>
    </w:p>
    <w:p w14:paraId="13583BF0" w14:textId="77777777" w:rsidR="00B830FD" w:rsidRDefault="00B830FD" w:rsidP="00B830FD">
      <w:r>
        <w:t>If HHA is unable to make repairs within the periods identified in the NSPIRE standards due to circumstances beyond HHA’s control (e.g.,</w:t>
      </w:r>
      <w:r w:rsidRPr="0018240B">
        <w:t xml:space="preserve"> </w:t>
      </w:r>
      <w:r>
        <w:t>required parts or services are not available, weather conditions), HHA will provide HUD with a timeframe for completing permanent repairs and obtain HUD approval. HHA will also notify the family of an estimated date of completion.</w:t>
      </w:r>
    </w:p>
    <w:p w14:paraId="3B001698" w14:textId="77777777" w:rsidR="00B830FD" w:rsidRDefault="00B830FD" w:rsidP="00B830FD">
      <w:r>
        <w:t>T</w:t>
      </w:r>
      <w:r w:rsidRPr="004C55A1">
        <w:t xml:space="preserve">he family must allow </w:t>
      </w:r>
      <w:r>
        <w:t>H</w:t>
      </w:r>
      <w:r w:rsidRPr="004C55A1">
        <w:t>HA access to the unit to make repairs.</w:t>
      </w:r>
    </w:p>
    <w:p w14:paraId="0D6F85BC" w14:textId="77777777" w:rsidR="00F63BD4" w:rsidRDefault="00F63BD4" w:rsidP="00F63BD4">
      <w:r w:rsidRPr="00E82C7C">
        <w:t xml:space="preserve">Except for emergencies, management will not enter the dwelling unit to perform </w:t>
      </w:r>
      <w:r>
        <w:t>repairs</w:t>
      </w:r>
      <w:r w:rsidRPr="00E82C7C">
        <w:t xml:space="preserve"> where a pet resides unless accompanied for the entire duration of the </w:t>
      </w:r>
      <w:r>
        <w:t>repair</w:t>
      </w:r>
      <w:r w:rsidRPr="00E82C7C">
        <w:t xml:space="preserve"> by the pet owner or responsible person designated by the pet owner in accordance with </w:t>
      </w:r>
      <w:r>
        <w:t>HHA’s</w:t>
      </w:r>
      <w:r w:rsidRPr="00E82C7C">
        <w:t xml:space="preserve"> pet policies</w:t>
      </w:r>
      <w:r>
        <w:t>.</w:t>
      </w:r>
    </w:p>
    <w:p w14:paraId="0A6A3FD6" w14:textId="77777777" w:rsidR="00174DAD" w:rsidRPr="00E84107" w:rsidRDefault="00C83779" w:rsidP="00E84107">
      <w:pPr>
        <w:pStyle w:val="Heading2"/>
      </w:pPr>
      <w:bookmarkStart w:id="1224" w:name="_Toc173222693"/>
      <w:bookmarkStart w:id="1225" w:name="_Toc200375625"/>
      <w:bookmarkStart w:id="1226" w:name="_Toc200376959"/>
      <w:r w:rsidRPr="00E84107">
        <w:t>Reporting Requirements</w:t>
      </w:r>
      <w:r w:rsidR="00E84107" w:rsidRPr="00E84107">
        <w:t xml:space="preserve"> for Children with Elevated Blood Lead Level</w:t>
      </w:r>
      <w:bookmarkEnd w:id="1224"/>
      <w:bookmarkEnd w:id="1225"/>
      <w:bookmarkEnd w:id="1226"/>
    </w:p>
    <w:p w14:paraId="291FB39C" w14:textId="77777777" w:rsidR="007879EE" w:rsidRPr="007879EE" w:rsidRDefault="00892D21" w:rsidP="007879EE">
      <w:r w:rsidRPr="007879EE">
        <w:t xml:space="preserve">HHA </w:t>
      </w:r>
      <w:r w:rsidR="007879EE" w:rsidRPr="007879EE">
        <w:t>has certain responsibilities relative to children with elevated blood lead levels that are living in public housing.</w:t>
      </w:r>
    </w:p>
    <w:p w14:paraId="403A2A5C" w14:textId="77777777" w:rsidR="008D1C27" w:rsidRPr="008D1C27" w:rsidRDefault="007879EE" w:rsidP="008D1C27">
      <w:r>
        <w:t>HHA</w:t>
      </w:r>
      <w:r w:rsidRPr="007879EE">
        <w:t xml:space="preserve"> </w:t>
      </w:r>
      <w:r w:rsidR="008D1C27">
        <w:t>will</w:t>
      </w:r>
      <w:r w:rsidRPr="007879EE">
        <w:t xml:space="preserve"> report the name and address of a child identified as having an elevated blood lead level (EBLL) to the public health department within five</w:t>
      </w:r>
      <w:r>
        <w:t xml:space="preserve"> (5)</w:t>
      </w:r>
      <w:r w:rsidRPr="007879EE">
        <w:t xml:space="preserve"> business days of being so notified by any other medical health care professional. </w:t>
      </w:r>
    </w:p>
    <w:p w14:paraId="1277D83A" w14:textId="77777777" w:rsidR="008D1C27" w:rsidRDefault="008D1C27" w:rsidP="008D1C27">
      <w:r>
        <w:t>H</w:t>
      </w:r>
      <w:r w:rsidRPr="00587DAD">
        <w:t xml:space="preserve">HA will provide written notice of each known case of a child with an </w:t>
      </w:r>
      <w:r>
        <w:t xml:space="preserve">EBLL </w:t>
      </w:r>
      <w:r w:rsidRPr="00587DAD">
        <w:t>to the HUD field office</w:t>
      </w:r>
      <w:r>
        <w:t>, and to HUD’s Office of Lead Hazard Control (OLHCHH),</w:t>
      </w:r>
      <w:r w:rsidRPr="00587DAD">
        <w:t xml:space="preserve"> within</w:t>
      </w:r>
      <w:r w:rsidR="007F2CF1">
        <w:t xml:space="preserve"> (5)</w:t>
      </w:r>
      <w:r w:rsidRPr="00587DAD">
        <w:t xml:space="preserve"> </w:t>
      </w:r>
      <w:r>
        <w:t>five</w:t>
      </w:r>
      <w:r w:rsidRPr="00587DAD">
        <w:t xml:space="preserve"> business days of receiving the information.</w:t>
      </w:r>
    </w:p>
    <w:p w14:paraId="1AAEE384" w14:textId="77777777" w:rsidR="008D1C27" w:rsidRPr="007879EE" w:rsidRDefault="008D1C27" w:rsidP="007879EE"/>
    <w:p w14:paraId="425B0C81" w14:textId="77777777" w:rsidR="00E84107" w:rsidRPr="00E84107" w:rsidRDefault="00E84107" w:rsidP="00F63BD4">
      <w:pPr>
        <w:rPr>
          <w:bCs/>
        </w:rPr>
      </w:pPr>
    </w:p>
    <w:p w14:paraId="39FB8AA1" w14:textId="77777777" w:rsidR="00BC3D4B" w:rsidRDefault="00BC3D4B" w:rsidP="00BC3D4B">
      <w:pPr>
        <w:spacing w:before="120"/>
      </w:pPr>
      <w:r>
        <w:t xml:space="preserve"> </w:t>
      </w:r>
    </w:p>
    <w:p w14:paraId="02020D32" w14:textId="77777777" w:rsidR="00BC3D4B" w:rsidRPr="00BC3D4B" w:rsidRDefault="00BC3D4B" w:rsidP="00BC3D4B"/>
    <w:p w14:paraId="23C0EE50" w14:textId="77777777" w:rsidR="00EE6050" w:rsidRDefault="00EE6050" w:rsidP="00EE6050">
      <w:pPr>
        <w:pStyle w:val="00Normal"/>
      </w:pPr>
    </w:p>
    <w:p w14:paraId="3B8340EA" w14:textId="77777777" w:rsidR="00EE6050" w:rsidRDefault="00EE6050" w:rsidP="00EE6050">
      <w:pPr>
        <w:pStyle w:val="00Normal"/>
      </w:pPr>
    </w:p>
    <w:p w14:paraId="355E3749" w14:textId="77777777" w:rsidR="00EE6050" w:rsidRDefault="00EE6050" w:rsidP="00EE6050">
      <w:pPr>
        <w:pStyle w:val="00Normal"/>
      </w:pPr>
    </w:p>
    <w:p w14:paraId="7A7BC308" w14:textId="77777777" w:rsidR="00EE6050" w:rsidRDefault="00EE6050" w:rsidP="00EE6050">
      <w:pPr>
        <w:pStyle w:val="00Normal"/>
      </w:pPr>
    </w:p>
    <w:p w14:paraId="78F6101A" w14:textId="77777777" w:rsidR="00EE6050" w:rsidRDefault="00EE6050" w:rsidP="00EE6050">
      <w:pPr>
        <w:pStyle w:val="00Normal"/>
      </w:pPr>
    </w:p>
    <w:p w14:paraId="12D49B93" w14:textId="77777777" w:rsidR="00EE6050" w:rsidRDefault="00EE6050" w:rsidP="00EE6050">
      <w:pPr>
        <w:pStyle w:val="Heading1"/>
        <w:numPr>
          <w:ilvl w:val="0"/>
          <w:numId w:val="0"/>
        </w:numPr>
        <w:sectPr w:rsidR="00EE6050" w:rsidSect="00EE2233">
          <w:pgSz w:w="12240" w:h="15840"/>
          <w:pgMar w:top="1440" w:right="1440" w:bottom="1440" w:left="1440" w:header="720" w:footer="720" w:gutter="0"/>
          <w:cols w:space="720"/>
          <w:docGrid w:linePitch="360"/>
        </w:sectPr>
      </w:pPr>
    </w:p>
    <w:p w14:paraId="01612010" w14:textId="77777777" w:rsidR="00A95B1E" w:rsidRPr="00FD3CD7" w:rsidRDefault="00A6749C" w:rsidP="00A95B1E">
      <w:pPr>
        <w:pStyle w:val="Heading1"/>
        <w:ind w:left="0" w:firstLine="0"/>
      </w:pPr>
      <w:bookmarkStart w:id="1227" w:name="_Ref150438144"/>
      <w:bookmarkStart w:id="1228" w:name="_Toc173222694"/>
      <w:bookmarkStart w:id="1229" w:name="_Toc200375626"/>
      <w:bookmarkStart w:id="1230" w:name="_Toc200376960"/>
      <w:r w:rsidRPr="00FD3CD7">
        <w:t>VERIFICATION</w:t>
      </w:r>
      <w:bookmarkEnd w:id="1227"/>
      <w:bookmarkEnd w:id="1228"/>
      <w:bookmarkEnd w:id="1229"/>
      <w:bookmarkEnd w:id="1230"/>
    </w:p>
    <w:p w14:paraId="0617A822" w14:textId="77777777" w:rsidR="004E118E" w:rsidRPr="00765546" w:rsidRDefault="004E118E" w:rsidP="00BB64BD">
      <w:pPr>
        <w:pStyle w:val="Heading2"/>
      </w:pPr>
      <w:bookmarkStart w:id="1231" w:name="_Toc148010414"/>
      <w:bookmarkStart w:id="1232" w:name="_Toc173222695"/>
      <w:bookmarkStart w:id="1233" w:name="_Toc200375627"/>
      <w:bookmarkStart w:id="1234" w:name="_Toc200376961"/>
      <w:r>
        <w:t>Overview</w:t>
      </w:r>
      <w:bookmarkEnd w:id="1231"/>
      <w:bookmarkEnd w:id="1232"/>
      <w:bookmarkEnd w:id="1233"/>
      <w:bookmarkEnd w:id="1234"/>
    </w:p>
    <w:p w14:paraId="5499DB2C" w14:textId="77777777" w:rsidR="004E118E" w:rsidRPr="00765546" w:rsidRDefault="004E118E" w:rsidP="004E118E">
      <w:pPr>
        <w:autoSpaceDE w:val="0"/>
        <w:autoSpaceDN w:val="0"/>
        <w:adjustRightInd w:val="0"/>
        <w:rPr>
          <w:rFonts w:cs="Arial"/>
          <w:szCs w:val="20"/>
        </w:rPr>
      </w:pPr>
      <w:r>
        <w:rPr>
          <w:rFonts w:cs="Arial"/>
          <w:szCs w:val="20"/>
        </w:rPr>
        <w:t>HHA</w:t>
      </w:r>
      <w:r w:rsidRPr="00765546">
        <w:rPr>
          <w:rFonts w:cs="Arial"/>
          <w:szCs w:val="20"/>
        </w:rPr>
        <w:t xml:space="preserve"> verifies all information that is used to establish the family’s eligibility and level of assistance. Applicants and </w:t>
      </w:r>
      <w:r>
        <w:rPr>
          <w:rFonts w:cs="Arial"/>
          <w:szCs w:val="20"/>
        </w:rPr>
        <w:t>participants</w:t>
      </w:r>
      <w:r w:rsidRPr="00765546">
        <w:rPr>
          <w:rFonts w:cs="Arial"/>
          <w:szCs w:val="20"/>
        </w:rPr>
        <w:t xml:space="preserve"> must cooperate with the verification process as a condition of receiving assistance. </w:t>
      </w:r>
    </w:p>
    <w:p w14:paraId="2D79FC83" w14:textId="77777777" w:rsidR="004E118E" w:rsidRPr="00765546" w:rsidRDefault="004E118E" w:rsidP="00BB64BD">
      <w:pPr>
        <w:pStyle w:val="Heading2"/>
      </w:pPr>
      <w:bookmarkStart w:id="1235" w:name="_Toc516735435"/>
      <w:bookmarkStart w:id="1236" w:name="_Toc527019433"/>
      <w:bookmarkStart w:id="1237" w:name="_Toc534706968"/>
      <w:bookmarkStart w:id="1238" w:name="_Toc534707646"/>
      <w:bookmarkStart w:id="1239" w:name="_Toc534708454"/>
      <w:bookmarkStart w:id="1240" w:name="_Toc118116038"/>
      <w:bookmarkStart w:id="1241" w:name="_Toc148010415"/>
      <w:bookmarkStart w:id="1242" w:name="_Ref163720896"/>
      <w:bookmarkStart w:id="1243" w:name="_Toc173222696"/>
      <w:bookmarkStart w:id="1244" w:name="_Toc200375628"/>
      <w:bookmarkStart w:id="1245" w:name="_Toc200376962"/>
      <w:r w:rsidRPr="004972FF">
        <w:t>Family</w:t>
      </w:r>
      <w:r w:rsidRPr="00765546">
        <w:t xml:space="preserve"> Consent </w:t>
      </w:r>
      <w:r w:rsidR="00114A02">
        <w:t>t</w:t>
      </w:r>
      <w:r w:rsidRPr="00765546">
        <w:t xml:space="preserve">o Release </w:t>
      </w:r>
      <w:r w:rsidR="00114A02">
        <w:t>o</w:t>
      </w:r>
      <w:r w:rsidRPr="00765546">
        <w:t>f Information</w:t>
      </w:r>
      <w:bookmarkEnd w:id="1235"/>
      <w:bookmarkEnd w:id="1236"/>
      <w:bookmarkEnd w:id="1237"/>
      <w:bookmarkEnd w:id="1238"/>
      <w:bookmarkEnd w:id="1239"/>
      <w:bookmarkEnd w:id="1240"/>
      <w:bookmarkEnd w:id="1241"/>
      <w:bookmarkEnd w:id="1242"/>
      <w:bookmarkEnd w:id="1243"/>
      <w:bookmarkEnd w:id="1244"/>
      <w:bookmarkEnd w:id="1245"/>
    </w:p>
    <w:p w14:paraId="3BD8F9CB" w14:textId="77777777" w:rsidR="004E118E" w:rsidRDefault="004E118E" w:rsidP="004E118E">
      <w:pPr>
        <w:autoSpaceDE w:val="0"/>
        <w:autoSpaceDN w:val="0"/>
        <w:adjustRightInd w:val="0"/>
        <w:rPr>
          <w:rFonts w:cs="Arial"/>
          <w:szCs w:val="20"/>
        </w:rPr>
      </w:pPr>
      <w:r w:rsidRPr="00765546">
        <w:rPr>
          <w:rFonts w:cs="Arial"/>
          <w:szCs w:val="20"/>
        </w:rPr>
        <w:t xml:space="preserve">The family must supply any information that </w:t>
      </w:r>
      <w:r>
        <w:rPr>
          <w:rFonts w:cs="Arial"/>
          <w:szCs w:val="20"/>
        </w:rPr>
        <w:t>HHA</w:t>
      </w:r>
      <w:r w:rsidRPr="00765546">
        <w:rPr>
          <w:rFonts w:cs="Arial"/>
          <w:szCs w:val="20"/>
        </w:rPr>
        <w:t xml:space="preserve"> or HUD determines is necessary for the administration of the program and must consent to verification of that information by </w:t>
      </w:r>
      <w:r>
        <w:rPr>
          <w:rFonts w:cs="Arial"/>
          <w:szCs w:val="20"/>
        </w:rPr>
        <w:t>HHA</w:t>
      </w:r>
      <w:r w:rsidRPr="00765546">
        <w:rPr>
          <w:rFonts w:cs="Arial"/>
          <w:szCs w:val="20"/>
        </w:rPr>
        <w:t>.</w:t>
      </w:r>
    </w:p>
    <w:p w14:paraId="0DF3B02C" w14:textId="47131341" w:rsidR="004E118E" w:rsidRPr="003B23CC" w:rsidRDefault="004E118E" w:rsidP="00677451">
      <w:pPr>
        <w:pStyle w:val="Heading3"/>
      </w:pPr>
      <w:bookmarkStart w:id="1246" w:name="_Toc200375629"/>
      <w:r w:rsidRPr="003B23CC">
        <w:t>Authorization for the Release of Information/Privacy Act Notice (</w:t>
      </w:r>
      <w:r w:rsidR="00295F24">
        <w:t xml:space="preserve">Form </w:t>
      </w:r>
      <w:r w:rsidRPr="003B23CC">
        <w:t>HUD-9886</w:t>
      </w:r>
      <w:r w:rsidR="00295F24">
        <w:t>-A</w:t>
      </w:r>
      <w:r w:rsidRPr="003B23CC">
        <w:t>)</w:t>
      </w:r>
      <w:bookmarkEnd w:id="1246"/>
      <w:r w:rsidRPr="003B23CC">
        <w:t xml:space="preserve"> </w:t>
      </w:r>
    </w:p>
    <w:p w14:paraId="58BA5024" w14:textId="67DDB023" w:rsidR="004E118E" w:rsidRDefault="004E118E" w:rsidP="004E118E">
      <w:pPr>
        <w:rPr>
          <w:rFonts w:cs="Arial"/>
          <w:szCs w:val="20"/>
        </w:rPr>
      </w:pPr>
      <w:r>
        <w:rPr>
          <w:rFonts w:cs="Arial"/>
          <w:szCs w:val="20"/>
        </w:rPr>
        <w:t xml:space="preserve">Each </w:t>
      </w:r>
      <w:r w:rsidRPr="00765546">
        <w:rPr>
          <w:rFonts w:cs="Arial"/>
          <w:szCs w:val="20"/>
        </w:rPr>
        <w:t xml:space="preserve">adult family member and the head of household, spouse, or co-head, regardless of age, </w:t>
      </w:r>
      <w:r>
        <w:rPr>
          <w:rFonts w:cs="Arial"/>
          <w:szCs w:val="20"/>
        </w:rPr>
        <w:t xml:space="preserve">is required </w:t>
      </w:r>
      <w:r w:rsidRPr="00765546">
        <w:rPr>
          <w:rFonts w:cs="Arial"/>
          <w:szCs w:val="20"/>
        </w:rPr>
        <w:t>to sign form HUD-9886</w:t>
      </w:r>
      <w:r w:rsidR="00295F24">
        <w:rPr>
          <w:rFonts w:cs="Arial"/>
          <w:szCs w:val="20"/>
        </w:rPr>
        <w:t>-A</w:t>
      </w:r>
      <w:r w:rsidRPr="00765546">
        <w:rPr>
          <w:rFonts w:cs="Arial"/>
          <w:szCs w:val="20"/>
        </w:rPr>
        <w:t xml:space="preserve">, Authorization for the Release of Information/Privacy Act Notice or comparable form authorized by HUD. </w:t>
      </w:r>
    </w:p>
    <w:p w14:paraId="7EA14BD7" w14:textId="4E1E1CD4" w:rsidR="004E118E" w:rsidRDefault="004E118E" w:rsidP="004E118E">
      <w:pPr>
        <w:autoSpaceDE w:val="0"/>
        <w:autoSpaceDN w:val="0"/>
        <w:adjustRightInd w:val="0"/>
        <w:rPr>
          <w:rFonts w:cs="Arial"/>
          <w:szCs w:val="20"/>
        </w:rPr>
      </w:pPr>
      <w:r w:rsidRPr="00765546">
        <w:rPr>
          <w:rFonts w:cs="Arial"/>
          <w:szCs w:val="20"/>
        </w:rPr>
        <w:t>The purpose of form HUD-9886</w:t>
      </w:r>
      <w:r w:rsidR="00F34EED">
        <w:rPr>
          <w:rFonts w:cs="Arial"/>
          <w:szCs w:val="20"/>
        </w:rPr>
        <w:t>-A</w:t>
      </w:r>
      <w:r w:rsidRPr="00765546">
        <w:rPr>
          <w:rFonts w:cs="Arial"/>
          <w:szCs w:val="20"/>
        </w:rPr>
        <w:t xml:space="preserve"> is to facilitate automated data collection and computer matching from specific sources and to provide the family’s consent only for the specific purposes listed on the form.</w:t>
      </w:r>
    </w:p>
    <w:p w14:paraId="0CE78459" w14:textId="176258AB" w:rsidR="00112BD7" w:rsidRPr="00493139" w:rsidRDefault="006D480A" w:rsidP="00BE655C">
      <w:r>
        <w:rPr>
          <w:rFonts w:cs="Arial"/>
        </w:rPr>
        <w:t xml:space="preserve">On or after January 1, 2024, </w:t>
      </w:r>
      <w:r w:rsidR="00112BD7">
        <w:rPr>
          <w:rFonts w:cs="Arial"/>
        </w:rPr>
        <w:t>current</w:t>
      </w:r>
      <w:r w:rsidR="00112BD7" w:rsidRPr="00493139">
        <w:t xml:space="preserve"> program participants must sign and submit a new </w:t>
      </w:r>
      <w:r w:rsidR="00F673DB">
        <w:t>f</w:t>
      </w:r>
      <w:r w:rsidR="00112BD7" w:rsidRPr="00493139">
        <w:t>orm HUD-9886</w:t>
      </w:r>
      <w:r w:rsidR="00F34EED">
        <w:t>-A</w:t>
      </w:r>
      <w:r w:rsidR="00112BD7" w:rsidRPr="00493139">
        <w:t xml:space="preserve"> at their next interim or </w:t>
      </w:r>
      <w:r w:rsidR="009D7016">
        <w:t>regular</w:t>
      </w:r>
      <w:r w:rsidR="00112BD7" w:rsidRPr="00493139">
        <w:t xml:space="preserve"> reexamination. This form will only be signed once. Another </w:t>
      </w:r>
      <w:r w:rsidR="00F673DB">
        <w:t>f</w:t>
      </w:r>
      <w:r w:rsidR="00112BD7" w:rsidRPr="00493139">
        <w:t>orm HUD-9886</w:t>
      </w:r>
      <w:r w:rsidR="00F34EED">
        <w:t>-A</w:t>
      </w:r>
      <w:r w:rsidR="00112BD7" w:rsidRPr="00493139">
        <w:t xml:space="preserve"> will not be submitted to </w:t>
      </w:r>
      <w:r w:rsidR="00CD1F2C">
        <w:t>H</w:t>
      </w:r>
      <w:r w:rsidR="00112BD7" w:rsidRPr="00493139">
        <w:t>HA except under the following circumstances:</w:t>
      </w:r>
    </w:p>
    <w:p w14:paraId="28CD0CF2" w14:textId="77777777" w:rsidR="00112BD7" w:rsidRPr="00493139" w:rsidRDefault="00112BD7" w:rsidP="007F177E">
      <w:pPr>
        <w:numPr>
          <w:ilvl w:val="0"/>
          <w:numId w:val="245"/>
        </w:numPr>
        <w:jc w:val="left"/>
      </w:pPr>
      <w:r w:rsidRPr="00493139">
        <w:t>When any person 18 years or older becomes a member of the family;</w:t>
      </w:r>
    </w:p>
    <w:p w14:paraId="5D7665BF" w14:textId="77777777" w:rsidR="00CD1F2C" w:rsidRPr="00CD1F2C" w:rsidRDefault="00112BD7" w:rsidP="007F177E">
      <w:pPr>
        <w:numPr>
          <w:ilvl w:val="0"/>
          <w:numId w:val="245"/>
        </w:numPr>
        <w:jc w:val="left"/>
        <w:rPr>
          <w:rFonts w:cs="Arial"/>
        </w:rPr>
      </w:pPr>
      <w:r w:rsidRPr="00493139">
        <w:t>When a current member of the family turns 18; or</w:t>
      </w:r>
    </w:p>
    <w:p w14:paraId="222A3551" w14:textId="77777777" w:rsidR="00AE3DAD" w:rsidRPr="00AE3DAD" w:rsidRDefault="00112BD7" w:rsidP="007F177E">
      <w:pPr>
        <w:numPr>
          <w:ilvl w:val="0"/>
          <w:numId w:val="245"/>
        </w:numPr>
        <w:jc w:val="left"/>
        <w:rPr>
          <w:rFonts w:cs="Arial"/>
        </w:rPr>
      </w:pPr>
      <w:r w:rsidRPr="00493139">
        <w:t xml:space="preserve">As required by HUD or </w:t>
      </w:r>
      <w:r w:rsidR="00AE3DAD">
        <w:t>H</w:t>
      </w:r>
      <w:r w:rsidRPr="00493139">
        <w:t>HA in administrative instructions.</w:t>
      </w:r>
    </w:p>
    <w:p w14:paraId="484C319A" w14:textId="77777777" w:rsidR="005D7120" w:rsidRDefault="00BE655C" w:rsidP="00BE655C">
      <w:r w:rsidRPr="00493139">
        <w:t xml:space="preserve">The executed form will remain effective until the family is denied assistance, assistance is terminated, or the family provides written notification to </w:t>
      </w:r>
      <w:r>
        <w:t>H</w:t>
      </w:r>
      <w:r w:rsidRPr="00493139">
        <w:t>HA to revoke consent.</w:t>
      </w:r>
      <w:r>
        <w:t xml:space="preserve"> </w:t>
      </w:r>
    </w:p>
    <w:p w14:paraId="2E17BE3C" w14:textId="4E947DB2" w:rsidR="005D7120" w:rsidRPr="00863222" w:rsidRDefault="005D7120" w:rsidP="005D7120">
      <w:pPr>
        <w:rPr>
          <w:rFonts w:cs="Arial"/>
          <w:b/>
        </w:rPr>
      </w:pPr>
      <w:r>
        <w:rPr>
          <w:rFonts w:cs="Arial"/>
        </w:rPr>
        <w:t>H</w:t>
      </w:r>
      <w:r w:rsidRPr="00BD7BC5">
        <w:rPr>
          <w:rFonts w:cs="Arial"/>
        </w:rPr>
        <w:t xml:space="preserve">HA will deny admission to the program </w:t>
      </w:r>
      <w:r>
        <w:rPr>
          <w:rFonts w:cs="Arial"/>
        </w:rPr>
        <w:t>or terminate assistance</w:t>
      </w:r>
      <w:r w:rsidRPr="00BD7BC5">
        <w:rPr>
          <w:rFonts w:cs="Arial"/>
        </w:rPr>
        <w:t xml:space="preserve"> if any member of the applicant family fails to sign and submit </w:t>
      </w:r>
      <w:r>
        <w:rPr>
          <w:rFonts w:cs="Arial"/>
        </w:rPr>
        <w:t xml:space="preserve">required </w:t>
      </w:r>
      <w:r w:rsidRPr="00BD7BC5">
        <w:rPr>
          <w:rFonts w:cs="Arial"/>
        </w:rPr>
        <w:t xml:space="preserve">consent forms which allow </w:t>
      </w:r>
      <w:r>
        <w:rPr>
          <w:rFonts w:cs="Arial"/>
        </w:rPr>
        <w:t>H</w:t>
      </w:r>
      <w:r w:rsidRPr="00BD7BC5">
        <w:rPr>
          <w:rFonts w:cs="Arial"/>
        </w:rPr>
        <w:t xml:space="preserve">HA to obtain information that </w:t>
      </w:r>
      <w:r>
        <w:rPr>
          <w:rFonts w:cs="Arial"/>
        </w:rPr>
        <w:t>H</w:t>
      </w:r>
      <w:r w:rsidRPr="00BD7BC5">
        <w:rPr>
          <w:rFonts w:cs="Arial"/>
        </w:rPr>
        <w:t xml:space="preserve">HA has determined is necessary in administration of the </w:t>
      </w:r>
      <w:r>
        <w:rPr>
          <w:rFonts w:cs="Arial"/>
        </w:rPr>
        <w:t>HCV</w:t>
      </w:r>
      <w:r w:rsidRPr="00BD7BC5">
        <w:rPr>
          <w:rFonts w:cs="Arial"/>
        </w:rPr>
        <w:t xml:space="preserve"> program. </w:t>
      </w:r>
      <w:r>
        <w:rPr>
          <w:rFonts w:cs="Arial"/>
        </w:rPr>
        <w:t xml:space="preserve">Further, </w:t>
      </w:r>
      <w:r>
        <w:t>revocation of consent to the form HUD-9886</w:t>
      </w:r>
      <w:r w:rsidR="001155DC">
        <w:t>-A</w:t>
      </w:r>
      <w:r>
        <w:t xml:space="preserve"> by any family member will result in termination of assistance or denial of admission.</w:t>
      </w:r>
      <w:r>
        <w:rPr>
          <w:rFonts w:cs="Arial"/>
        </w:rPr>
        <w:t xml:space="preserve"> </w:t>
      </w:r>
    </w:p>
    <w:p w14:paraId="5FE9BCBE" w14:textId="1917C5EF" w:rsidR="00BE655C" w:rsidRPr="00493139" w:rsidRDefault="00BE655C" w:rsidP="00BE655C">
      <w:r w:rsidRPr="00CD1F2C">
        <w:rPr>
          <w:rFonts w:cs="Arial"/>
        </w:rPr>
        <w:t xml:space="preserve">See </w:t>
      </w:r>
      <w:r w:rsidRPr="00CD1F2C">
        <w:rPr>
          <w:rFonts w:cs="Arial"/>
          <w:b/>
          <w:bCs/>
          <w:color w:val="0070C0"/>
        </w:rPr>
        <w:fldChar w:fldCharType="begin"/>
      </w:r>
      <w:r w:rsidRPr="00CD1F2C">
        <w:rPr>
          <w:rFonts w:cs="Arial"/>
          <w:b/>
          <w:bCs/>
          <w:color w:val="0070C0"/>
        </w:rPr>
        <w:instrText xml:space="preserve"> REF _Ref148093798 \h  \* MERGEFORMAT </w:instrText>
      </w:r>
      <w:r w:rsidRPr="00CD1F2C">
        <w:rPr>
          <w:rFonts w:cs="Arial"/>
          <w:b/>
          <w:bCs/>
          <w:color w:val="0070C0"/>
        </w:rPr>
      </w:r>
      <w:r w:rsidRPr="00CD1F2C">
        <w:rPr>
          <w:rFonts w:cs="Arial"/>
          <w:b/>
          <w:bCs/>
          <w:color w:val="0070C0"/>
        </w:rPr>
        <w:fldChar w:fldCharType="separate"/>
      </w:r>
      <w:r w:rsidR="00F34EED" w:rsidRPr="00F34EED">
        <w:rPr>
          <w:b/>
          <w:bCs/>
          <w:color w:val="0070C0"/>
        </w:rPr>
        <w:t>Authorization for the Release of Information/Privacy Act Notice (Form HUD-9886-A)</w:t>
      </w:r>
      <w:r w:rsidRPr="00CD1F2C">
        <w:rPr>
          <w:rFonts w:cs="Arial"/>
          <w:b/>
          <w:bCs/>
          <w:color w:val="0070C0"/>
        </w:rPr>
        <w:fldChar w:fldCharType="end"/>
      </w:r>
      <w:r w:rsidRPr="00CD1F2C">
        <w:rPr>
          <w:rFonts w:cs="Arial"/>
        </w:rPr>
        <w:t xml:space="preserve"> in </w:t>
      </w:r>
      <w:r w:rsidR="000045FB">
        <w:rPr>
          <w:rFonts w:cs="Arial"/>
        </w:rPr>
        <w:t xml:space="preserve">the chapter on </w:t>
      </w:r>
      <w:r w:rsidR="000045FB" w:rsidRPr="000045FB">
        <w:rPr>
          <w:rFonts w:cs="Arial"/>
          <w:b/>
          <w:bCs/>
          <w:color w:val="0070C0"/>
        </w:rPr>
        <w:fldChar w:fldCharType="begin"/>
      </w:r>
      <w:r w:rsidR="000045FB" w:rsidRPr="000045FB">
        <w:rPr>
          <w:rFonts w:cs="Arial"/>
          <w:b/>
          <w:bCs/>
          <w:color w:val="0070C0"/>
        </w:rPr>
        <w:instrText xml:space="preserve"> REF _Ref145412251 \h  \* MERGEFORMAT </w:instrText>
      </w:r>
      <w:r w:rsidR="000045FB" w:rsidRPr="000045FB">
        <w:rPr>
          <w:rFonts w:cs="Arial"/>
          <w:b/>
          <w:bCs/>
          <w:color w:val="0070C0"/>
        </w:rPr>
      </w:r>
      <w:r w:rsidR="000045FB" w:rsidRPr="000045FB">
        <w:rPr>
          <w:rFonts w:cs="Arial"/>
          <w:b/>
          <w:bCs/>
          <w:color w:val="0070C0"/>
        </w:rPr>
        <w:fldChar w:fldCharType="separate"/>
      </w:r>
      <w:r w:rsidR="000045FB" w:rsidRPr="000045FB">
        <w:rPr>
          <w:b/>
          <w:bCs/>
          <w:color w:val="0070C0"/>
        </w:rPr>
        <w:t>ELIGIBILITY</w:t>
      </w:r>
      <w:r w:rsidR="000045FB" w:rsidRPr="000045FB">
        <w:rPr>
          <w:rFonts w:cs="Arial"/>
          <w:b/>
          <w:bCs/>
          <w:color w:val="0070C0"/>
        </w:rPr>
        <w:fldChar w:fldCharType="end"/>
      </w:r>
      <w:r w:rsidRPr="00CD1F2C">
        <w:rPr>
          <w:rFonts w:cs="Arial"/>
        </w:rPr>
        <w:t xml:space="preserve"> for more information.</w:t>
      </w:r>
      <w:r>
        <w:rPr>
          <w:rFonts w:cs="Arial"/>
        </w:rPr>
        <w:t xml:space="preserve"> </w:t>
      </w:r>
      <w:r w:rsidR="008D05B8">
        <w:rPr>
          <w:rFonts w:cs="Arial"/>
        </w:rPr>
        <w:t xml:space="preserve"> </w:t>
      </w:r>
      <w:r w:rsidR="00D9137A">
        <w:rPr>
          <w:rFonts w:cs="Arial"/>
        </w:rPr>
        <w:t xml:space="preserve"> </w:t>
      </w:r>
    </w:p>
    <w:p w14:paraId="24FAA0AA" w14:textId="77777777" w:rsidR="004E118E" w:rsidRDefault="004E118E" w:rsidP="00CB52D8">
      <w:pPr>
        <w:pStyle w:val="Heading3"/>
        <w:numPr>
          <w:ilvl w:val="2"/>
          <w:numId w:val="37"/>
        </w:numPr>
      </w:pPr>
      <w:bookmarkStart w:id="1247" w:name="_Toc200375630"/>
      <w:r>
        <w:t>Other HHA-Required Consent Forms</w:t>
      </w:r>
      <w:bookmarkEnd w:id="1247"/>
    </w:p>
    <w:p w14:paraId="3DF252DB" w14:textId="457BA331" w:rsidR="00871566" w:rsidRPr="00765546" w:rsidRDefault="004E118E" w:rsidP="00871566">
      <w:pPr>
        <w:rPr>
          <w:rFonts w:cs="Arial"/>
          <w:szCs w:val="20"/>
        </w:rPr>
      </w:pPr>
      <w:r w:rsidRPr="00765546">
        <w:rPr>
          <w:rFonts w:cs="Arial"/>
          <w:szCs w:val="20"/>
        </w:rPr>
        <w:t>Additionally, famil</w:t>
      </w:r>
      <w:r>
        <w:rPr>
          <w:rFonts w:cs="Arial"/>
          <w:szCs w:val="20"/>
        </w:rPr>
        <w:t>ies</w:t>
      </w:r>
      <w:r w:rsidRPr="00765546">
        <w:rPr>
          <w:rFonts w:cs="Arial"/>
          <w:szCs w:val="20"/>
        </w:rPr>
        <w:t xml:space="preserve"> are required to sign other </w:t>
      </w:r>
      <w:r>
        <w:rPr>
          <w:rFonts w:cs="Arial"/>
          <w:szCs w:val="20"/>
        </w:rPr>
        <w:t>HHA</w:t>
      </w:r>
      <w:r w:rsidRPr="00765546">
        <w:rPr>
          <w:rFonts w:cs="Arial"/>
          <w:szCs w:val="20"/>
        </w:rPr>
        <w:t xml:space="preserve"> consent forms as needed to collect information relevant to the family’s eligibility and level of assistance. </w:t>
      </w:r>
      <w:r w:rsidR="00871566">
        <w:rPr>
          <w:rFonts w:cs="Arial"/>
          <w:szCs w:val="20"/>
        </w:rPr>
        <w:t>HHA</w:t>
      </w:r>
      <w:r w:rsidR="00871566" w:rsidRPr="00765546">
        <w:rPr>
          <w:rFonts w:cs="Arial"/>
          <w:szCs w:val="20"/>
        </w:rPr>
        <w:t xml:space="preserve"> will deny admission to the program </w:t>
      </w:r>
      <w:r w:rsidR="00871566">
        <w:rPr>
          <w:rFonts w:cs="Arial"/>
          <w:szCs w:val="20"/>
        </w:rPr>
        <w:t xml:space="preserve">or terminate assistance </w:t>
      </w:r>
      <w:r w:rsidR="00871566" w:rsidRPr="00765546">
        <w:rPr>
          <w:rFonts w:cs="Arial"/>
          <w:szCs w:val="20"/>
        </w:rPr>
        <w:t xml:space="preserve">if any </w:t>
      </w:r>
      <w:r w:rsidR="00EA4EA2">
        <w:rPr>
          <w:rFonts w:cs="Arial"/>
          <w:szCs w:val="20"/>
        </w:rPr>
        <w:t xml:space="preserve">adult </w:t>
      </w:r>
      <w:r w:rsidR="00871566" w:rsidRPr="00765546">
        <w:rPr>
          <w:rFonts w:cs="Arial"/>
          <w:szCs w:val="20"/>
        </w:rPr>
        <w:t>member of the applicant</w:t>
      </w:r>
      <w:r w:rsidR="00A25316">
        <w:rPr>
          <w:rFonts w:cs="Arial"/>
          <w:szCs w:val="20"/>
        </w:rPr>
        <w:t xml:space="preserve"> or participant</w:t>
      </w:r>
      <w:r w:rsidR="00871566" w:rsidRPr="00765546">
        <w:rPr>
          <w:rFonts w:cs="Arial"/>
          <w:szCs w:val="20"/>
        </w:rPr>
        <w:t xml:space="preserve"> family fails to sign and submit the consent forms which allow </w:t>
      </w:r>
      <w:r w:rsidR="00871566">
        <w:rPr>
          <w:rFonts w:cs="Arial"/>
          <w:szCs w:val="20"/>
        </w:rPr>
        <w:t>HHA</w:t>
      </w:r>
      <w:r w:rsidR="00871566" w:rsidRPr="00765546">
        <w:rPr>
          <w:rFonts w:cs="Arial"/>
          <w:szCs w:val="20"/>
        </w:rPr>
        <w:t xml:space="preserve"> to obtain information that </w:t>
      </w:r>
      <w:r w:rsidR="00871566">
        <w:rPr>
          <w:rFonts w:cs="Arial"/>
          <w:szCs w:val="20"/>
        </w:rPr>
        <w:t>HHA</w:t>
      </w:r>
      <w:r w:rsidR="00871566" w:rsidRPr="00765546">
        <w:rPr>
          <w:rFonts w:cs="Arial"/>
          <w:szCs w:val="20"/>
        </w:rPr>
        <w:t xml:space="preserve"> has determined necessary in the administration of the </w:t>
      </w:r>
      <w:r w:rsidR="004B797E">
        <w:rPr>
          <w:rFonts w:cs="Arial"/>
          <w:szCs w:val="20"/>
        </w:rPr>
        <w:t>public housing</w:t>
      </w:r>
      <w:r w:rsidR="00871566" w:rsidRPr="00765546">
        <w:rPr>
          <w:rFonts w:cs="Arial"/>
          <w:szCs w:val="20"/>
        </w:rPr>
        <w:t xml:space="preserve"> program. </w:t>
      </w:r>
    </w:p>
    <w:p w14:paraId="14615EC6" w14:textId="77777777" w:rsidR="000D2742" w:rsidRPr="009C6952" w:rsidRDefault="000D2742" w:rsidP="000D2742">
      <w:pPr>
        <w:pStyle w:val="Heading2"/>
      </w:pPr>
      <w:bookmarkStart w:id="1248" w:name="_Toc153362553"/>
      <w:bookmarkStart w:id="1249" w:name="_Ref154566281"/>
      <w:bookmarkStart w:id="1250" w:name="_Toc173222697"/>
      <w:bookmarkStart w:id="1251" w:name="_Toc200375631"/>
      <w:bookmarkStart w:id="1252" w:name="_Toc200376963"/>
      <w:bookmarkStart w:id="1253" w:name="_Hlk149128006"/>
      <w:r w:rsidRPr="00912EA1">
        <w:t xml:space="preserve">Use </w:t>
      </w:r>
      <w:r>
        <w:t>of Other</w:t>
      </w:r>
      <w:r w:rsidRPr="00912EA1">
        <w:t xml:space="preserve"> Programs’ Income Determinations</w:t>
      </w:r>
      <w:bookmarkEnd w:id="1248"/>
      <w:bookmarkEnd w:id="1249"/>
      <w:bookmarkEnd w:id="1250"/>
      <w:bookmarkEnd w:id="1251"/>
      <w:bookmarkEnd w:id="1252"/>
      <w:r w:rsidRPr="00912EA1">
        <w:t xml:space="preserve"> </w:t>
      </w:r>
    </w:p>
    <w:p w14:paraId="767D82C8" w14:textId="46256763" w:rsidR="000D2742" w:rsidRDefault="000D2742" w:rsidP="000D2742">
      <w:pPr>
        <w:keepNext/>
      </w:pPr>
      <w:r>
        <w:t>During a household’s regular recertification, HHA may</w:t>
      </w:r>
      <w:r w:rsidRPr="009C6952">
        <w:t xml:space="preserve"> </w:t>
      </w:r>
      <w:r>
        <w:t>opt (but is not required)</w:t>
      </w:r>
      <w:r w:rsidR="00475838">
        <w:t xml:space="preserve"> to</w:t>
      </w:r>
      <w:r>
        <w:t xml:space="preserve"> </w:t>
      </w:r>
      <w:r w:rsidRPr="009C6952">
        <w:t xml:space="preserve">determine a family’s annual income, including income from assets, prior to the application of any deductions, based on income determinations made within the previous 12-month period, using income determinations from </w:t>
      </w:r>
      <w:r>
        <w:t xml:space="preserve">certain </w:t>
      </w:r>
      <w:r w:rsidRPr="009C6952">
        <w:t xml:space="preserve">means-tested federal public assistance programs. </w:t>
      </w:r>
    </w:p>
    <w:p w14:paraId="480F1CFB" w14:textId="77777777" w:rsidR="000D2742" w:rsidRDefault="000D2742" w:rsidP="000D2742">
      <w:pPr>
        <w:keepNext/>
      </w:pPr>
      <w:r>
        <w:t>HHA</w:t>
      </w:r>
      <w:r w:rsidRPr="009C6952">
        <w:t xml:space="preserve"> will not accept other programs’ determinations of income for any new admission or interim reexamination.</w:t>
      </w:r>
    </w:p>
    <w:p w14:paraId="06D79970" w14:textId="77777777" w:rsidR="000D2742" w:rsidRDefault="000D2742" w:rsidP="000D2742">
      <w:pPr>
        <w:keepNext/>
      </w:pPr>
      <w:r>
        <w:t xml:space="preserve">HHA </w:t>
      </w:r>
      <w:r w:rsidRPr="009C6952">
        <w:t>will still require third-party verification of all deductions such as the health and medical care expense or child</w:t>
      </w:r>
      <w:r w:rsidR="00A26D78">
        <w:t xml:space="preserve"> </w:t>
      </w:r>
      <w:r w:rsidRPr="009C6952">
        <w:t>care expense deductions. Further, if the family is eligible for and claims the disability assistance expense or child</w:t>
      </w:r>
      <w:r w:rsidR="00A26D78">
        <w:t xml:space="preserve"> </w:t>
      </w:r>
      <w:r w:rsidRPr="009C6952">
        <w:t xml:space="preserve">care expense deductions, where applicable, the </w:t>
      </w:r>
      <w:r>
        <w:t>H</w:t>
      </w:r>
      <w:r w:rsidRPr="009C6952">
        <w:t>HA will obtain third-party verification of the amount of employment income of the individual(s) enabled to work in order to cap the respective expenses as required.</w:t>
      </w:r>
    </w:p>
    <w:p w14:paraId="1825FF68" w14:textId="77777777" w:rsidR="000D2742" w:rsidRPr="009C6952" w:rsidRDefault="000D2742" w:rsidP="00677451">
      <w:pPr>
        <w:pStyle w:val="Heading3"/>
      </w:pPr>
      <w:bookmarkStart w:id="1254" w:name="_Toc200375632"/>
      <w:r>
        <w:t>Acceptable “Safe Harbor” Income Determinations</w:t>
      </w:r>
      <w:bookmarkEnd w:id="1254"/>
    </w:p>
    <w:p w14:paraId="04C40895" w14:textId="77777777" w:rsidR="000D2742" w:rsidRDefault="000D2742" w:rsidP="000D2742">
      <w:pPr>
        <w:keepNext/>
      </w:pPr>
      <w:bookmarkStart w:id="1255" w:name="_Hlk147384079"/>
      <w:r>
        <w:t>HHA</w:t>
      </w:r>
      <w:r w:rsidRPr="009C6952">
        <w:t xml:space="preserve"> will accept </w:t>
      </w:r>
      <w:r w:rsidRPr="00A15093">
        <w:rPr>
          <w:i/>
          <w:iCs/>
        </w:rPr>
        <w:t>Safe Harbor</w:t>
      </w:r>
      <w:r>
        <w:t xml:space="preserve"> income</w:t>
      </w:r>
      <w:r w:rsidRPr="009C6952">
        <w:t xml:space="preserve"> determinations from any </w:t>
      </w:r>
      <w:bookmarkEnd w:id="1255"/>
      <w:r>
        <w:t>of the following programs:</w:t>
      </w:r>
    </w:p>
    <w:p w14:paraId="6F8A00C3" w14:textId="77777777" w:rsidR="000D2742" w:rsidRPr="00912EA1" w:rsidRDefault="000D2742" w:rsidP="007F177E">
      <w:pPr>
        <w:pStyle w:val="ListParagraph"/>
        <w:numPr>
          <w:ilvl w:val="0"/>
          <w:numId w:val="142"/>
        </w:numPr>
        <w:autoSpaceDE w:val="0"/>
        <w:autoSpaceDN w:val="0"/>
        <w:adjustRightInd w:val="0"/>
        <w:spacing w:after="120"/>
        <w:contextualSpacing w:val="0"/>
        <w:rPr>
          <w:rFonts w:cs="Arial"/>
          <w:szCs w:val="20"/>
        </w:rPr>
      </w:pPr>
      <w:r w:rsidRPr="00912EA1">
        <w:rPr>
          <w:rFonts w:cs="Arial"/>
          <w:szCs w:val="20"/>
        </w:rPr>
        <w:t xml:space="preserve">Temporary Assistance for Needy Families (TANF) (42 U.S.C. 601, et seq.); </w:t>
      </w:r>
    </w:p>
    <w:p w14:paraId="1C4C215E" w14:textId="77777777" w:rsidR="000D2742" w:rsidRPr="00912EA1" w:rsidRDefault="000D2742" w:rsidP="007F177E">
      <w:pPr>
        <w:pStyle w:val="ListParagraph"/>
        <w:numPr>
          <w:ilvl w:val="0"/>
          <w:numId w:val="142"/>
        </w:numPr>
        <w:autoSpaceDE w:val="0"/>
        <w:autoSpaceDN w:val="0"/>
        <w:adjustRightInd w:val="0"/>
        <w:spacing w:after="120"/>
        <w:contextualSpacing w:val="0"/>
        <w:rPr>
          <w:rFonts w:cs="Arial"/>
          <w:szCs w:val="20"/>
        </w:rPr>
      </w:pPr>
      <w:r w:rsidRPr="00912EA1">
        <w:rPr>
          <w:rFonts w:cs="Arial"/>
          <w:szCs w:val="20"/>
        </w:rPr>
        <w:t>Medicaid (42 U.S.C. 1396 et seq.);</w:t>
      </w:r>
    </w:p>
    <w:p w14:paraId="2FA8D59C" w14:textId="77777777" w:rsidR="000D2742" w:rsidRPr="00912EA1" w:rsidRDefault="000D2742" w:rsidP="007F177E">
      <w:pPr>
        <w:pStyle w:val="ListParagraph"/>
        <w:numPr>
          <w:ilvl w:val="0"/>
          <w:numId w:val="142"/>
        </w:numPr>
        <w:autoSpaceDE w:val="0"/>
        <w:autoSpaceDN w:val="0"/>
        <w:adjustRightInd w:val="0"/>
        <w:spacing w:after="120"/>
        <w:contextualSpacing w:val="0"/>
        <w:rPr>
          <w:rFonts w:cs="Arial"/>
          <w:szCs w:val="20"/>
        </w:rPr>
      </w:pPr>
      <w:r w:rsidRPr="00912EA1">
        <w:rPr>
          <w:rFonts w:cs="Arial"/>
          <w:szCs w:val="20"/>
        </w:rPr>
        <w:t>Supplemental Nutrition Assistance Program (SNAP) (42 U.S.C. 2011 et seq.);</w:t>
      </w:r>
    </w:p>
    <w:p w14:paraId="7B179FEE" w14:textId="77777777" w:rsidR="000D2742" w:rsidRPr="00912EA1" w:rsidRDefault="000D2742" w:rsidP="007F177E">
      <w:pPr>
        <w:pStyle w:val="ListParagraph"/>
        <w:numPr>
          <w:ilvl w:val="0"/>
          <w:numId w:val="142"/>
        </w:numPr>
        <w:autoSpaceDE w:val="0"/>
        <w:autoSpaceDN w:val="0"/>
        <w:adjustRightInd w:val="0"/>
        <w:spacing w:after="120"/>
        <w:contextualSpacing w:val="0"/>
        <w:rPr>
          <w:rFonts w:cs="Arial"/>
          <w:szCs w:val="20"/>
        </w:rPr>
      </w:pPr>
      <w:r w:rsidRPr="00912EA1">
        <w:rPr>
          <w:rFonts w:cs="Arial"/>
          <w:szCs w:val="20"/>
        </w:rPr>
        <w:t>Earned Income Tax Credit (EITC) (26 U.S.C. 32);</w:t>
      </w:r>
    </w:p>
    <w:p w14:paraId="545F5AA1" w14:textId="77777777" w:rsidR="000D2742" w:rsidRPr="00912EA1" w:rsidRDefault="000D2742" w:rsidP="007F177E">
      <w:pPr>
        <w:pStyle w:val="ListParagraph"/>
        <w:numPr>
          <w:ilvl w:val="0"/>
          <w:numId w:val="142"/>
        </w:numPr>
        <w:autoSpaceDE w:val="0"/>
        <w:autoSpaceDN w:val="0"/>
        <w:adjustRightInd w:val="0"/>
        <w:spacing w:after="120"/>
        <w:contextualSpacing w:val="0"/>
        <w:rPr>
          <w:rFonts w:cs="Arial"/>
          <w:szCs w:val="20"/>
        </w:rPr>
      </w:pPr>
      <w:r w:rsidRPr="00912EA1">
        <w:rPr>
          <w:rFonts w:cs="Arial"/>
          <w:szCs w:val="20"/>
        </w:rPr>
        <w:t>Low-Income Housing Credit (LIHTC) program (26 U.S.C. 42);</w:t>
      </w:r>
    </w:p>
    <w:p w14:paraId="6924C55A" w14:textId="77777777" w:rsidR="000D2742" w:rsidRPr="00912EA1" w:rsidRDefault="000D2742" w:rsidP="007F177E">
      <w:pPr>
        <w:pStyle w:val="ListParagraph"/>
        <w:numPr>
          <w:ilvl w:val="0"/>
          <w:numId w:val="142"/>
        </w:numPr>
        <w:autoSpaceDE w:val="0"/>
        <w:autoSpaceDN w:val="0"/>
        <w:adjustRightInd w:val="0"/>
        <w:spacing w:after="120"/>
        <w:contextualSpacing w:val="0"/>
        <w:rPr>
          <w:rFonts w:cs="Arial"/>
          <w:szCs w:val="20"/>
        </w:rPr>
      </w:pPr>
      <w:r w:rsidRPr="00912EA1">
        <w:rPr>
          <w:rFonts w:cs="Arial"/>
          <w:szCs w:val="20"/>
        </w:rPr>
        <w:t>Special Supplemental Nutrition Program for Woman, Infants, and Children (WIC) (42 U.S.C. 1786);</w:t>
      </w:r>
    </w:p>
    <w:p w14:paraId="42B3F8FE" w14:textId="77777777" w:rsidR="000D2742" w:rsidRPr="00912EA1" w:rsidRDefault="000D2742" w:rsidP="007F177E">
      <w:pPr>
        <w:pStyle w:val="ListParagraph"/>
        <w:numPr>
          <w:ilvl w:val="0"/>
          <w:numId w:val="142"/>
        </w:numPr>
        <w:autoSpaceDE w:val="0"/>
        <w:autoSpaceDN w:val="0"/>
        <w:adjustRightInd w:val="0"/>
        <w:spacing w:after="120"/>
        <w:contextualSpacing w:val="0"/>
        <w:rPr>
          <w:rFonts w:cs="Arial"/>
          <w:szCs w:val="20"/>
        </w:rPr>
      </w:pPr>
      <w:r w:rsidRPr="00912EA1">
        <w:rPr>
          <w:rFonts w:cs="Arial"/>
          <w:szCs w:val="20"/>
        </w:rPr>
        <w:t>Supplemental Security Income (SSI) (42 U.S.C. 1381 et seq.);</w:t>
      </w:r>
    </w:p>
    <w:p w14:paraId="0D640650" w14:textId="77777777" w:rsidR="000D2742" w:rsidRPr="00912EA1" w:rsidRDefault="000D2742" w:rsidP="007F177E">
      <w:pPr>
        <w:pStyle w:val="ListParagraph"/>
        <w:numPr>
          <w:ilvl w:val="0"/>
          <w:numId w:val="142"/>
        </w:numPr>
        <w:autoSpaceDE w:val="0"/>
        <w:autoSpaceDN w:val="0"/>
        <w:adjustRightInd w:val="0"/>
        <w:spacing w:after="120"/>
        <w:contextualSpacing w:val="0"/>
        <w:rPr>
          <w:rFonts w:cs="Arial"/>
          <w:szCs w:val="20"/>
        </w:rPr>
      </w:pPr>
      <w:r w:rsidRPr="00912EA1">
        <w:rPr>
          <w:rFonts w:cs="Arial"/>
          <w:szCs w:val="20"/>
        </w:rPr>
        <w:t>Other programs administered by the HUD Secretary;</w:t>
      </w:r>
    </w:p>
    <w:p w14:paraId="5152DCF7" w14:textId="77777777" w:rsidR="000D2742" w:rsidRPr="00912EA1" w:rsidRDefault="000D2742" w:rsidP="007F177E">
      <w:pPr>
        <w:pStyle w:val="ListParagraph"/>
        <w:numPr>
          <w:ilvl w:val="0"/>
          <w:numId w:val="142"/>
        </w:numPr>
        <w:autoSpaceDE w:val="0"/>
        <w:autoSpaceDN w:val="0"/>
        <w:adjustRightInd w:val="0"/>
        <w:spacing w:after="120"/>
        <w:contextualSpacing w:val="0"/>
        <w:rPr>
          <w:rFonts w:cs="Arial"/>
          <w:szCs w:val="20"/>
        </w:rPr>
      </w:pPr>
      <w:r w:rsidRPr="00912EA1">
        <w:rPr>
          <w:rFonts w:cs="Arial"/>
          <w:szCs w:val="20"/>
        </w:rPr>
        <w:t>Other means-tested forms of federal public assistance for which HUD has established a memorandum of understanding; and</w:t>
      </w:r>
    </w:p>
    <w:p w14:paraId="72F3C885" w14:textId="77777777" w:rsidR="000D2742" w:rsidRDefault="000D2742" w:rsidP="007F177E">
      <w:pPr>
        <w:pStyle w:val="ListParagraph"/>
        <w:numPr>
          <w:ilvl w:val="0"/>
          <w:numId w:val="142"/>
        </w:numPr>
        <w:autoSpaceDE w:val="0"/>
        <w:autoSpaceDN w:val="0"/>
        <w:adjustRightInd w:val="0"/>
        <w:spacing w:after="120"/>
        <w:contextualSpacing w:val="0"/>
        <w:rPr>
          <w:rFonts w:cs="Arial"/>
          <w:szCs w:val="20"/>
        </w:rPr>
      </w:pPr>
      <w:r w:rsidRPr="00912EA1">
        <w:rPr>
          <w:rFonts w:cs="Arial"/>
          <w:szCs w:val="20"/>
        </w:rPr>
        <w:t xml:space="preserve">Other federal benefit determinations made in other forms of means-tested federal public assistance that the Secretary determines to have comparable reliability and announces through the </w:t>
      </w:r>
      <w:r w:rsidRPr="00D40CB4">
        <w:rPr>
          <w:rFonts w:cs="Arial"/>
          <w:i/>
          <w:iCs/>
          <w:szCs w:val="20"/>
        </w:rPr>
        <w:t>Federal Register</w:t>
      </w:r>
      <w:r w:rsidRPr="00912EA1">
        <w:rPr>
          <w:rFonts w:cs="Arial"/>
          <w:szCs w:val="20"/>
        </w:rPr>
        <w:t>.</w:t>
      </w:r>
    </w:p>
    <w:p w14:paraId="0D607986" w14:textId="77777777" w:rsidR="000D2742" w:rsidRDefault="000D2742" w:rsidP="000D2742">
      <w:pPr>
        <w:autoSpaceDE w:val="0"/>
        <w:autoSpaceDN w:val="0"/>
        <w:adjustRightInd w:val="0"/>
        <w:spacing w:after="120"/>
        <w:rPr>
          <w:rFonts w:cs="Arial"/>
          <w:szCs w:val="20"/>
        </w:rPr>
      </w:pPr>
      <w:r w:rsidRPr="00CD52CF">
        <w:rPr>
          <w:rFonts w:cs="Arial"/>
          <w:szCs w:val="20"/>
        </w:rPr>
        <w:t>In order to be acceptable, the income determination must:</w:t>
      </w:r>
      <w:bookmarkStart w:id="1256" w:name="_Hlk147386064"/>
    </w:p>
    <w:p w14:paraId="4922D00A" w14:textId="77777777" w:rsidR="000D2742" w:rsidRDefault="000D2742" w:rsidP="007F177E">
      <w:pPr>
        <w:pStyle w:val="ListParagraph"/>
        <w:numPr>
          <w:ilvl w:val="0"/>
          <w:numId w:val="143"/>
        </w:numPr>
        <w:autoSpaceDE w:val="0"/>
        <w:autoSpaceDN w:val="0"/>
        <w:adjustRightInd w:val="0"/>
        <w:spacing w:after="120"/>
        <w:contextualSpacing w:val="0"/>
      </w:pPr>
      <w:r w:rsidRPr="009C6952">
        <w:t>Be dated within 12 months of the dates listed above;</w:t>
      </w:r>
    </w:p>
    <w:p w14:paraId="5793D89D" w14:textId="77777777" w:rsidR="000D2742" w:rsidRDefault="000D2742" w:rsidP="007F177E">
      <w:pPr>
        <w:pStyle w:val="ListParagraph"/>
        <w:numPr>
          <w:ilvl w:val="0"/>
          <w:numId w:val="143"/>
        </w:numPr>
        <w:autoSpaceDE w:val="0"/>
        <w:autoSpaceDN w:val="0"/>
        <w:adjustRightInd w:val="0"/>
        <w:spacing w:after="120"/>
        <w:contextualSpacing w:val="0"/>
      </w:pPr>
      <w:r w:rsidRPr="009C6952">
        <w:t>State the family size</w:t>
      </w:r>
      <w:r>
        <w:t>;</w:t>
      </w:r>
    </w:p>
    <w:p w14:paraId="5DE9D5BA" w14:textId="77777777" w:rsidR="000D2742" w:rsidRDefault="000D2742" w:rsidP="007F177E">
      <w:pPr>
        <w:pStyle w:val="ListParagraph"/>
        <w:numPr>
          <w:ilvl w:val="0"/>
          <w:numId w:val="143"/>
        </w:numPr>
        <w:autoSpaceDE w:val="0"/>
        <w:autoSpaceDN w:val="0"/>
        <w:adjustRightInd w:val="0"/>
        <w:spacing w:after="120"/>
        <w:contextualSpacing w:val="0"/>
      </w:pPr>
      <w:r w:rsidRPr="009C6952">
        <w:t>Be for the entire family (i.e., the family members listed in the documentation must match the family’s composition in the assisted unit, except for household members); and</w:t>
      </w:r>
    </w:p>
    <w:p w14:paraId="6EB9207A" w14:textId="77777777" w:rsidR="000D2742" w:rsidRDefault="000D2742" w:rsidP="007F177E">
      <w:pPr>
        <w:pStyle w:val="ListParagraph"/>
        <w:numPr>
          <w:ilvl w:val="0"/>
          <w:numId w:val="143"/>
        </w:numPr>
        <w:autoSpaceDE w:val="0"/>
        <w:autoSpaceDN w:val="0"/>
        <w:adjustRightInd w:val="0"/>
        <w:spacing w:after="120"/>
        <w:contextualSpacing w:val="0"/>
      </w:pPr>
      <w:r w:rsidRPr="009C6952">
        <w:t>Must state the amount of the family’s annual income.</w:t>
      </w:r>
    </w:p>
    <w:p w14:paraId="4F1FD557" w14:textId="77777777" w:rsidR="000D2742" w:rsidRDefault="000D2742" w:rsidP="000D2742">
      <w:pPr>
        <w:autoSpaceDE w:val="0"/>
        <w:autoSpaceDN w:val="0"/>
        <w:adjustRightInd w:val="0"/>
        <w:spacing w:after="120"/>
      </w:pPr>
      <w:r w:rsidRPr="009C6952">
        <w:t xml:space="preserve">The determination need not list each source of income individually. If </w:t>
      </w:r>
      <w:r>
        <w:t>HHA</w:t>
      </w:r>
      <w:r w:rsidRPr="009C6952">
        <w:t xml:space="preserve"> does not receive any acceptable income determination documentation or is unable to obtain documentation, then the </w:t>
      </w:r>
      <w:r>
        <w:t>HHA</w:t>
      </w:r>
      <w:r w:rsidRPr="009C6952">
        <w:t xml:space="preserve"> will revert to third-party verification of income for the family.</w:t>
      </w:r>
      <w:bookmarkEnd w:id="1256"/>
    </w:p>
    <w:p w14:paraId="13484F89" w14:textId="77777777" w:rsidR="000D2742" w:rsidRPr="009C6952" w:rsidRDefault="000D2742" w:rsidP="000D2742">
      <w:pPr>
        <w:keepNext/>
      </w:pPr>
      <w:r w:rsidRPr="009C6952">
        <w:t xml:space="preserve">When families present multiple verifications from the same or different acceptable Safe Harbor programs, </w:t>
      </w:r>
      <w:r>
        <w:t>HHA</w:t>
      </w:r>
      <w:r w:rsidRPr="009C6952">
        <w:t xml:space="preserve"> will use the most recent income determination, unless the family presents acceptable evidence that </w:t>
      </w:r>
      <w:r>
        <w:t>HHA</w:t>
      </w:r>
      <w:r w:rsidRPr="009C6952">
        <w:t xml:space="preserve"> should consider an alternative verification from a different Safe Harbor source.</w:t>
      </w:r>
    </w:p>
    <w:p w14:paraId="582007F2" w14:textId="77777777" w:rsidR="000D2742" w:rsidRDefault="000D2742" w:rsidP="00677451">
      <w:pPr>
        <w:pStyle w:val="Heading3"/>
      </w:pPr>
      <w:bookmarkStart w:id="1257" w:name="_Toc200375633"/>
      <w:r>
        <w:t>Requirements for Utilizing “Safe Harbor” Income Determinations</w:t>
      </w:r>
      <w:bookmarkEnd w:id="1257"/>
    </w:p>
    <w:p w14:paraId="5FDDAC33" w14:textId="77777777" w:rsidR="000D2742" w:rsidRDefault="000D2742" w:rsidP="000D2742">
      <w:pPr>
        <w:keepNext/>
      </w:pPr>
      <w:r w:rsidRPr="009C6952">
        <w:t xml:space="preserve">Prior to using any Safe Harbor determination from another program, </w:t>
      </w:r>
      <w:r>
        <w:t>HHA</w:t>
      </w:r>
      <w:r w:rsidRPr="009C6952">
        <w:t xml:space="preserve"> will ask the family if they agree with the income amounts listed. If the family disputes the income amounts on the Safe Harbor determination, </w:t>
      </w:r>
      <w:r>
        <w:t>HHA</w:t>
      </w:r>
      <w:r w:rsidRPr="009C6952">
        <w:t xml:space="preserve"> will obtain third-party verification of all sources of income and assets (as applicable).</w:t>
      </w:r>
    </w:p>
    <w:p w14:paraId="5623FFD6" w14:textId="77777777" w:rsidR="000D2742" w:rsidRPr="009042AF" w:rsidRDefault="000D2742" w:rsidP="00B9360C">
      <w:pPr>
        <w:keepNext/>
      </w:pPr>
      <w:r w:rsidRPr="009C6952">
        <w:t xml:space="preserve">When </w:t>
      </w:r>
      <w:r>
        <w:t>HHA</w:t>
      </w:r>
      <w:r w:rsidRPr="009C6952">
        <w:t xml:space="preserve"> uses a Safe Harbor income determination from another program, and the family’s income subsequently changes, the family is required to report the change to </w:t>
      </w:r>
      <w:r>
        <w:t>H</w:t>
      </w:r>
      <w:r w:rsidRPr="009C6952">
        <w:t xml:space="preserve">HA. Depending on when the change occurred, the change may or may not impact </w:t>
      </w:r>
      <w:r>
        <w:t>H</w:t>
      </w:r>
      <w:r w:rsidRPr="009C6952">
        <w:t xml:space="preserve">HA’s calculation of the family’s total annual income. Changes that occur between the time </w:t>
      </w:r>
      <w:r>
        <w:t>H</w:t>
      </w:r>
      <w:r w:rsidRPr="009C6952">
        <w:t xml:space="preserve">HA receives the Safe Harbor documentation and the effective date of the family’s </w:t>
      </w:r>
      <w:r>
        <w:t xml:space="preserve">regular </w:t>
      </w:r>
      <w:r w:rsidRPr="009C6952">
        <w:t>re</w:t>
      </w:r>
      <w:r>
        <w:t>certification</w:t>
      </w:r>
      <w:r w:rsidRPr="009C6952">
        <w:t xml:space="preserve"> will not be considered. If the family has a change in income that occurs after the </w:t>
      </w:r>
      <w:r>
        <w:t>regular</w:t>
      </w:r>
      <w:r w:rsidRPr="009C6952">
        <w:t xml:space="preserve"> </w:t>
      </w:r>
      <w:r>
        <w:t>recertification</w:t>
      </w:r>
      <w:r w:rsidRPr="009C6952">
        <w:t xml:space="preserve"> effective date, </w:t>
      </w:r>
      <w:r>
        <w:t xml:space="preserve">HHA </w:t>
      </w:r>
      <w:r w:rsidRPr="009C6952">
        <w:t>will conduct an interim reexam</w:t>
      </w:r>
      <w:r>
        <w:t>ination</w:t>
      </w:r>
      <w:r w:rsidRPr="009C6952">
        <w:t xml:space="preserve"> if the change meets the requirements for performing an interim reexaminatio</w:t>
      </w:r>
      <w:r>
        <w:t>n</w:t>
      </w:r>
      <w:r w:rsidRPr="009C6952">
        <w:t xml:space="preserve">. In this case, </w:t>
      </w:r>
      <w:r>
        <w:t>HHA</w:t>
      </w:r>
      <w:r w:rsidRPr="009C6952">
        <w:t xml:space="preserve"> will use third-party verification to verify the change. </w:t>
      </w:r>
      <w:bookmarkStart w:id="1258" w:name="_Streamlined_Income_Determinations"/>
      <w:bookmarkEnd w:id="1253"/>
      <w:bookmarkEnd w:id="1258"/>
    </w:p>
    <w:p w14:paraId="3E1A9061" w14:textId="77777777" w:rsidR="00A95B1E" w:rsidRDefault="00AE49F0" w:rsidP="00BB64BD">
      <w:pPr>
        <w:pStyle w:val="Heading2"/>
      </w:pPr>
      <w:bookmarkStart w:id="1259" w:name="_Alternative_Verification_Requiremen"/>
      <w:bookmarkStart w:id="1260" w:name="_Verification_Hierarchy"/>
      <w:bookmarkStart w:id="1261" w:name="_Toc516735437"/>
      <w:bookmarkStart w:id="1262" w:name="_Toc527019435"/>
      <w:bookmarkStart w:id="1263" w:name="_Toc534706970"/>
      <w:bookmarkStart w:id="1264" w:name="_Toc534707648"/>
      <w:bookmarkStart w:id="1265" w:name="_Toc534708456"/>
      <w:bookmarkStart w:id="1266" w:name="_Toc118116040"/>
      <w:bookmarkStart w:id="1267" w:name="_Toc148010417"/>
      <w:bookmarkStart w:id="1268" w:name="_Ref148103022"/>
      <w:bookmarkStart w:id="1269" w:name="_Toc173222698"/>
      <w:bookmarkStart w:id="1270" w:name="_Toc200375634"/>
      <w:bookmarkStart w:id="1271" w:name="_Toc200376964"/>
      <w:bookmarkEnd w:id="1259"/>
      <w:bookmarkEnd w:id="1260"/>
      <w:r w:rsidRPr="00765546">
        <w:t>Verification Hierarchy</w:t>
      </w:r>
      <w:bookmarkEnd w:id="1261"/>
      <w:bookmarkEnd w:id="1262"/>
      <w:bookmarkEnd w:id="1263"/>
      <w:bookmarkEnd w:id="1264"/>
      <w:bookmarkEnd w:id="1265"/>
      <w:bookmarkEnd w:id="1266"/>
      <w:bookmarkEnd w:id="1267"/>
      <w:bookmarkEnd w:id="1268"/>
      <w:bookmarkEnd w:id="1269"/>
      <w:bookmarkEnd w:id="1270"/>
      <w:bookmarkEnd w:id="1271"/>
    </w:p>
    <w:p w14:paraId="1C21B8B3" w14:textId="77777777" w:rsidR="00E46F0F" w:rsidRDefault="00E46F0F" w:rsidP="00E46F0F">
      <w:pPr>
        <w:autoSpaceDE w:val="0"/>
        <w:autoSpaceDN w:val="0"/>
        <w:adjustRightInd w:val="0"/>
        <w:spacing w:after="120"/>
        <w:rPr>
          <w:rFonts w:cs="Arial"/>
          <w:szCs w:val="20"/>
        </w:rPr>
      </w:pPr>
      <w:bookmarkStart w:id="1272" w:name="_Alternative_Verification_Hierarchy"/>
      <w:bookmarkStart w:id="1273" w:name="_Ref148098638"/>
      <w:bookmarkEnd w:id="1272"/>
      <w:r>
        <w:rPr>
          <w:rFonts w:cs="Arial"/>
          <w:szCs w:val="20"/>
        </w:rPr>
        <w:t xml:space="preserve">Unless HHA utilizes an income determination from a means-tested </w:t>
      </w:r>
      <w:r w:rsidRPr="009042AF">
        <w:rPr>
          <w:rFonts w:cs="Arial"/>
          <w:szCs w:val="20"/>
        </w:rPr>
        <w:t xml:space="preserve">federal assistance program (as described in </w:t>
      </w:r>
      <w:hyperlink w:anchor="_Use_of_Other" w:history="1">
        <w:r w:rsidRPr="009042AF">
          <w:rPr>
            <w:rStyle w:val="Hyperlink"/>
            <w:rFonts w:cs="Arial"/>
            <w:b w:val="0"/>
            <w:bCs/>
            <w:color w:val="0070C0"/>
            <w:szCs w:val="20"/>
          </w:rPr>
          <w:fldChar w:fldCharType="begin"/>
        </w:r>
        <w:r w:rsidRPr="009042AF">
          <w:rPr>
            <w:b/>
            <w:bCs/>
            <w:color w:val="0070C0"/>
          </w:rPr>
          <w:instrText xml:space="preserve"> REF _Ref154566281 \h </w:instrText>
        </w:r>
        <w:r w:rsidR="007B345A" w:rsidRPr="009042AF">
          <w:rPr>
            <w:rStyle w:val="Hyperlink"/>
            <w:rFonts w:cs="Arial"/>
            <w:b w:val="0"/>
            <w:bCs/>
            <w:color w:val="0070C0"/>
            <w:szCs w:val="20"/>
          </w:rPr>
          <w:instrText xml:space="preserve"> \* MERGEFORMAT </w:instrText>
        </w:r>
        <w:r w:rsidRPr="009042AF">
          <w:rPr>
            <w:rStyle w:val="Hyperlink"/>
            <w:rFonts w:cs="Arial"/>
            <w:b w:val="0"/>
            <w:bCs/>
            <w:color w:val="0070C0"/>
            <w:szCs w:val="20"/>
          </w:rPr>
        </w:r>
        <w:r w:rsidRPr="009042AF">
          <w:rPr>
            <w:rStyle w:val="Hyperlink"/>
            <w:rFonts w:cs="Arial"/>
            <w:b w:val="0"/>
            <w:bCs/>
            <w:color w:val="0070C0"/>
            <w:szCs w:val="20"/>
          </w:rPr>
          <w:fldChar w:fldCharType="separate"/>
        </w:r>
        <w:r w:rsidRPr="009042AF">
          <w:rPr>
            <w:b/>
            <w:bCs/>
            <w:color w:val="0070C0"/>
          </w:rPr>
          <w:t>Use of Other Programs’ Income Determinations</w:t>
        </w:r>
        <w:r w:rsidRPr="009042AF">
          <w:rPr>
            <w:rStyle w:val="Hyperlink"/>
            <w:rFonts w:cs="Arial"/>
            <w:b w:val="0"/>
            <w:bCs/>
            <w:color w:val="0070C0"/>
            <w:szCs w:val="20"/>
          </w:rPr>
          <w:fldChar w:fldCharType="end"/>
        </w:r>
      </w:hyperlink>
      <w:r w:rsidRPr="009042AF">
        <w:rPr>
          <w:rFonts w:cs="Arial"/>
          <w:szCs w:val="20"/>
        </w:rPr>
        <w:t>), HHA is responsible for obtaining third-party verification</w:t>
      </w:r>
      <w:r w:rsidRPr="003C0158">
        <w:rPr>
          <w:rFonts w:cs="Arial"/>
          <w:szCs w:val="20"/>
        </w:rPr>
        <w:t xml:space="preserve"> of</w:t>
      </w:r>
      <w:r>
        <w:rPr>
          <w:rFonts w:cs="Arial"/>
          <w:szCs w:val="20"/>
        </w:rPr>
        <w:t>:</w:t>
      </w:r>
    </w:p>
    <w:p w14:paraId="54B76E3D" w14:textId="77777777" w:rsidR="00E46F0F" w:rsidRDefault="00E46F0F" w:rsidP="007F177E">
      <w:pPr>
        <w:pStyle w:val="ListParagraph"/>
        <w:numPr>
          <w:ilvl w:val="0"/>
          <w:numId w:val="144"/>
        </w:numPr>
        <w:autoSpaceDE w:val="0"/>
        <w:autoSpaceDN w:val="0"/>
        <w:adjustRightInd w:val="0"/>
        <w:spacing w:after="120"/>
        <w:ind w:left="778"/>
        <w:contextualSpacing w:val="0"/>
        <w:rPr>
          <w:rFonts w:cs="Arial"/>
          <w:szCs w:val="20"/>
        </w:rPr>
      </w:pPr>
      <w:r>
        <w:rPr>
          <w:rFonts w:cs="Arial"/>
          <w:szCs w:val="20"/>
        </w:rPr>
        <w:t>R</w:t>
      </w:r>
      <w:r w:rsidRPr="003F678D">
        <w:rPr>
          <w:rFonts w:cs="Arial"/>
          <w:szCs w:val="20"/>
        </w:rPr>
        <w:t>eported family annual income</w:t>
      </w:r>
      <w:r>
        <w:rPr>
          <w:rFonts w:cs="Arial"/>
          <w:szCs w:val="20"/>
        </w:rPr>
        <w:t>;</w:t>
      </w:r>
    </w:p>
    <w:p w14:paraId="1C0CF161" w14:textId="77777777" w:rsidR="00E46F0F" w:rsidRDefault="00E46F0F" w:rsidP="007F177E">
      <w:pPr>
        <w:pStyle w:val="ListParagraph"/>
        <w:numPr>
          <w:ilvl w:val="0"/>
          <w:numId w:val="144"/>
        </w:numPr>
        <w:autoSpaceDE w:val="0"/>
        <w:autoSpaceDN w:val="0"/>
        <w:adjustRightInd w:val="0"/>
        <w:spacing w:after="120"/>
        <w:ind w:left="778"/>
        <w:contextualSpacing w:val="0"/>
        <w:rPr>
          <w:rFonts w:cs="Arial"/>
          <w:szCs w:val="20"/>
        </w:rPr>
      </w:pPr>
      <w:r>
        <w:rPr>
          <w:rFonts w:cs="Arial"/>
          <w:szCs w:val="20"/>
        </w:rPr>
        <w:t>T</w:t>
      </w:r>
      <w:r w:rsidRPr="003F678D">
        <w:rPr>
          <w:rFonts w:cs="Arial"/>
          <w:szCs w:val="20"/>
        </w:rPr>
        <w:t>he value of assets (as applicable)</w:t>
      </w:r>
      <w:r>
        <w:rPr>
          <w:rFonts w:cs="Arial"/>
          <w:szCs w:val="20"/>
        </w:rPr>
        <w:t>;</w:t>
      </w:r>
    </w:p>
    <w:p w14:paraId="3794DA33" w14:textId="77777777" w:rsidR="00E46F0F" w:rsidRDefault="00E46F0F" w:rsidP="007F177E">
      <w:pPr>
        <w:pStyle w:val="ListParagraph"/>
        <w:numPr>
          <w:ilvl w:val="0"/>
          <w:numId w:val="144"/>
        </w:numPr>
        <w:autoSpaceDE w:val="0"/>
        <w:autoSpaceDN w:val="0"/>
        <w:adjustRightInd w:val="0"/>
        <w:spacing w:after="120"/>
        <w:ind w:left="778"/>
        <w:contextualSpacing w:val="0"/>
        <w:rPr>
          <w:rFonts w:cs="Arial"/>
          <w:szCs w:val="20"/>
        </w:rPr>
      </w:pPr>
      <w:r>
        <w:rPr>
          <w:rFonts w:cs="Arial"/>
          <w:szCs w:val="20"/>
        </w:rPr>
        <w:t>E</w:t>
      </w:r>
      <w:r w:rsidRPr="003F678D">
        <w:rPr>
          <w:rFonts w:cs="Arial"/>
          <w:szCs w:val="20"/>
        </w:rPr>
        <w:t>xpenses related to deductions from annual income</w:t>
      </w:r>
      <w:r>
        <w:rPr>
          <w:rFonts w:cs="Arial"/>
          <w:szCs w:val="20"/>
        </w:rPr>
        <w:t>; and</w:t>
      </w:r>
    </w:p>
    <w:p w14:paraId="6483A6B3" w14:textId="77777777" w:rsidR="00E46F0F" w:rsidRDefault="00E46F0F" w:rsidP="007F177E">
      <w:pPr>
        <w:pStyle w:val="ListParagraph"/>
        <w:numPr>
          <w:ilvl w:val="0"/>
          <w:numId w:val="144"/>
        </w:numPr>
        <w:autoSpaceDE w:val="0"/>
        <w:autoSpaceDN w:val="0"/>
        <w:adjustRightInd w:val="0"/>
        <w:spacing w:after="120"/>
        <w:ind w:left="778"/>
        <w:contextualSpacing w:val="0"/>
        <w:rPr>
          <w:rFonts w:cs="Arial"/>
          <w:szCs w:val="20"/>
        </w:rPr>
      </w:pPr>
      <w:r>
        <w:rPr>
          <w:rFonts w:cs="Arial"/>
          <w:szCs w:val="20"/>
        </w:rPr>
        <w:t>O</w:t>
      </w:r>
      <w:r w:rsidRPr="003F678D">
        <w:rPr>
          <w:rFonts w:cs="Arial"/>
          <w:szCs w:val="20"/>
        </w:rPr>
        <w:t>ther factors that affect the determination of adjusted income.</w:t>
      </w:r>
    </w:p>
    <w:p w14:paraId="299F0881" w14:textId="77777777" w:rsidR="00E46F0F" w:rsidRPr="003F678D" w:rsidRDefault="00E46F0F" w:rsidP="00E46F0F">
      <w:pPr>
        <w:autoSpaceDE w:val="0"/>
        <w:autoSpaceDN w:val="0"/>
        <w:adjustRightInd w:val="0"/>
        <w:spacing w:after="120"/>
        <w:rPr>
          <w:rFonts w:cs="Arial"/>
          <w:szCs w:val="20"/>
        </w:rPr>
      </w:pPr>
      <w:r>
        <w:rPr>
          <w:rFonts w:cs="Arial"/>
          <w:szCs w:val="20"/>
        </w:rPr>
        <w:t>HHA will</w:t>
      </w:r>
      <w:r w:rsidRPr="003F678D">
        <w:rPr>
          <w:rFonts w:cs="Arial"/>
          <w:szCs w:val="20"/>
        </w:rPr>
        <w:t xml:space="preserve"> use the most reliable form of verification that is available and </w:t>
      </w:r>
      <w:r>
        <w:rPr>
          <w:rFonts w:cs="Arial"/>
          <w:szCs w:val="20"/>
        </w:rPr>
        <w:t xml:space="preserve">will </w:t>
      </w:r>
      <w:r w:rsidRPr="003F678D">
        <w:rPr>
          <w:rFonts w:cs="Arial"/>
          <w:szCs w:val="20"/>
        </w:rPr>
        <w:t xml:space="preserve">document the reasons when </w:t>
      </w:r>
      <w:r>
        <w:rPr>
          <w:rFonts w:cs="Arial"/>
          <w:szCs w:val="20"/>
        </w:rPr>
        <w:t xml:space="preserve">HHA </w:t>
      </w:r>
      <w:r w:rsidRPr="003F678D">
        <w:rPr>
          <w:rFonts w:cs="Arial"/>
          <w:szCs w:val="20"/>
        </w:rPr>
        <w:t>uses a lesser form of verification.</w:t>
      </w:r>
      <w:r>
        <w:rPr>
          <w:rFonts w:cs="Arial"/>
          <w:szCs w:val="20"/>
        </w:rPr>
        <w:t xml:space="preserve"> HHA will attempt </w:t>
      </w:r>
      <w:r w:rsidRPr="003F678D">
        <w:rPr>
          <w:rFonts w:cs="Arial"/>
          <w:szCs w:val="20"/>
        </w:rPr>
        <w:t>to obtain third</w:t>
      </w:r>
      <w:r w:rsidR="00F2766F">
        <w:rPr>
          <w:rFonts w:cs="Arial"/>
          <w:szCs w:val="20"/>
        </w:rPr>
        <w:t>-</w:t>
      </w:r>
      <w:r w:rsidRPr="003F678D">
        <w:rPr>
          <w:rFonts w:cs="Arial"/>
          <w:szCs w:val="20"/>
        </w:rPr>
        <w:t>party verification</w:t>
      </w:r>
      <w:r>
        <w:rPr>
          <w:rFonts w:cs="Arial"/>
          <w:szCs w:val="20"/>
        </w:rPr>
        <w:t>, when available,</w:t>
      </w:r>
      <w:r w:rsidRPr="003F678D">
        <w:rPr>
          <w:rFonts w:cs="Arial"/>
          <w:szCs w:val="20"/>
        </w:rPr>
        <w:t xml:space="preserve"> prior to accepting self-certification</w:t>
      </w:r>
      <w:r>
        <w:rPr>
          <w:rFonts w:cs="Arial"/>
          <w:szCs w:val="20"/>
        </w:rPr>
        <w:t>,</w:t>
      </w:r>
      <w:r w:rsidRPr="003F678D">
        <w:rPr>
          <w:rFonts w:cs="Arial"/>
          <w:szCs w:val="20"/>
        </w:rPr>
        <w:t xml:space="preserve"> except instances when self-certification is explicitly allowed</w:t>
      </w:r>
      <w:r>
        <w:rPr>
          <w:rFonts w:cs="Arial"/>
          <w:szCs w:val="20"/>
        </w:rPr>
        <w:t>, as described below.</w:t>
      </w:r>
    </w:p>
    <w:p w14:paraId="551610C8" w14:textId="77777777" w:rsidR="00342DCB" w:rsidRDefault="00342DCB" w:rsidP="00677451">
      <w:pPr>
        <w:pStyle w:val="Heading3"/>
      </w:pPr>
      <w:bookmarkStart w:id="1274" w:name="_Ref154568969"/>
      <w:bookmarkStart w:id="1275" w:name="_Ref158896943"/>
      <w:bookmarkStart w:id="1276" w:name="_Ref165031946"/>
      <w:bookmarkStart w:id="1277" w:name="_Toc200375635"/>
      <w:r>
        <w:t>Alternative Verification Hierarchy</w:t>
      </w:r>
      <w:bookmarkEnd w:id="1273"/>
      <w:bookmarkEnd w:id="1274"/>
      <w:bookmarkEnd w:id="1275"/>
      <w:bookmarkEnd w:id="1276"/>
      <w:bookmarkEnd w:id="1277"/>
    </w:p>
    <w:p w14:paraId="4A8EB347" w14:textId="77777777" w:rsidR="00342DCB" w:rsidRDefault="00342DCB" w:rsidP="00342DCB">
      <w:pPr>
        <w:pStyle w:val="MTWBox"/>
        <w:rPr>
          <w:b w:val="0"/>
          <w:bCs/>
          <w:i w:val="0"/>
          <w:iCs w:val="0"/>
          <w:u w:val="single"/>
        </w:rPr>
      </w:pPr>
      <w:bookmarkStart w:id="1278" w:name="_Hlk147414644"/>
      <w:r>
        <w:t xml:space="preserve">MTW Policy </w:t>
      </w:r>
    </w:p>
    <w:p w14:paraId="5F8096D7" w14:textId="77777777" w:rsidR="00342DCB" w:rsidRPr="009C5DDB" w:rsidRDefault="00342DCB" w:rsidP="00342DCB">
      <w:pPr>
        <w:pStyle w:val="MTWBox"/>
        <w:rPr>
          <w:b w:val="0"/>
          <w:bCs/>
          <w:i w:val="0"/>
          <w:iCs w:val="0"/>
        </w:rPr>
      </w:pPr>
      <w:r w:rsidRPr="0087554D">
        <w:rPr>
          <w:i w:val="0"/>
          <w:iCs w:val="0"/>
        </w:rPr>
        <w:t>MTW Waiver</w:t>
      </w:r>
      <w:r w:rsidRPr="009C5DDB">
        <w:rPr>
          <w:b w:val="0"/>
          <w:bCs/>
          <w:i w:val="0"/>
          <w:iCs w:val="0"/>
        </w:rPr>
        <w:t>:</w:t>
      </w:r>
      <w:r>
        <w:rPr>
          <w:b w:val="0"/>
          <w:bCs/>
          <w:i w:val="0"/>
          <w:iCs w:val="0"/>
        </w:rPr>
        <w:t xml:space="preserve"> Agency-Specific Waiver – </w:t>
      </w:r>
      <w:r w:rsidRPr="00C86796">
        <w:rPr>
          <w:rStyle w:val="Heading4Char"/>
        </w:rPr>
        <w:t xml:space="preserve">Alternative Verification </w:t>
      </w:r>
      <w:r>
        <w:rPr>
          <w:rStyle w:val="Heading4Char"/>
        </w:rPr>
        <w:t>Methods</w:t>
      </w:r>
    </w:p>
    <w:p w14:paraId="63278D18" w14:textId="77777777" w:rsidR="00342DCB" w:rsidRDefault="00342DCB" w:rsidP="00342DCB">
      <w:pPr>
        <w:pStyle w:val="MTWBox"/>
        <w:rPr>
          <w:b w:val="0"/>
          <w:bCs/>
          <w:i w:val="0"/>
          <w:iCs w:val="0"/>
        </w:rPr>
      </w:pPr>
      <w:r w:rsidRPr="0087554D">
        <w:rPr>
          <w:i w:val="0"/>
          <w:iCs w:val="0"/>
        </w:rPr>
        <w:t>Approval Date</w:t>
      </w:r>
      <w:r>
        <w:rPr>
          <w:b w:val="0"/>
          <w:bCs/>
          <w:i w:val="0"/>
          <w:iCs w:val="0"/>
        </w:rPr>
        <w:t xml:space="preserve">: FY 2022 </w:t>
      </w:r>
    </w:p>
    <w:p w14:paraId="7F5CCD7F" w14:textId="77777777" w:rsidR="00342DCB" w:rsidRDefault="00342DCB" w:rsidP="00342DCB">
      <w:pPr>
        <w:pStyle w:val="MTWBox"/>
        <w:rPr>
          <w:b w:val="0"/>
          <w:bCs/>
          <w:i w:val="0"/>
          <w:iCs w:val="0"/>
        </w:rPr>
      </w:pPr>
      <w:r w:rsidRPr="0087554D">
        <w:rPr>
          <w:i w:val="0"/>
          <w:iCs w:val="0"/>
        </w:rPr>
        <w:t>Applicable to</w:t>
      </w:r>
      <w:r w:rsidRPr="00EF6F8F">
        <w:rPr>
          <w:b w:val="0"/>
          <w:bCs/>
          <w:i w:val="0"/>
          <w:iCs w:val="0"/>
        </w:rPr>
        <w:t>:</w:t>
      </w:r>
      <w:r>
        <w:rPr>
          <w:b w:val="0"/>
          <w:bCs/>
          <w:i w:val="0"/>
          <w:iCs w:val="0"/>
        </w:rPr>
        <w:t xml:space="preserve"> All MTW-assisted households</w:t>
      </w:r>
    </w:p>
    <w:p w14:paraId="2644840A" w14:textId="77777777" w:rsidR="00342DCB" w:rsidRDefault="00342DCB" w:rsidP="00841181">
      <w:pPr>
        <w:pStyle w:val="MTWBox"/>
        <w:rPr>
          <w:b w:val="0"/>
          <w:bCs/>
          <w:i w:val="0"/>
          <w:iCs w:val="0"/>
        </w:rPr>
      </w:pPr>
      <w:r w:rsidRPr="0087554D">
        <w:rPr>
          <w:i w:val="0"/>
          <w:iCs w:val="0"/>
        </w:rPr>
        <w:t>Description</w:t>
      </w:r>
      <w:r w:rsidRPr="0087554D">
        <w:rPr>
          <w:b w:val="0"/>
          <w:bCs/>
          <w:i w:val="0"/>
          <w:iCs w:val="0"/>
        </w:rPr>
        <w:t>:</w:t>
      </w:r>
      <w:r>
        <w:rPr>
          <w:b w:val="0"/>
          <w:bCs/>
          <w:i w:val="0"/>
          <w:iCs w:val="0"/>
        </w:rPr>
        <w:t xml:space="preserve"> </w:t>
      </w:r>
      <w:r w:rsidRPr="00243B57">
        <w:rPr>
          <w:b w:val="0"/>
          <w:bCs/>
          <w:i w:val="0"/>
          <w:iCs w:val="0"/>
        </w:rPr>
        <w:t xml:space="preserve">This activity </w:t>
      </w:r>
      <w:r>
        <w:rPr>
          <w:b w:val="0"/>
          <w:bCs/>
          <w:i w:val="0"/>
          <w:iCs w:val="0"/>
        </w:rPr>
        <w:t>waives</w:t>
      </w:r>
      <w:r w:rsidRPr="00243B57">
        <w:rPr>
          <w:b w:val="0"/>
          <w:bCs/>
          <w:i w:val="0"/>
          <w:iCs w:val="0"/>
        </w:rPr>
        <w:t xml:space="preserve"> provisions of HUD PIH Notice 2018-18 and successor notices</w:t>
      </w:r>
      <w:r>
        <w:rPr>
          <w:b w:val="0"/>
          <w:bCs/>
          <w:i w:val="0"/>
          <w:iCs w:val="0"/>
        </w:rPr>
        <w:t xml:space="preserve"> (including PIH Notice 2023-27)</w:t>
      </w:r>
      <w:r w:rsidRPr="00243B57">
        <w:rPr>
          <w:b w:val="0"/>
          <w:bCs/>
          <w:i w:val="0"/>
          <w:iCs w:val="0"/>
        </w:rPr>
        <w:t xml:space="preserve"> to allow HHA to utilize an alternative, streamlined method to verify household member income for all Public Housing and HCV program applicants and participants</w:t>
      </w:r>
      <w:r>
        <w:rPr>
          <w:b w:val="0"/>
          <w:bCs/>
          <w:i w:val="0"/>
          <w:iCs w:val="0"/>
        </w:rPr>
        <w:t xml:space="preserve">. </w:t>
      </w:r>
    </w:p>
    <w:p w14:paraId="2D8A33B3" w14:textId="77777777" w:rsidR="00342DCB" w:rsidRDefault="00342DCB" w:rsidP="00841181">
      <w:pPr>
        <w:pStyle w:val="MTWBox"/>
        <w:rPr>
          <w:b w:val="0"/>
          <w:bCs/>
          <w:i w:val="0"/>
          <w:iCs w:val="0"/>
        </w:rPr>
      </w:pPr>
      <w:r w:rsidRPr="00243B57">
        <w:rPr>
          <w:b w:val="0"/>
          <w:bCs/>
          <w:i w:val="0"/>
          <w:iCs w:val="0"/>
        </w:rPr>
        <w:t>Under the existing HUD Income Verification Hierarchy, HHA is required to request and document attempts to obtain written third-party verification forms and oral verification prior to relying on a tenant declaration. HHA’s modified Income Verification Hierarchy will allow HHA to rely on any of the third-party verification methods before accepting self-certification. This process will streamline the verification process and allow HHA to repurpose staff time on tasks outside of verification.</w:t>
      </w:r>
    </w:p>
    <w:p w14:paraId="29EE191E" w14:textId="77777777" w:rsidR="00342DCB" w:rsidRDefault="00342DCB" w:rsidP="00841181">
      <w:pPr>
        <w:pStyle w:val="MTWBox"/>
        <w:rPr>
          <w:b w:val="0"/>
          <w:bCs/>
          <w:i w:val="0"/>
          <w:iCs w:val="0"/>
        </w:rPr>
      </w:pPr>
      <w:r w:rsidRPr="00874546">
        <w:rPr>
          <w:b w:val="0"/>
          <w:bCs/>
          <w:i w:val="0"/>
          <w:iCs w:val="0"/>
        </w:rPr>
        <w:t>In order of priority, the forms of verification that HHA will use are:</w:t>
      </w:r>
    </w:p>
    <w:p w14:paraId="2E466B7E" w14:textId="77777777" w:rsidR="00342DCB" w:rsidRPr="00874546" w:rsidRDefault="00342DCB" w:rsidP="00CB52D8">
      <w:pPr>
        <w:pStyle w:val="MTWBox"/>
        <w:numPr>
          <w:ilvl w:val="0"/>
          <w:numId w:val="62"/>
        </w:numPr>
        <w:ind w:left="1080"/>
        <w:rPr>
          <w:b w:val="0"/>
          <w:bCs/>
          <w:i w:val="0"/>
          <w:iCs w:val="0"/>
          <w:color w:val="000000"/>
          <w:kern w:val="0"/>
        </w:rPr>
      </w:pPr>
      <w:r w:rsidRPr="00C86796">
        <w:rPr>
          <w:i w:val="0"/>
          <w:iCs w:val="0"/>
          <w:color w:val="000000"/>
          <w:kern w:val="0"/>
        </w:rPr>
        <w:t>Upfront Income Verification using HUD’s EIV and IVT</w:t>
      </w:r>
      <w:r w:rsidRPr="00874546">
        <w:rPr>
          <w:b w:val="0"/>
          <w:bCs/>
          <w:i w:val="0"/>
          <w:iCs w:val="0"/>
          <w:color w:val="000000"/>
          <w:kern w:val="0"/>
        </w:rPr>
        <w:t xml:space="preserve"> – </w:t>
      </w:r>
      <w:r>
        <w:rPr>
          <w:b w:val="0"/>
          <w:bCs/>
          <w:i w:val="0"/>
          <w:iCs w:val="0"/>
          <w:color w:val="000000"/>
          <w:kern w:val="0"/>
        </w:rPr>
        <w:t>Highest (</w:t>
      </w:r>
      <w:r w:rsidRPr="00874546">
        <w:rPr>
          <w:b w:val="0"/>
          <w:bCs/>
          <w:i w:val="0"/>
          <w:iCs w:val="0"/>
          <w:color w:val="000000"/>
          <w:kern w:val="0"/>
        </w:rPr>
        <w:t>Mandatory</w:t>
      </w:r>
      <w:r>
        <w:rPr>
          <w:b w:val="0"/>
          <w:bCs/>
          <w:i w:val="0"/>
          <w:iCs w:val="0"/>
          <w:color w:val="000000"/>
          <w:kern w:val="0"/>
        </w:rPr>
        <w:t>)</w:t>
      </w:r>
    </w:p>
    <w:p w14:paraId="5E968136" w14:textId="77777777" w:rsidR="00342DCB" w:rsidRPr="00874546" w:rsidRDefault="00342DCB" w:rsidP="00CB52D8">
      <w:pPr>
        <w:pStyle w:val="MTWBox"/>
        <w:numPr>
          <w:ilvl w:val="0"/>
          <w:numId w:val="62"/>
        </w:numPr>
        <w:ind w:left="1080"/>
        <w:rPr>
          <w:b w:val="0"/>
          <w:bCs/>
          <w:i w:val="0"/>
          <w:iCs w:val="0"/>
          <w:color w:val="000000"/>
          <w:kern w:val="0"/>
        </w:rPr>
      </w:pPr>
      <w:r w:rsidRPr="00C86796">
        <w:rPr>
          <w:i w:val="0"/>
          <w:iCs w:val="0"/>
          <w:color w:val="000000"/>
          <w:kern w:val="0"/>
        </w:rPr>
        <w:t>Upfront Income Verification</w:t>
      </w:r>
      <w:r>
        <w:rPr>
          <w:i w:val="0"/>
          <w:iCs w:val="0"/>
          <w:color w:val="000000"/>
          <w:kern w:val="0"/>
        </w:rPr>
        <w:t xml:space="preserve"> (UIV)</w:t>
      </w:r>
      <w:r w:rsidRPr="00874546">
        <w:rPr>
          <w:b w:val="0"/>
          <w:bCs/>
          <w:i w:val="0"/>
          <w:iCs w:val="0"/>
          <w:color w:val="000000"/>
          <w:kern w:val="0"/>
        </w:rPr>
        <w:t xml:space="preserve"> using non-HUD system – </w:t>
      </w:r>
      <w:r>
        <w:rPr>
          <w:b w:val="0"/>
          <w:bCs/>
          <w:i w:val="0"/>
          <w:iCs w:val="0"/>
          <w:color w:val="000000"/>
          <w:kern w:val="0"/>
        </w:rPr>
        <w:t>Highest (</w:t>
      </w:r>
      <w:r w:rsidRPr="00874546">
        <w:rPr>
          <w:b w:val="0"/>
          <w:bCs/>
          <w:i w:val="0"/>
          <w:iCs w:val="0"/>
          <w:color w:val="000000"/>
          <w:kern w:val="0"/>
        </w:rPr>
        <w:t>Optional</w:t>
      </w:r>
      <w:r>
        <w:rPr>
          <w:b w:val="0"/>
          <w:bCs/>
          <w:i w:val="0"/>
          <w:iCs w:val="0"/>
          <w:color w:val="000000"/>
          <w:kern w:val="0"/>
        </w:rPr>
        <w:t>)</w:t>
      </w:r>
    </w:p>
    <w:p w14:paraId="4EE7D68C" w14:textId="77777777" w:rsidR="00342DCB" w:rsidRDefault="00342DCB" w:rsidP="00CB52D8">
      <w:pPr>
        <w:pStyle w:val="MTWBox"/>
        <w:numPr>
          <w:ilvl w:val="0"/>
          <w:numId w:val="62"/>
        </w:numPr>
        <w:ind w:left="1080"/>
        <w:rPr>
          <w:b w:val="0"/>
          <w:bCs/>
          <w:i w:val="0"/>
          <w:iCs w:val="0"/>
          <w:color w:val="000000"/>
          <w:kern w:val="0"/>
        </w:rPr>
      </w:pPr>
      <w:r w:rsidRPr="00C86796">
        <w:rPr>
          <w:i w:val="0"/>
          <w:iCs w:val="0"/>
          <w:color w:val="000000"/>
          <w:kern w:val="0"/>
        </w:rPr>
        <w:t>Written or Oral Third-Party</w:t>
      </w:r>
      <w:r>
        <w:rPr>
          <w:b w:val="0"/>
          <w:bCs/>
          <w:i w:val="0"/>
          <w:iCs w:val="0"/>
          <w:color w:val="000000"/>
          <w:kern w:val="0"/>
        </w:rPr>
        <w:t xml:space="preserve"> (includes </w:t>
      </w:r>
      <w:r w:rsidRPr="00874546">
        <w:rPr>
          <w:b w:val="0"/>
          <w:bCs/>
          <w:i w:val="0"/>
          <w:iCs w:val="0"/>
          <w:color w:val="000000"/>
          <w:kern w:val="0"/>
        </w:rPr>
        <w:t>Written Third-Party Verification, Written Third</w:t>
      </w:r>
      <w:r>
        <w:rPr>
          <w:b w:val="0"/>
          <w:bCs/>
          <w:i w:val="0"/>
          <w:iCs w:val="0"/>
          <w:color w:val="000000"/>
          <w:kern w:val="0"/>
        </w:rPr>
        <w:t>-</w:t>
      </w:r>
      <w:r w:rsidRPr="00874546">
        <w:rPr>
          <w:b w:val="0"/>
          <w:bCs/>
          <w:i w:val="0"/>
          <w:iCs w:val="0"/>
          <w:color w:val="000000"/>
          <w:kern w:val="0"/>
        </w:rPr>
        <w:t xml:space="preserve">Party Verification Form, </w:t>
      </w:r>
      <w:r w:rsidRPr="00C86796">
        <w:rPr>
          <w:b w:val="0"/>
          <w:bCs/>
          <w:i w:val="0"/>
          <w:iCs w:val="0"/>
          <w:color w:val="000000"/>
          <w:kern w:val="0"/>
        </w:rPr>
        <w:t xml:space="preserve">or </w:t>
      </w:r>
      <w:r w:rsidRPr="00874546">
        <w:rPr>
          <w:b w:val="0"/>
          <w:bCs/>
          <w:i w:val="0"/>
          <w:iCs w:val="0"/>
          <w:color w:val="000000"/>
          <w:kern w:val="0"/>
        </w:rPr>
        <w:t>Oral Third</w:t>
      </w:r>
      <w:r>
        <w:rPr>
          <w:b w:val="0"/>
          <w:bCs/>
          <w:i w:val="0"/>
          <w:iCs w:val="0"/>
          <w:color w:val="000000"/>
          <w:kern w:val="0"/>
        </w:rPr>
        <w:t>-</w:t>
      </w:r>
      <w:r w:rsidRPr="00874546">
        <w:rPr>
          <w:b w:val="0"/>
          <w:bCs/>
          <w:i w:val="0"/>
          <w:iCs w:val="0"/>
          <w:color w:val="000000"/>
          <w:kern w:val="0"/>
        </w:rPr>
        <w:t>Party Verification</w:t>
      </w:r>
      <w:r>
        <w:rPr>
          <w:b w:val="0"/>
          <w:bCs/>
          <w:i w:val="0"/>
          <w:iCs w:val="0"/>
          <w:color w:val="000000"/>
          <w:kern w:val="0"/>
        </w:rPr>
        <w:t>)</w:t>
      </w:r>
      <w:r w:rsidRPr="00874546">
        <w:rPr>
          <w:b w:val="0"/>
          <w:bCs/>
          <w:i w:val="0"/>
          <w:iCs w:val="0"/>
          <w:color w:val="000000"/>
          <w:kern w:val="0"/>
        </w:rPr>
        <w:tab/>
      </w:r>
      <w:r w:rsidRPr="00874546">
        <w:rPr>
          <w:b w:val="0"/>
          <w:bCs/>
          <w:i w:val="0"/>
          <w:iCs w:val="0"/>
          <w:color w:val="000000"/>
          <w:kern w:val="0"/>
        </w:rPr>
        <w:tab/>
      </w:r>
      <w:r w:rsidRPr="00874546">
        <w:rPr>
          <w:b w:val="0"/>
          <w:bCs/>
          <w:i w:val="0"/>
          <w:iCs w:val="0"/>
          <w:color w:val="000000"/>
          <w:kern w:val="0"/>
        </w:rPr>
        <w:tab/>
      </w:r>
      <w:r>
        <w:rPr>
          <w:b w:val="0"/>
          <w:bCs/>
          <w:i w:val="0"/>
          <w:iCs w:val="0"/>
          <w:color w:val="000000"/>
          <w:kern w:val="0"/>
        </w:rPr>
        <w:t>*</w:t>
      </w:r>
      <w:r w:rsidRPr="00874546">
        <w:rPr>
          <w:b w:val="0"/>
          <w:bCs/>
          <w:i w:val="0"/>
          <w:iCs w:val="0"/>
          <w:color w:val="000000"/>
          <w:kern w:val="0"/>
        </w:rPr>
        <w:t xml:space="preserve"> – </w:t>
      </w:r>
      <w:r>
        <w:rPr>
          <w:b w:val="0"/>
          <w:bCs/>
          <w:i w:val="0"/>
          <w:iCs w:val="0"/>
          <w:color w:val="000000"/>
          <w:kern w:val="0"/>
        </w:rPr>
        <w:t>High (Mandatory)</w:t>
      </w:r>
    </w:p>
    <w:p w14:paraId="2F1EA236" w14:textId="77777777" w:rsidR="00342DCB" w:rsidRPr="001B5213" w:rsidRDefault="00342DCB" w:rsidP="00841181">
      <w:pPr>
        <w:pStyle w:val="MTWBox"/>
        <w:rPr>
          <w:b w:val="0"/>
          <w:bCs/>
          <w:color w:val="000000"/>
          <w:kern w:val="0"/>
        </w:rPr>
      </w:pPr>
      <w:r w:rsidRPr="001B5213">
        <w:rPr>
          <w:b w:val="0"/>
          <w:bCs/>
          <w:color w:val="000000"/>
          <w:kern w:val="0"/>
        </w:rPr>
        <w:t>*HHA may obtain any of these three forms of verification but does not need to attempt to obtain all three forms of verification before moving on to self-certification.</w:t>
      </w:r>
    </w:p>
    <w:p w14:paraId="4541B3EE" w14:textId="77777777" w:rsidR="00342DCB" w:rsidRDefault="00342DCB" w:rsidP="00CB52D8">
      <w:pPr>
        <w:pStyle w:val="MTWBox"/>
        <w:numPr>
          <w:ilvl w:val="0"/>
          <w:numId w:val="62"/>
        </w:numPr>
        <w:ind w:left="1080"/>
        <w:rPr>
          <w:rFonts w:asciiTheme="minorHAnsi" w:hAnsiTheme="minorHAnsi" w:cstheme="minorHAnsi"/>
          <w:b w:val="0"/>
          <w:bCs/>
          <w:i w:val="0"/>
          <w:iCs w:val="0"/>
          <w:color w:val="000000"/>
          <w:kern w:val="0"/>
        </w:rPr>
      </w:pPr>
      <w:r w:rsidRPr="00C86796">
        <w:rPr>
          <w:i w:val="0"/>
          <w:iCs w:val="0"/>
          <w:color w:val="000000"/>
          <w:kern w:val="0"/>
        </w:rPr>
        <w:t>Self-Certification</w:t>
      </w:r>
      <w:r w:rsidRPr="001B5213">
        <w:rPr>
          <w:b w:val="0"/>
          <w:bCs/>
          <w:i w:val="0"/>
          <w:iCs w:val="0"/>
          <w:color w:val="000000"/>
          <w:kern w:val="0"/>
        </w:rPr>
        <w:t>** – High (Optional)</w:t>
      </w:r>
    </w:p>
    <w:p w14:paraId="04A081CA" w14:textId="77777777" w:rsidR="00342DCB" w:rsidRPr="001B5213" w:rsidRDefault="00342DCB" w:rsidP="00841181">
      <w:pPr>
        <w:pStyle w:val="MTWBox"/>
        <w:rPr>
          <w:b w:val="0"/>
          <w:bCs/>
          <w:color w:val="000000"/>
          <w:kern w:val="0"/>
        </w:rPr>
      </w:pPr>
      <w:r w:rsidRPr="001B5213">
        <w:rPr>
          <w:b w:val="0"/>
          <w:bCs/>
          <w:color w:val="000000"/>
          <w:kern w:val="0"/>
        </w:rPr>
        <w:t>**As applicable and/or as needed to supplement EIV documentation and/or when third-party documentation cannot be obtained.</w:t>
      </w:r>
    </w:p>
    <w:p w14:paraId="1C9FCB12" w14:textId="77777777" w:rsidR="00974008" w:rsidRPr="00FD79ED" w:rsidRDefault="001F618B" w:rsidP="00613E36">
      <w:pPr>
        <w:pStyle w:val="00Normal"/>
        <w:spacing w:after="160" w:line="259" w:lineRule="auto"/>
        <w:jc w:val="both"/>
        <w:rPr>
          <w:sz w:val="22"/>
          <w:szCs w:val="22"/>
        </w:rPr>
      </w:pPr>
      <w:bookmarkStart w:id="1279" w:name="_Ref148097159"/>
      <w:bookmarkStart w:id="1280" w:name="_Ref154566324"/>
      <w:bookmarkStart w:id="1281" w:name="_Toc516735438"/>
      <w:bookmarkStart w:id="1282" w:name="_Toc527019436"/>
      <w:bookmarkStart w:id="1283" w:name="_Toc534706971"/>
      <w:bookmarkStart w:id="1284" w:name="_Toc534707649"/>
      <w:bookmarkStart w:id="1285" w:name="_Toc534708457"/>
      <w:bookmarkStart w:id="1286" w:name="_Toc118116041"/>
      <w:bookmarkEnd w:id="1278"/>
      <w:r w:rsidRPr="00FD79ED">
        <w:rPr>
          <w:sz w:val="22"/>
          <w:szCs w:val="22"/>
        </w:rPr>
        <w:t xml:space="preserve">Families may request an </w:t>
      </w:r>
      <w:r w:rsidRPr="00FD79ED">
        <w:rPr>
          <w:b/>
          <w:bCs/>
          <w:color w:val="0070C0"/>
          <w:sz w:val="22"/>
          <w:szCs w:val="22"/>
        </w:rPr>
        <w:fldChar w:fldCharType="begin"/>
      </w:r>
      <w:r w:rsidRPr="00FD79ED">
        <w:rPr>
          <w:b/>
          <w:bCs/>
          <w:color w:val="0070C0"/>
          <w:sz w:val="22"/>
          <w:szCs w:val="22"/>
        </w:rPr>
        <w:instrText xml:space="preserve"> REF _Ref155262532 \h </w:instrText>
      </w:r>
      <w:r w:rsidR="003876DC" w:rsidRPr="00FD79ED">
        <w:rPr>
          <w:b/>
          <w:bCs/>
          <w:color w:val="0070C0"/>
          <w:sz w:val="22"/>
          <w:szCs w:val="22"/>
        </w:rPr>
        <w:instrText xml:space="preserve"> \* MERGEFORMAT </w:instrText>
      </w:r>
      <w:r w:rsidRPr="00FD79ED">
        <w:rPr>
          <w:b/>
          <w:bCs/>
          <w:color w:val="0070C0"/>
          <w:sz w:val="22"/>
          <w:szCs w:val="22"/>
        </w:rPr>
      </w:r>
      <w:r w:rsidRPr="00FD79ED">
        <w:rPr>
          <w:b/>
          <w:bCs/>
          <w:color w:val="0070C0"/>
          <w:sz w:val="22"/>
          <w:szCs w:val="22"/>
        </w:rPr>
        <w:fldChar w:fldCharType="separate"/>
      </w:r>
      <w:r w:rsidRPr="00FD79ED">
        <w:rPr>
          <w:b/>
          <w:bCs/>
          <w:color w:val="0070C0"/>
          <w:sz w:val="22"/>
          <w:szCs w:val="22"/>
        </w:rPr>
        <w:t>Alternative Verification Hierarchy Hardship</w:t>
      </w:r>
      <w:r w:rsidRPr="00FD79ED">
        <w:rPr>
          <w:b/>
          <w:bCs/>
          <w:color w:val="0070C0"/>
          <w:sz w:val="22"/>
          <w:szCs w:val="22"/>
        </w:rPr>
        <w:fldChar w:fldCharType="end"/>
      </w:r>
      <w:r w:rsidR="00D33400" w:rsidRPr="00FD79ED">
        <w:rPr>
          <w:sz w:val="22"/>
          <w:szCs w:val="22"/>
        </w:rPr>
        <w:t xml:space="preserve"> if the family </w:t>
      </w:r>
      <w:r w:rsidR="003876DC" w:rsidRPr="00FD79ED">
        <w:rPr>
          <w:sz w:val="22"/>
          <w:szCs w:val="22"/>
        </w:rPr>
        <w:t>does not agree with an income and rent determination</w:t>
      </w:r>
      <w:r w:rsidR="00FD79ED" w:rsidRPr="00FD79ED">
        <w:rPr>
          <w:sz w:val="22"/>
          <w:szCs w:val="22"/>
        </w:rPr>
        <w:t xml:space="preserve"> based on</w:t>
      </w:r>
      <w:r w:rsidR="00FD79ED">
        <w:rPr>
          <w:sz w:val="22"/>
          <w:szCs w:val="22"/>
        </w:rPr>
        <w:t xml:space="preserve"> documentation </w:t>
      </w:r>
      <w:r w:rsidR="00AE13E0">
        <w:rPr>
          <w:sz w:val="22"/>
          <w:szCs w:val="22"/>
        </w:rPr>
        <w:t>used under the Alternative Verification Hierarchy</w:t>
      </w:r>
      <w:r w:rsidR="00FD79ED" w:rsidRPr="00FD79ED">
        <w:rPr>
          <w:sz w:val="22"/>
          <w:szCs w:val="22"/>
        </w:rPr>
        <w:t>.</w:t>
      </w:r>
    </w:p>
    <w:p w14:paraId="393E3D38" w14:textId="77777777" w:rsidR="00974008" w:rsidRDefault="00974008" w:rsidP="00677451">
      <w:pPr>
        <w:pStyle w:val="Heading3"/>
      </w:pPr>
      <w:bookmarkStart w:id="1287" w:name="_Ref154585118"/>
      <w:bookmarkStart w:id="1288" w:name="_Toc200375636"/>
      <w:r>
        <w:t>Alternative Verification Requirements</w:t>
      </w:r>
      <w:bookmarkEnd w:id="1279"/>
      <w:bookmarkEnd w:id="1280"/>
      <w:bookmarkEnd w:id="1287"/>
      <w:bookmarkEnd w:id="1288"/>
    </w:p>
    <w:p w14:paraId="23BF525B" w14:textId="77777777" w:rsidR="00974008" w:rsidRDefault="00974008" w:rsidP="00974008">
      <w:pPr>
        <w:pStyle w:val="MTWBox"/>
        <w:rPr>
          <w:b w:val="0"/>
          <w:bCs/>
          <w:i w:val="0"/>
          <w:iCs w:val="0"/>
          <w:u w:val="single"/>
        </w:rPr>
      </w:pPr>
      <w:r>
        <w:t>MTW Policy</w:t>
      </w:r>
    </w:p>
    <w:p w14:paraId="7DC72BB2" w14:textId="77777777" w:rsidR="00974008" w:rsidRPr="009C5DDB" w:rsidRDefault="00974008" w:rsidP="00974008">
      <w:pPr>
        <w:pStyle w:val="MTWBox"/>
        <w:rPr>
          <w:b w:val="0"/>
          <w:bCs/>
          <w:i w:val="0"/>
          <w:iCs w:val="0"/>
        </w:rPr>
      </w:pPr>
      <w:r w:rsidRPr="008A7BFA">
        <w:rPr>
          <w:i w:val="0"/>
          <w:iCs w:val="0"/>
        </w:rPr>
        <w:t>MTW Waiver</w:t>
      </w:r>
      <w:r w:rsidRPr="009C5DDB">
        <w:rPr>
          <w:b w:val="0"/>
          <w:bCs/>
          <w:i w:val="0"/>
          <w:iCs w:val="0"/>
        </w:rPr>
        <w:t>:</w:t>
      </w:r>
      <w:r>
        <w:rPr>
          <w:b w:val="0"/>
          <w:bCs/>
          <w:i w:val="0"/>
          <w:iCs w:val="0"/>
        </w:rPr>
        <w:t xml:space="preserve"> Agency-Specific Waiver – Alternative Verification Methods</w:t>
      </w:r>
    </w:p>
    <w:p w14:paraId="5CE4462C" w14:textId="77777777" w:rsidR="00974008" w:rsidRDefault="00974008" w:rsidP="00974008">
      <w:pPr>
        <w:pStyle w:val="MTWBox"/>
        <w:rPr>
          <w:b w:val="0"/>
          <w:bCs/>
          <w:i w:val="0"/>
          <w:iCs w:val="0"/>
        </w:rPr>
      </w:pPr>
      <w:r w:rsidRPr="008A7BFA">
        <w:rPr>
          <w:i w:val="0"/>
          <w:iCs w:val="0"/>
        </w:rPr>
        <w:t>Approval Date</w:t>
      </w:r>
      <w:r>
        <w:rPr>
          <w:b w:val="0"/>
          <w:bCs/>
          <w:i w:val="0"/>
          <w:iCs w:val="0"/>
        </w:rPr>
        <w:t xml:space="preserve">: FY 2022 </w:t>
      </w:r>
    </w:p>
    <w:p w14:paraId="3C64DF39" w14:textId="77777777" w:rsidR="00974008" w:rsidRDefault="00974008" w:rsidP="00974008">
      <w:pPr>
        <w:pStyle w:val="MTWBox"/>
        <w:rPr>
          <w:b w:val="0"/>
          <w:bCs/>
          <w:i w:val="0"/>
          <w:iCs w:val="0"/>
        </w:rPr>
      </w:pPr>
      <w:r w:rsidRPr="008A7BFA">
        <w:rPr>
          <w:i w:val="0"/>
          <w:iCs w:val="0"/>
        </w:rPr>
        <w:t>Applicable to</w:t>
      </w:r>
      <w:r w:rsidRPr="00EF6F8F">
        <w:rPr>
          <w:b w:val="0"/>
          <w:bCs/>
          <w:i w:val="0"/>
          <w:iCs w:val="0"/>
        </w:rPr>
        <w:t>:</w:t>
      </w:r>
      <w:r>
        <w:rPr>
          <w:b w:val="0"/>
          <w:bCs/>
          <w:i w:val="0"/>
          <w:iCs w:val="0"/>
        </w:rPr>
        <w:t xml:space="preserve"> All MTW-assisted households</w:t>
      </w:r>
    </w:p>
    <w:p w14:paraId="04D4745D" w14:textId="77777777" w:rsidR="00974008" w:rsidRDefault="00974008" w:rsidP="00974008">
      <w:pPr>
        <w:pStyle w:val="MTWBox"/>
        <w:rPr>
          <w:b w:val="0"/>
          <w:bCs/>
          <w:i w:val="0"/>
          <w:iCs w:val="0"/>
        </w:rPr>
      </w:pPr>
      <w:r w:rsidRPr="008A7BFA">
        <w:rPr>
          <w:i w:val="0"/>
          <w:iCs w:val="0"/>
        </w:rPr>
        <w:t>Description</w:t>
      </w:r>
      <w:r w:rsidRPr="008A7BFA">
        <w:rPr>
          <w:b w:val="0"/>
          <w:bCs/>
          <w:i w:val="0"/>
          <w:iCs w:val="0"/>
        </w:rPr>
        <w:t>:</w:t>
      </w:r>
      <w:r>
        <w:rPr>
          <w:b w:val="0"/>
          <w:bCs/>
          <w:i w:val="0"/>
          <w:iCs w:val="0"/>
        </w:rPr>
        <w:t xml:space="preserve"> </w:t>
      </w:r>
      <w:r w:rsidRPr="00243B57">
        <w:rPr>
          <w:b w:val="0"/>
          <w:bCs/>
          <w:i w:val="0"/>
          <w:iCs w:val="0"/>
        </w:rPr>
        <w:t xml:space="preserve">This activity </w:t>
      </w:r>
      <w:r>
        <w:rPr>
          <w:b w:val="0"/>
          <w:bCs/>
          <w:i w:val="0"/>
          <w:iCs w:val="0"/>
        </w:rPr>
        <w:t>waives</w:t>
      </w:r>
      <w:r w:rsidRPr="00243B57">
        <w:rPr>
          <w:b w:val="0"/>
          <w:bCs/>
          <w:i w:val="0"/>
          <w:iCs w:val="0"/>
        </w:rPr>
        <w:t xml:space="preserve"> provisions of HUD PIH Notice 2018-18 and successor notices to allow HHA to utilize an alternative, streamlined method to verify household member income for all Public Housing and HCV program applicants and participants</w:t>
      </w:r>
      <w:r>
        <w:rPr>
          <w:b w:val="0"/>
          <w:bCs/>
          <w:i w:val="0"/>
          <w:iCs w:val="0"/>
        </w:rPr>
        <w:t>. Policies approved under this waiver are outlined below, and detailed throughout this chapter:</w:t>
      </w:r>
    </w:p>
    <w:p w14:paraId="6580C16A" w14:textId="77777777" w:rsidR="00974008" w:rsidRPr="00243B57" w:rsidRDefault="00974008" w:rsidP="00CB52D8">
      <w:pPr>
        <w:pStyle w:val="MTWBox"/>
        <w:numPr>
          <w:ilvl w:val="0"/>
          <w:numId w:val="58"/>
        </w:numPr>
        <w:ind w:left="1080"/>
        <w:rPr>
          <w:b w:val="0"/>
          <w:bCs/>
          <w:i w:val="0"/>
          <w:iCs w:val="0"/>
          <w:color w:val="000000"/>
          <w:kern w:val="0"/>
        </w:rPr>
      </w:pPr>
      <w:r w:rsidRPr="00243B57">
        <w:rPr>
          <w:i w:val="0"/>
          <w:iCs w:val="0"/>
          <w:color w:val="000000"/>
          <w:kern w:val="0"/>
        </w:rPr>
        <w:t>Extend the time that verification documents are valid</w:t>
      </w:r>
      <w:r>
        <w:rPr>
          <w:i w:val="0"/>
          <w:iCs w:val="0"/>
          <w:color w:val="000000"/>
          <w:kern w:val="0"/>
        </w:rPr>
        <w:t xml:space="preserve">: </w:t>
      </w:r>
      <w:r w:rsidRPr="00243B57">
        <w:rPr>
          <w:b w:val="0"/>
          <w:bCs/>
          <w:i w:val="0"/>
          <w:iCs w:val="0"/>
          <w:color w:val="000000"/>
          <w:kern w:val="0"/>
        </w:rPr>
        <w:t xml:space="preserve">Verifications for reexaminations may not be dated more than 180 days </w:t>
      </w:r>
      <w:r w:rsidRPr="00662192">
        <w:rPr>
          <w:b w:val="0"/>
          <w:bCs/>
          <w:i w:val="0"/>
          <w:iCs w:val="0"/>
          <w:color w:val="000000"/>
          <w:kern w:val="0"/>
        </w:rPr>
        <w:t>from the effective date of the transaction.</w:t>
      </w:r>
      <w:r w:rsidRPr="00243B57">
        <w:rPr>
          <w:b w:val="0"/>
          <w:bCs/>
          <w:i w:val="0"/>
          <w:iCs w:val="0"/>
          <w:color w:val="000000"/>
          <w:kern w:val="0"/>
        </w:rPr>
        <w:t xml:space="preserve"> </w:t>
      </w:r>
    </w:p>
    <w:p w14:paraId="1788F11A" w14:textId="77777777" w:rsidR="00974008" w:rsidRDefault="00974008" w:rsidP="00CB52D8">
      <w:pPr>
        <w:pStyle w:val="MTWBox"/>
        <w:numPr>
          <w:ilvl w:val="0"/>
          <w:numId w:val="58"/>
        </w:numPr>
        <w:ind w:left="1080"/>
        <w:rPr>
          <w:b w:val="0"/>
          <w:bCs/>
          <w:i w:val="0"/>
          <w:iCs w:val="0"/>
          <w:color w:val="000000"/>
          <w:kern w:val="0"/>
        </w:rPr>
      </w:pPr>
      <w:r w:rsidRPr="00243B57">
        <w:rPr>
          <w:i w:val="0"/>
          <w:iCs w:val="0"/>
          <w:color w:val="000000"/>
          <w:kern w:val="0"/>
        </w:rPr>
        <w:t>Fixed Sources of Income:</w:t>
      </w:r>
      <w:r w:rsidRPr="00243B57">
        <w:rPr>
          <w:b w:val="0"/>
          <w:bCs/>
          <w:i w:val="0"/>
          <w:iCs w:val="0"/>
          <w:color w:val="000000"/>
          <w:kern w:val="0"/>
        </w:rPr>
        <w:t xml:space="preserve"> Verification documents for fixed income sources will be valid for the full calendar year in which the income is effective. </w:t>
      </w:r>
    </w:p>
    <w:p w14:paraId="7B963401" w14:textId="77777777" w:rsidR="00974008" w:rsidRPr="00C86796" w:rsidRDefault="00974008" w:rsidP="00CB52D8">
      <w:pPr>
        <w:pStyle w:val="MTWBox"/>
        <w:numPr>
          <w:ilvl w:val="0"/>
          <w:numId w:val="58"/>
        </w:numPr>
        <w:ind w:left="1080"/>
        <w:rPr>
          <w:b w:val="0"/>
          <w:bCs/>
          <w:i w:val="0"/>
          <w:iCs w:val="0"/>
          <w:color w:val="000000"/>
          <w:kern w:val="0"/>
        </w:rPr>
      </w:pPr>
      <w:r w:rsidRPr="00243B57">
        <w:rPr>
          <w:i w:val="0"/>
          <w:iCs w:val="0"/>
        </w:rPr>
        <w:t>Increase the discrepancy threshold to $5,0</w:t>
      </w:r>
      <w:r w:rsidR="00581AE7">
        <w:rPr>
          <w:i w:val="0"/>
          <w:iCs w:val="0"/>
        </w:rPr>
        <w:t>0</w:t>
      </w:r>
      <w:r w:rsidRPr="00243B57">
        <w:rPr>
          <w:i w:val="0"/>
          <w:iCs w:val="0"/>
        </w:rPr>
        <w:t>0.</w:t>
      </w:r>
      <w:r w:rsidRPr="00243B57">
        <w:rPr>
          <w:b w:val="0"/>
          <w:bCs/>
          <w:i w:val="0"/>
          <w:iCs w:val="0"/>
        </w:rPr>
        <w:t xml:space="preserve"> HHA will continue to identify income discrepancies and take action to process discrepancies which may result in interim or annual correction actions; however, the threshold for the discrepancy will be set at $5,000.</w:t>
      </w:r>
    </w:p>
    <w:p w14:paraId="4C560818" w14:textId="77777777" w:rsidR="00974008" w:rsidRDefault="00974008" w:rsidP="00CB52D8">
      <w:pPr>
        <w:pStyle w:val="MTWBox"/>
        <w:numPr>
          <w:ilvl w:val="0"/>
          <w:numId w:val="58"/>
        </w:numPr>
        <w:ind w:left="1080"/>
        <w:rPr>
          <w:b w:val="0"/>
          <w:bCs/>
          <w:i w:val="0"/>
          <w:iCs w:val="0"/>
          <w:color w:val="000000"/>
          <w:kern w:val="0"/>
        </w:rPr>
      </w:pPr>
      <w:r w:rsidRPr="00C86796">
        <w:rPr>
          <w:i w:val="0"/>
          <w:iCs w:val="0"/>
        </w:rPr>
        <w:t>Establish an</w:t>
      </w:r>
      <w:r w:rsidRPr="00C86796">
        <w:rPr>
          <w:b w:val="0"/>
          <w:bCs/>
          <w:i w:val="0"/>
          <w:iCs w:val="0"/>
        </w:rPr>
        <w:t xml:space="preserve"> </w:t>
      </w:r>
      <w:hyperlink w:anchor="_Alternative_Verification_Hierarchy" w:history="1">
        <w:r w:rsidRPr="00AB3B05">
          <w:rPr>
            <w:rStyle w:val="Hyperlink"/>
            <w:b/>
            <w:bCs/>
            <w:i w:val="0"/>
            <w:iCs w:val="0"/>
            <w:color w:val="0070C0"/>
          </w:rPr>
          <w:fldChar w:fldCharType="begin"/>
        </w:r>
        <w:r w:rsidRPr="00AB3B05">
          <w:rPr>
            <w:i w:val="0"/>
            <w:iCs w:val="0"/>
            <w:color w:val="0070C0"/>
          </w:rPr>
          <w:instrText xml:space="preserve"> REF _Ref148098638 \h </w:instrText>
        </w:r>
        <w:r>
          <w:rPr>
            <w:rStyle w:val="Hyperlink"/>
            <w:b/>
            <w:bCs/>
            <w:i w:val="0"/>
            <w:iCs w:val="0"/>
            <w:color w:val="0070C0"/>
          </w:rPr>
          <w:instrText xml:space="preserve"> \* MERGEFORMAT </w:instrText>
        </w:r>
        <w:r w:rsidRPr="00AB3B05">
          <w:rPr>
            <w:rStyle w:val="Hyperlink"/>
            <w:b/>
            <w:bCs/>
            <w:i w:val="0"/>
            <w:iCs w:val="0"/>
            <w:color w:val="0070C0"/>
          </w:rPr>
        </w:r>
        <w:r w:rsidRPr="00AB3B05">
          <w:rPr>
            <w:rStyle w:val="Hyperlink"/>
            <w:b/>
            <w:bCs/>
            <w:i w:val="0"/>
            <w:iCs w:val="0"/>
            <w:color w:val="0070C0"/>
          </w:rPr>
          <w:fldChar w:fldCharType="separate"/>
        </w:r>
        <w:r w:rsidRPr="00AB3B05">
          <w:rPr>
            <w:i w:val="0"/>
            <w:iCs w:val="0"/>
            <w:color w:val="0070C0"/>
          </w:rPr>
          <w:t>Alternative Verification Hierarchy</w:t>
        </w:r>
        <w:r w:rsidRPr="00AB3B05">
          <w:rPr>
            <w:rStyle w:val="Hyperlink"/>
            <w:b/>
            <w:bCs/>
            <w:i w:val="0"/>
            <w:iCs w:val="0"/>
            <w:color w:val="0070C0"/>
          </w:rPr>
          <w:fldChar w:fldCharType="end"/>
        </w:r>
      </w:hyperlink>
      <w:r>
        <w:rPr>
          <w:b w:val="0"/>
          <w:bCs/>
          <w:i w:val="0"/>
          <w:iCs w:val="0"/>
        </w:rPr>
        <w:t xml:space="preserve"> to streamline the verification process.</w:t>
      </w:r>
    </w:p>
    <w:p w14:paraId="1B8152C5" w14:textId="77777777" w:rsidR="00974008" w:rsidRDefault="00974008" w:rsidP="00974008">
      <w:pPr>
        <w:pStyle w:val="00Normal"/>
      </w:pPr>
    </w:p>
    <w:p w14:paraId="4B50FF12" w14:textId="77777777" w:rsidR="00342DCB" w:rsidRPr="00765546" w:rsidRDefault="00342DCB" w:rsidP="00677451">
      <w:pPr>
        <w:pStyle w:val="Heading3"/>
      </w:pPr>
      <w:bookmarkStart w:id="1289" w:name="_Toc200375637"/>
      <w:r w:rsidRPr="00765546">
        <w:t>Enterprise Income Verification (E</w:t>
      </w:r>
      <w:r>
        <w:t>IV</w:t>
      </w:r>
      <w:r w:rsidRPr="00765546">
        <w:t>) System</w:t>
      </w:r>
      <w:bookmarkEnd w:id="1281"/>
      <w:bookmarkEnd w:id="1282"/>
      <w:bookmarkEnd w:id="1283"/>
      <w:bookmarkEnd w:id="1284"/>
      <w:bookmarkEnd w:id="1285"/>
      <w:bookmarkEnd w:id="1286"/>
      <w:bookmarkEnd w:id="1289"/>
    </w:p>
    <w:p w14:paraId="7D563585" w14:textId="77777777" w:rsidR="00342DCB" w:rsidRDefault="00342DCB" w:rsidP="00342DCB">
      <w:pPr>
        <w:autoSpaceDE w:val="0"/>
        <w:autoSpaceDN w:val="0"/>
        <w:adjustRightInd w:val="0"/>
        <w:rPr>
          <w:rFonts w:cs="Arial"/>
          <w:szCs w:val="20"/>
        </w:rPr>
      </w:pPr>
      <w:r>
        <w:rPr>
          <w:rFonts w:cs="Arial"/>
          <w:szCs w:val="20"/>
        </w:rPr>
        <w:t>HHA</w:t>
      </w:r>
      <w:r w:rsidRPr="00765546">
        <w:rPr>
          <w:rFonts w:cs="Arial"/>
          <w:szCs w:val="20"/>
        </w:rPr>
        <w:t xml:space="preserve"> will use HUD’s EIV system as a third-party source to validate </w:t>
      </w:r>
      <w:r>
        <w:rPr>
          <w:rFonts w:cs="Arial"/>
          <w:szCs w:val="20"/>
        </w:rPr>
        <w:t xml:space="preserve">participant </w:t>
      </w:r>
      <w:r w:rsidRPr="00765546">
        <w:rPr>
          <w:rFonts w:cs="Arial"/>
          <w:szCs w:val="20"/>
        </w:rPr>
        <w:t xml:space="preserve">employment and verify certain income information during reexaminations of family composition and income. </w:t>
      </w:r>
    </w:p>
    <w:p w14:paraId="6F50234E" w14:textId="77777777" w:rsidR="00ED790E" w:rsidRPr="00765546" w:rsidRDefault="00342DCB" w:rsidP="00ED790E">
      <w:pPr>
        <w:autoSpaceDE w:val="0"/>
        <w:autoSpaceDN w:val="0"/>
        <w:adjustRightInd w:val="0"/>
        <w:rPr>
          <w:rFonts w:cs="Arial"/>
          <w:szCs w:val="20"/>
        </w:rPr>
      </w:pPr>
      <w:r w:rsidRPr="00765546">
        <w:rPr>
          <w:rFonts w:cs="Arial"/>
          <w:szCs w:val="20"/>
        </w:rPr>
        <w:t>The following policies apply to the use of HUD’s EIV system.</w:t>
      </w:r>
      <w:r w:rsidR="004619C6">
        <w:rPr>
          <w:rFonts w:cs="Arial"/>
          <w:szCs w:val="20"/>
        </w:rPr>
        <w:t xml:space="preserve"> </w:t>
      </w:r>
      <w:r w:rsidR="004747E0">
        <w:rPr>
          <w:rFonts w:cs="Arial"/>
          <w:szCs w:val="20"/>
        </w:rPr>
        <w:t>Note that while HHA is required to run EIV and IVT reports at each regular recertification, it is not required to use those reports if at a regular recertification HHA used</w:t>
      </w:r>
      <w:r w:rsidR="004747E0" w:rsidRPr="00ED790E">
        <w:rPr>
          <w:rFonts w:cs="Arial"/>
          <w:szCs w:val="20"/>
        </w:rPr>
        <w:t xml:space="preserve"> </w:t>
      </w:r>
      <w:r w:rsidR="004747E0">
        <w:rPr>
          <w:rFonts w:cs="Arial"/>
          <w:szCs w:val="20"/>
        </w:rPr>
        <w:t>Safe Harbor verification from another means-tested federal assistance program to determine the family’s income.</w:t>
      </w:r>
    </w:p>
    <w:p w14:paraId="70674811" w14:textId="77777777" w:rsidR="00342DCB" w:rsidRPr="00765546" w:rsidRDefault="00342DCB" w:rsidP="00342DCB">
      <w:pPr>
        <w:pStyle w:val="Heading4"/>
      </w:pPr>
      <w:bookmarkStart w:id="1290" w:name="_Toc516735439"/>
      <w:bookmarkStart w:id="1291" w:name="_Toc527019437"/>
      <w:bookmarkStart w:id="1292" w:name="_Toc534706973"/>
      <w:bookmarkStart w:id="1293" w:name="_Toc534707651"/>
      <w:bookmarkStart w:id="1294" w:name="_Toc534708459"/>
      <w:bookmarkStart w:id="1295" w:name="_Toc118116043"/>
      <w:r w:rsidRPr="00765546">
        <w:t>EIV Income Reports</w:t>
      </w:r>
      <w:bookmarkEnd w:id="1290"/>
      <w:bookmarkEnd w:id="1291"/>
      <w:bookmarkEnd w:id="1292"/>
      <w:bookmarkEnd w:id="1293"/>
      <w:bookmarkEnd w:id="1294"/>
      <w:bookmarkEnd w:id="1295"/>
    </w:p>
    <w:p w14:paraId="4544A132" w14:textId="77777777" w:rsidR="00342DCB" w:rsidRPr="00765546" w:rsidRDefault="00342DCB" w:rsidP="00342DCB">
      <w:pPr>
        <w:autoSpaceDE w:val="0"/>
        <w:autoSpaceDN w:val="0"/>
        <w:adjustRightInd w:val="0"/>
        <w:rPr>
          <w:rFonts w:cs="Arial"/>
          <w:szCs w:val="20"/>
        </w:rPr>
      </w:pPr>
      <w:r w:rsidRPr="00765546">
        <w:rPr>
          <w:rFonts w:cs="Arial"/>
          <w:szCs w:val="20"/>
        </w:rPr>
        <w:t>EIV reports will be</w:t>
      </w:r>
      <w:r w:rsidR="00566E09">
        <w:rPr>
          <w:rFonts w:cs="Arial"/>
          <w:szCs w:val="20"/>
        </w:rPr>
        <w:t xml:space="preserve"> run within 120 days of the effective recertification date and</w:t>
      </w:r>
      <w:r w:rsidRPr="00765546">
        <w:rPr>
          <w:rFonts w:cs="Arial"/>
          <w:szCs w:val="20"/>
        </w:rPr>
        <w:t xml:space="preserve"> compared to family-provided information as part of the regular reexamination process</w:t>
      </w:r>
      <w:r>
        <w:rPr>
          <w:rFonts w:cs="Arial"/>
          <w:szCs w:val="20"/>
        </w:rPr>
        <w:t xml:space="preserve"> and/or as needed</w:t>
      </w:r>
      <w:r w:rsidRPr="00765546">
        <w:rPr>
          <w:rFonts w:cs="Arial"/>
          <w:szCs w:val="20"/>
        </w:rPr>
        <w:t xml:space="preserve">. </w:t>
      </w:r>
    </w:p>
    <w:p w14:paraId="74E8E017" w14:textId="64D3E2B2" w:rsidR="00342DCB" w:rsidRDefault="00342DCB" w:rsidP="00342DCB">
      <w:pPr>
        <w:autoSpaceDE w:val="0"/>
        <w:autoSpaceDN w:val="0"/>
        <w:adjustRightInd w:val="0"/>
        <w:rPr>
          <w:rFonts w:cs="Arial"/>
          <w:szCs w:val="20"/>
        </w:rPr>
      </w:pPr>
      <w:r w:rsidRPr="00765546">
        <w:rPr>
          <w:rFonts w:cs="Arial"/>
          <w:szCs w:val="20"/>
        </w:rPr>
        <w:t>EIV reports will be used as necessary to identify earned income and unemployment benefits, and to verify and calculate Social Security, Dual Entitlement, and/or Supplemental Security Income (SSI) benefits. EIV will also be used to verify that families claiming zero income are not receiving income from any of these sources.</w:t>
      </w:r>
    </w:p>
    <w:p w14:paraId="24E9C5E6" w14:textId="77777777" w:rsidR="00342DCB" w:rsidRPr="00765546" w:rsidRDefault="00342DCB" w:rsidP="00342DCB">
      <w:pPr>
        <w:pStyle w:val="Heading4"/>
      </w:pPr>
      <w:bookmarkStart w:id="1296" w:name="_Toc534706972"/>
      <w:bookmarkStart w:id="1297" w:name="_Toc534707650"/>
      <w:bookmarkStart w:id="1298" w:name="_Toc534708458"/>
      <w:bookmarkStart w:id="1299" w:name="_Toc118116042"/>
      <w:r w:rsidRPr="00765546">
        <w:t>Income Validation Tool (IVT)</w:t>
      </w:r>
      <w:bookmarkEnd w:id="1296"/>
      <w:bookmarkEnd w:id="1297"/>
      <w:bookmarkEnd w:id="1298"/>
      <w:bookmarkEnd w:id="1299"/>
    </w:p>
    <w:p w14:paraId="3570F042" w14:textId="4857A879" w:rsidR="00C269CD" w:rsidRDefault="00342DCB" w:rsidP="001D7B20">
      <w:pPr>
        <w:rPr>
          <w:rFonts w:cs="Arial"/>
          <w:szCs w:val="20"/>
        </w:rPr>
      </w:pPr>
      <w:r w:rsidRPr="00765546">
        <w:rPr>
          <w:rFonts w:cs="Arial"/>
          <w:szCs w:val="20"/>
        </w:rPr>
        <w:t xml:space="preserve">The IVT report facilitates and enhances identification of unreported or under-reported income. The IVT also provides income and wage, unemployment compensation and SSA benefit information. Additionally, the IVT report provides income information for heads of household and family members where there may be discrepancies in family reported income and employer reported information. </w:t>
      </w:r>
    </w:p>
    <w:p w14:paraId="09194A60" w14:textId="77777777" w:rsidR="00342DCB" w:rsidRPr="00765546" w:rsidRDefault="00342DCB" w:rsidP="00342DCB">
      <w:pPr>
        <w:rPr>
          <w:rFonts w:cs="Arial"/>
          <w:szCs w:val="20"/>
        </w:rPr>
      </w:pPr>
      <w:r w:rsidRPr="00765546">
        <w:rPr>
          <w:rFonts w:cs="Arial"/>
          <w:szCs w:val="20"/>
        </w:rPr>
        <w:t>At each regular reexamination of income and family composition</w:t>
      </w:r>
      <w:r w:rsidR="00781729">
        <w:rPr>
          <w:rFonts w:cs="Arial"/>
          <w:szCs w:val="20"/>
        </w:rPr>
        <w:t xml:space="preserve"> and within 120 days of the effective recertification date</w:t>
      </w:r>
      <w:r>
        <w:rPr>
          <w:rFonts w:cs="Arial"/>
          <w:szCs w:val="20"/>
        </w:rPr>
        <w:t>, and/or as needed, HHA</w:t>
      </w:r>
      <w:r w:rsidRPr="00765546">
        <w:rPr>
          <w:rFonts w:cs="Arial"/>
          <w:szCs w:val="20"/>
        </w:rPr>
        <w:t xml:space="preserve"> will:</w:t>
      </w:r>
    </w:p>
    <w:p w14:paraId="2A46F1E9" w14:textId="77777777" w:rsidR="00342DCB" w:rsidRPr="00765546" w:rsidRDefault="00861416" w:rsidP="00CB52D8">
      <w:pPr>
        <w:pStyle w:val="ListParagraph"/>
        <w:numPr>
          <w:ilvl w:val="0"/>
          <w:numId w:val="60"/>
        </w:numPr>
        <w:spacing w:after="120"/>
        <w:contextualSpacing w:val="0"/>
        <w:rPr>
          <w:rFonts w:cs="Arial"/>
          <w:szCs w:val="20"/>
        </w:rPr>
      </w:pPr>
      <w:r>
        <w:rPr>
          <w:rFonts w:cs="Arial"/>
          <w:szCs w:val="20"/>
        </w:rPr>
        <w:t>Review</w:t>
      </w:r>
      <w:r w:rsidR="00342DCB" w:rsidRPr="00765546">
        <w:rPr>
          <w:rFonts w:cs="Arial"/>
          <w:szCs w:val="20"/>
        </w:rPr>
        <w:t xml:space="preserve"> the EIV Income and IVT reports to confirm/validate tenant-reported income;</w:t>
      </w:r>
    </w:p>
    <w:p w14:paraId="7EBB317C" w14:textId="77777777" w:rsidR="00342DCB" w:rsidRPr="00765546" w:rsidRDefault="00342DCB" w:rsidP="00CB52D8">
      <w:pPr>
        <w:pStyle w:val="ListParagraph"/>
        <w:numPr>
          <w:ilvl w:val="0"/>
          <w:numId w:val="60"/>
        </w:numPr>
        <w:spacing w:after="120"/>
        <w:contextualSpacing w:val="0"/>
        <w:rPr>
          <w:rFonts w:cs="Arial"/>
          <w:szCs w:val="20"/>
        </w:rPr>
      </w:pPr>
      <w:r>
        <w:rPr>
          <w:rFonts w:cs="Arial"/>
          <w:szCs w:val="20"/>
        </w:rPr>
        <w:t>M</w:t>
      </w:r>
      <w:r w:rsidRPr="00765546">
        <w:rPr>
          <w:rFonts w:cs="Arial"/>
          <w:szCs w:val="20"/>
        </w:rPr>
        <w:t>aintain the EIV Income and IVT Reports in the tenant file;</w:t>
      </w:r>
    </w:p>
    <w:p w14:paraId="6E666AF0" w14:textId="77777777" w:rsidR="00342DCB" w:rsidRPr="00765546" w:rsidRDefault="00342DCB" w:rsidP="00CB52D8">
      <w:pPr>
        <w:pStyle w:val="ListParagraph"/>
        <w:numPr>
          <w:ilvl w:val="0"/>
          <w:numId w:val="60"/>
        </w:numPr>
        <w:spacing w:after="120"/>
        <w:contextualSpacing w:val="0"/>
        <w:rPr>
          <w:rFonts w:cs="Arial"/>
          <w:szCs w:val="20"/>
        </w:rPr>
      </w:pPr>
      <w:r w:rsidRPr="00765546">
        <w:rPr>
          <w:rFonts w:cs="Arial"/>
          <w:szCs w:val="20"/>
        </w:rPr>
        <w:t>Obtain current acceptable tenant-provided documentation to supplement EIV information (where applicable); and</w:t>
      </w:r>
    </w:p>
    <w:p w14:paraId="6A2173FE" w14:textId="77777777" w:rsidR="00342DCB" w:rsidRPr="00765546" w:rsidRDefault="00342DCB" w:rsidP="00CB52D8">
      <w:pPr>
        <w:pStyle w:val="ListParagraph"/>
        <w:numPr>
          <w:ilvl w:val="0"/>
          <w:numId w:val="60"/>
        </w:numPr>
        <w:spacing w:after="120"/>
        <w:contextualSpacing w:val="0"/>
        <w:rPr>
          <w:rFonts w:cs="Arial"/>
          <w:szCs w:val="20"/>
        </w:rPr>
      </w:pPr>
      <w:r w:rsidRPr="00765546">
        <w:rPr>
          <w:rFonts w:cs="Arial"/>
          <w:szCs w:val="20"/>
        </w:rPr>
        <w:t>Use current family-provided documentation and/or third-party verification to calculate annual income</w:t>
      </w:r>
      <w:r>
        <w:rPr>
          <w:rFonts w:cs="Arial"/>
          <w:szCs w:val="20"/>
        </w:rPr>
        <w:t>, as needed</w:t>
      </w:r>
      <w:r w:rsidRPr="00765546">
        <w:rPr>
          <w:rFonts w:cs="Arial"/>
          <w:szCs w:val="20"/>
        </w:rPr>
        <w:t>.</w:t>
      </w:r>
    </w:p>
    <w:p w14:paraId="206BCC63" w14:textId="77777777" w:rsidR="00342DCB" w:rsidRPr="00765546" w:rsidRDefault="00342DCB" w:rsidP="00342DCB">
      <w:pPr>
        <w:rPr>
          <w:rFonts w:cs="Arial"/>
          <w:szCs w:val="20"/>
        </w:rPr>
      </w:pPr>
      <w:r w:rsidRPr="00765546">
        <w:rPr>
          <w:rFonts w:cs="Arial"/>
          <w:szCs w:val="20"/>
        </w:rPr>
        <w:t xml:space="preserve">Additionally, at each regular reexamination of income and family composition, </w:t>
      </w:r>
      <w:r>
        <w:rPr>
          <w:rFonts w:cs="Arial"/>
          <w:szCs w:val="20"/>
        </w:rPr>
        <w:t xml:space="preserve">and/or as needed, </w:t>
      </w:r>
      <w:r w:rsidRPr="00765546">
        <w:rPr>
          <w:rFonts w:cs="Arial"/>
          <w:szCs w:val="20"/>
        </w:rPr>
        <w:t xml:space="preserve">using the IVT, </w:t>
      </w:r>
      <w:r>
        <w:rPr>
          <w:rFonts w:cs="Arial"/>
          <w:szCs w:val="20"/>
        </w:rPr>
        <w:t>HHA</w:t>
      </w:r>
      <w:r w:rsidRPr="00765546">
        <w:rPr>
          <w:rFonts w:cs="Arial"/>
          <w:szCs w:val="20"/>
        </w:rPr>
        <w:t xml:space="preserve"> will:</w:t>
      </w:r>
    </w:p>
    <w:p w14:paraId="628CC821" w14:textId="77777777" w:rsidR="00342DCB" w:rsidRPr="00765546" w:rsidRDefault="00342DCB" w:rsidP="00CB52D8">
      <w:pPr>
        <w:pStyle w:val="ListParagraph"/>
        <w:numPr>
          <w:ilvl w:val="0"/>
          <w:numId w:val="63"/>
        </w:numPr>
        <w:spacing w:after="120"/>
        <w:contextualSpacing w:val="0"/>
        <w:rPr>
          <w:rFonts w:cs="Arial"/>
          <w:szCs w:val="20"/>
        </w:rPr>
      </w:pPr>
      <w:r w:rsidRPr="00765546">
        <w:rPr>
          <w:rFonts w:cs="Arial"/>
          <w:szCs w:val="20"/>
        </w:rPr>
        <w:t>Identify any reported discrepancies in family reported income and employer reported information;</w:t>
      </w:r>
    </w:p>
    <w:p w14:paraId="4DE695D8" w14:textId="77777777" w:rsidR="00342DCB" w:rsidRPr="00765546" w:rsidRDefault="00342DCB" w:rsidP="00CB52D8">
      <w:pPr>
        <w:pStyle w:val="ListParagraph"/>
        <w:numPr>
          <w:ilvl w:val="0"/>
          <w:numId w:val="63"/>
        </w:numPr>
        <w:spacing w:after="120"/>
        <w:contextualSpacing w:val="0"/>
        <w:rPr>
          <w:rFonts w:cs="Arial"/>
          <w:szCs w:val="20"/>
        </w:rPr>
      </w:pPr>
      <w:r w:rsidRPr="00765546">
        <w:rPr>
          <w:rFonts w:cs="Arial"/>
          <w:szCs w:val="20"/>
        </w:rPr>
        <w:t>Request the family to provide any documentation to confirm or dispute the income discrepancy;</w:t>
      </w:r>
    </w:p>
    <w:p w14:paraId="220F62FA" w14:textId="77777777" w:rsidR="00342DCB" w:rsidRPr="00765546" w:rsidRDefault="00342DCB" w:rsidP="00CB52D8">
      <w:pPr>
        <w:pStyle w:val="ListParagraph"/>
        <w:numPr>
          <w:ilvl w:val="0"/>
          <w:numId w:val="63"/>
        </w:numPr>
        <w:spacing w:after="120"/>
        <w:contextualSpacing w:val="0"/>
        <w:rPr>
          <w:rFonts w:cs="Arial"/>
          <w:szCs w:val="20"/>
        </w:rPr>
      </w:pPr>
      <w:r w:rsidRPr="00765546">
        <w:rPr>
          <w:rFonts w:cs="Arial"/>
          <w:szCs w:val="20"/>
        </w:rPr>
        <w:t>As applicable, determine the degree of family underreporting or misreporting of income information; and</w:t>
      </w:r>
    </w:p>
    <w:p w14:paraId="4354CCB0" w14:textId="77777777" w:rsidR="00342DCB" w:rsidRDefault="00342DCB" w:rsidP="00CB52D8">
      <w:pPr>
        <w:pStyle w:val="ListParagraph"/>
        <w:numPr>
          <w:ilvl w:val="0"/>
          <w:numId w:val="63"/>
        </w:numPr>
        <w:spacing w:after="120"/>
        <w:contextualSpacing w:val="0"/>
        <w:rPr>
          <w:rFonts w:cs="Arial"/>
          <w:szCs w:val="20"/>
        </w:rPr>
      </w:pPr>
      <w:r w:rsidRPr="00765546">
        <w:rPr>
          <w:rFonts w:cs="Arial"/>
          <w:szCs w:val="20"/>
        </w:rPr>
        <w:t xml:space="preserve">Take action in accordance with </w:t>
      </w:r>
      <w:r>
        <w:rPr>
          <w:rFonts w:cs="Arial"/>
          <w:szCs w:val="20"/>
        </w:rPr>
        <w:t>HHA</w:t>
      </w:r>
      <w:r w:rsidRPr="00765546">
        <w:rPr>
          <w:rFonts w:cs="Arial"/>
          <w:szCs w:val="20"/>
        </w:rPr>
        <w:t xml:space="preserve"> policy to resolve the identified discrepancies.</w:t>
      </w:r>
    </w:p>
    <w:p w14:paraId="273D5ACC" w14:textId="77777777" w:rsidR="004E2B93" w:rsidRDefault="004E2B93" w:rsidP="00D12C51">
      <w:pPr>
        <w:pStyle w:val="Heading4"/>
      </w:pPr>
      <w:r>
        <w:t>New Hires Report</w:t>
      </w:r>
    </w:p>
    <w:p w14:paraId="5D96850F" w14:textId="77777777" w:rsidR="00DA2C29" w:rsidRPr="00B446FD" w:rsidRDefault="00DA2C29" w:rsidP="00DA2C29">
      <w:pPr>
        <w:pBdr>
          <w:top w:val="single" w:sz="4" w:space="1" w:color="auto"/>
          <w:left w:val="single" w:sz="4" w:space="4" w:color="auto"/>
          <w:bottom w:val="single" w:sz="4" w:space="1" w:color="auto"/>
          <w:right w:val="single" w:sz="4" w:space="4" w:color="auto"/>
        </w:pBdr>
      </w:pPr>
      <w:bookmarkStart w:id="1300" w:name="_Hlk172540852"/>
      <w:r w:rsidRPr="002D5714">
        <w:rPr>
          <w:b/>
          <w:bCs/>
          <w:i/>
          <w:iCs/>
        </w:rPr>
        <w:t xml:space="preserve">Note: the following section is only applicable upon implementation of the HOTMA Final Rule (Sections 102 and 104). </w:t>
      </w:r>
      <w:bookmarkEnd w:id="1300"/>
    </w:p>
    <w:p w14:paraId="77D11C4C" w14:textId="77777777" w:rsidR="004E2B93" w:rsidRPr="004E2B93" w:rsidRDefault="00576991" w:rsidP="004E2B93">
      <w:pPr>
        <w:spacing w:after="120"/>
        <w:rPr>
          <w:rFonts w:cs="Arial"/>
          <w:szCs w:val="20"/>
        </w:rPr>
      </w:pPr>
      <w:r>
        <w:rPr>
          <w:rFonts w:cs="Arial"/>
          <w:szCs w:val="20"/>
        </w:rPr>
        <w:t>HHA will review the EIV New Hires Report at each family’s regular recertification</w:t>
      </w:r>
      <w:r w:rsidR="00D12C51">
        <w:rPr>
          <w:rFonts w:cs="Arial"/>
          <w:szCs w:val="20"/>
        </w:rPr>
        <w:t>.</w:t>
      </w:r>
    </w:p>
    <w:p w14:paraId="2C3787CC" w14:textId="77777777" w:rsidR="00342DCB" w:rsidRPr="00765546" w:rsidRDefault="00342DCB" w:rsidP="00342DCB">
      <w:pPr>
        <w:pStyle w:val="Heading4"/>
      </w:pPr>
      <w:r w:rsidRPr="00765546">
        <w:t>New Admission</w:t>
      </w:r>
      <w:r>
        <w:t>s</w:t>
      </w:r>
    </w:p>
    <w:p w14:paraId="69615E12" w14:textId="77777777" w:rsidR="00342DCB" w:rsidRDefault="00342DCB" w:rsidP="00342DCB">
      <w:pPr>
        <w:autoSpaceDE w:val="0"/>
        <w:autoSpaceDN w:val="0"/>
        <w:adjustRightInd w:val="0"/>
        <w:rPr>
          <w:rFonts w:cs="Times New Roman"/>
          <w:szCs w:val="24"/>
        </w:rPr>
      </w:pPr>
      <w:r w:rsidRPr="00765546">
        <w:rPr>
          <w:rFonts w:cs="Times New Roman"/>
          <w:szCs w:val="24"/>
        </w:rPr>
        <w:t xml:space="preserve">For each new admission, </w:t>
      </w:r>
      <w:r>
        <w:rPr>
          <w:rFonts w:cs="Times New Roman"/>
          <w:szCs w:val="24"/>
        </w:rPr>
        <w:t>HHA</w:t>
      </w:r>
      <w:r w:rsidRPr="00765546">
        <w:rPr>
          <w:rFonts w:cs="Times New Roman"/>
          <w:szCs w:val="24"/>
        </w:rPr>
        <w:t xml:space="preserve"> will review the EIV Income and IVT Reports within 120 days from the first </w:t>
      </w:r>
      <w:r>
        <w:rPr>
          <w:rFonts w:cs="Times New Roman"/>
          <w:szCs w:val="24"/>
        </w:rPr>
        <w:t>IMS/</w:t>
      </w:r>
      <w:r w:rsidRPr="00765546">
        <w:rPr>
          <w:rFonts w:cs="Times New Roman"/>
          <w:szCs w:val="24"/>
        </w:rPr>
        <w:t>PIC</w:t>
      </w:r>
      <w:r>
        <w:rPr>
          <w:rFonts w:cs="Times New Roman"/>
          <w:szCs w:val="24"/>
        </w:rPr>
        <w:t>/HIP</w:t>
      </w:r>
      <w:r w:rsidRPr="00765546">
        <w:rPr>
          <w:rFonts w:cs="Times New Roman"/>
          <w:szCs w:val="24"/>
        </w:rPr>
        <w:t xml:space="preserve"> submission date to ensure that families, at the time of admission, accurately reported income. </w:t>
      </w:r>
      <w:r>
        <w:rPr>
          <w:rFonts w:cs="Times New Roman"/>
          <w:szCs w:val="24"/>
        </w:rPr>
        <w:t>HHA</w:t>
      </w:r>
      <w:r w:rsidRPr="00765546">
        <w:rPr>
          <w:rFonts w:cs="Times New Roman"/>
          <w:szCs w:val="24"/>
        </w:rPr>
        <w:t xml:space="preserve"> will print and retain the reports and will take action to address any income discrepancies within 60 days from running the EIV </w:t>
      </w:r>
      <w:r w:rsidR="00901FAE">
        <w:rPr>
          <w:rFonts w:cs="Times New Roman"/>
          <w:szCs w:val="24"/>
        </w:rPr>
        <w:t>I</w:t>
      </w:r>
      <w:r w:rsidRPr="00765546">
        <w:rPr>
          <w:rFonts w:cs="Times New Roman"/>
          <w:szCs w:val="24"/>
        </w:rPr>
        <w:t xml:space="preserve">ncome </w:t>
      </w:r>
      <w:r w:rsidR="00901FAE">
        <w:rPr>
          <w:rFonts w:cs="Times New Roman"/>
          <w:szCs w:val="24"/>
        </w:rPr>
        <w:t>R</w:t>
      </w:r>
      <w:r w:rsidRPr="00765546">
        <w:rPr>
          <w:rFonts w:cs="Times New Roman"/>
          <w:szCs w:val="24"/>
        </w:rPr>
        <w:t>eport.</w:t>
      </w:r>
    </w:p>
    <w:p w14:paraId="5762C4E2" w14:textId="77777777" w:rsidR="000F5698" w:rsidRDefault="00235E41" w:rsidP="00235E41">
      <w:pPr>
        <w:pStyle w:val="Heading4"/>
      </w:pPr>
      <w:r w:rsidRPr="009C6952">
        <w:t>No Income Reported by HHS or SSA Report</w:t>
      </w:r>
    </w:p>
    <w:p w14:paraId="4D655BD9" w14:textId="77777777" w:rsidR="00DA2C29" w:rsidRPr="00B446FD" w:rsidRDefault="00DA2C29" w:rsidP="00DA2C29">
      <w:pPr>
        <w:pBdr>
          <w:top w:val="single" w:sz="4" w:space="1" w:color="auto"/>
          <w:left w:val="single" w:sz="4" w:space="4" w:color="auto"/>
          <w:bottom w:val="single" w:sz="4" w:space="1" w:color="auto"/>
          <w:right w:val="single" w:sz="4" w:space="4" w:color="auto"/>
        </w:pBdr>
      </w:pPr>
      <w:r w:rsidRPr="002D5714">
        <w:rPr>
          <w:b/>
          <w:bCs/>
          <w:i/>
          <w:iCs/>
        </w:rPr>
        <w:t xml:space="preserve">Note: the following section is only applicable upon implementation of the HOTMA Final Rule (Sections 102 and 104). </w:t>
      </w:r>
    </w:p>
    <w:p w14:paraId="032804F8" w14:textId="77777777" w:rsidR="00235E41" w:rsidRDefault="00235E41" w:rsidP="00235E41">
      <w:r>
        <w:t xml:space="preserve">HHA will generate the No Income Reported by HHS or SSA Report at least quarterly and will retain the report. </w:t>
      </w:r>
    </w:p>
    <w:p w14:paraId="31536307" w14:textId="77777777" w:rsidR="00235E41" w:rsidRDefault="00235E41" w:rsidP="00235E41">
      <w:r>
        <w:t>HHA will re-verify the status of participants identif</w:t>
      </w:r>
      <w:r w:rsidR="008275F0">
        <w:t>i</w:t>
      </w:r>
      <w:r>
        <w:t>ed on the report quar</w:t>
      </w:r>
      <w:r w:rsidR="008275F0">
        <w:t>t</w:t>
      </w:r>
      <w:r>
        <w:t>e</w:t>
      </w:r>
      <w:r w:rsidR="008275F0">
        <w:t>r</w:t>
      </w:r>
      <w:r>
        <w:t>ly. Base</w:t>
      </w:r>
      <w:r w:rsidR="008275F0">
        <w:t xml:space="preserve">d on the information provided by the family and  in EIV, HHA may require that family members provide verifications or sign release forms in order to obtain additional verification. </w:t>
      </w:r>
    </w:p>
    <w:p w14:paraId="670AE194" w14:textId="77777777" w:rsidR="00042846" w:rsidRPr="00235E41" w:rsidRDefault="00042846" w:rsidP="00235E41">
      <w:r>
        <w:t xml:space="preserve">When HHA determines through this report and third-party verification that a family has concealed or under-reported income, corrective action will be taken pursuant to the policies in the </w:t>
      </w:r>
      <w:r w:rsidR="005C40B2" w:rsidRPr="00F4424D">
        <w:rPr>
          <w:b/>
          <w:bCs/>
          <w:color w:val="0070C0"/>
        </w:rPr>
        <w:fldChar w:fldCharType="begin"/>
      </w:r>
      <w:r w:rsidR="005C40B2" w:rsidRPr="00F4424D">
        <w:rPr>
          <w:b/>
          <w:bCs/>
          <w:color w:val="0070C0"/>
        </w:rPr>
        <w:instrText xml:space="preserve"> REF _Ref158899204 \h  \* MERGEFORMAT </w:instrText>
      </w:r>
      <w:r w:rsidR="005C40B2" w:rsidRPr="00F4424D">
        <w:rPr>
          <w:b/>
          <w:bCs/>
          <w:color w:val="0070C0"/>
        </w:rPr>
      </w:r>
      <w:r w:rsidR="005C40B2" w:rsidRPr="00F4424D">
        <w:rPr>
          <w:b/>
          <w:bCs/>
          <w:color w:val="0070C0"/>
        </w:rPr>
        <w:fldChar w:fldCharType="separate"/>
      </w:r>
      <w:r w:rsidR="005C40B2" w:rsidRPr="00F4424D">
        <w:rPr>
          <w:b/>
          <w:bCs/>
          <w:color w:val="0070C0"/>
        </w:rPr>
        <w:t>PROGRAM INTEGRITY</w:t>
      </w:r>
      <w:r w:rsidR="005C40B2" w:rsidRPr="00F4424D">
        <w:rPr>
          <w:b/>
          <w:bCs/>
          <w:color w:val="0070C0"/>
        </w:rPr>
        <w:fldChar w:fldCharType="end"/>
      </w:r>
      <w:r w:rsidR="005C40B2" w:rsidRPr="00F4424D">
        <w:t xml:space="preserve"> </w:t>
      </w:r>
      <w:r w:rsidRPr="00F4424D">
        <w:t>chapter.</w:t>
      </w:r>
    </w:p>
    <w:p w14:paraId="277CDA09" w14:textId="77777777" w:rsidR="00342DCB" w:rsidRPr="00765546" w:rsidRDefault="00342DCB" w:rsidP="00342DCB">
      <w:pPr>
        <w:pStyle w:val="Heading4"/>
      </w:pPr>
      <w:bookmarkStart w:id="1301" w:name="_Toc516735440"/>
      <w:bookmarkStart w:id="1302" w:name="_Toc527019438"/>
      <w:bookmarkStart w:id="1303" w:name="_Toc534706974"/>
      <w:bookmarkStart w:id="1304" w:name="_Toc534707652"/>
      <w:bookmarkStart w:id="1305" w:name="_Toc534708460"/>
      <w:bookmarkStart w:id="1306" w:name="_Toc118116044"/>
      <w:r w:rsidRPr="00765546">
        <w:t>EIV Identity Verification</w:t>
      </w:r>
      <w:bookmarkEnd w:id="1301"/>
      <w:bookmarkEnd w:id="1302"/>
      <w:bookmarkEnd w:id="1303"/>
      <w:bookmarkEnd w:id="1304"/>
      <w:bookmarkEnd w:id="1305"/>
      <w:bookmarkEnd w:id="1306"/>
      <w:r w:rsidRPr="00765546">
        <w:t xml:space="preserve"> </w:t>
      </w:r>
    </w:p>
    <w:p w14:paraId="7BC55AFD" w14:textId="77777777" w:rsidR="00342DCB" w:rsidRDefault="00342DCB" w:rsidP="00342DCB">
      <w:pPr>
        <w:autoSpaceDE w:val="0"/>
        <w:autoSpaceDN w:val="0"/>
        <w:adjustRightInd w:val="0"/>
        <w:rPr>
          <w:rFonts w:cs="Arial"/>
          <w:szCs w:val="20"/>
        </w:rPr>
      </w:pPr>
      <w:r w:rsidRPr="00765546">
        <w:rPr>
          <w:rFonts w:cs="Arial"/>
          <w:szCs w:val="20"/>
        </w:rPr>
        <w:t xml:space="preserve">The EIV system verifies resident identities against Social Security Administration (SSA) records. These records are compared to </w:t>
      </w:r>
      <w:r w:rsidR="007601FB">
        <w:rPr>
          <w:rFonts w:cs="Arial"/>
          <w:szCs w:val="20"/>
        </w:rPr>
        <w:t>HUD</w:t>
      </w:r>
      <w:r w:rsidRPr="00765546">
        <w:rPr>
          <w:rFonts w:cs="Arial"/>
          <w:szCs w:val="20"/>
        </w:rPr>
        <w:t xml:space="preserve"> data for a match on Social Security number, name, and date of birth. When identity verification for a resident fails, a message will be displayed within the EIV system and no income information will be displayed.</w:t>
      </w:r>
    </w:p>
    <w:p w14:paraId="5D40A64D" w14:textId="77777777" w:rsidR="000350BE" w:rsidRPr="00765546" w:rsidRDefault="000350BE" w:rsidP="00342DCB">
      <w:pPr>
        <w:autoSpaceDE w:val="0"/>
        <w:autoSpaceDN w:val="0"/>
        <w:adjustRightInd w:val="0"/>
        <w:rPr>
          <w:rFonts w:cs="Arial"/>
          <w:szCs w:val="20"/>
        </w:rPr>
      </w:pPr>
      <w:r>
        <w:rPr>
          <w:rFonts w:cs="Arial"/>
          <w:szCs w:val="20"/>
        </w:rPr>
        <w:t xml:space="preserve">HHA will </w:t>
      </w:r>
      <w:r w:rsidR="004364FB">
        <w:rPr>
          <w:rFonts w:cs="Arial"/>
          <w:szCs w:val="20"/>
        </w:rPr>
        <w:t>generate, review, and retain the report at least monthly.</w:t>
      </w:r>
    </w:p>
    <w:p w14:paraId="1438C4B2" w14:textId="77777777" w:rsidR="009E471E" w:rsidRDefault="00342DCB" w:rsidP="009E471E">
      <w:pPr>
        <w:autoSpaceDE w:val="0"/>
        <w:autoSpaceDN w:val="0"/>
        <w:adjustRightInd w:val="0"/>
        <w:rPr>
          <w:rFonts w:cs="Arial"/>
          <w:szCs w:val="20"/>
        </w:rPr>
      </w:pPr>
      <w:r>
        <w:rPr>
          <w:rFonts w:cs="Arial"/>
          <w:szCs w:val="20"/>
        </w:rPr>
        <w:t>HHA</w:t>
      </w:r>
      <w:r w:rsidRPr="00765546">
        <w:rPr>
          <w:rFonts w:cs="Arial"/>
          <w:szCs w:val="20"/>
        </w:rPr>
        <w:t xml:space="preserve"> will identify residents whose identity verification has failed. </w:t>
      </w:r>
      <w:bookmarkStart w:id="1307" w:name="_Toc516735441"/>
      <w:bookmarkStart w:id="1308" w:name="_Toc527019439"/>
      <w:bookmarkStart w:id="1309" w:name="_Toc534706975"/>
      <w:bookmarkStart w:id="1310" w:name="_Toc534707653"/>
      <w:bookmarkStart w:id="1311" w:name="_Toc534708461"/>
      <w:bookmarkStart w:id="1312" w:name="_Toc118116045"/>
      <w:bookmarkStart w:id="1313" w:name="_Hlk147416413"/>
      <w:r w:rsidR="009E471E">
        <w:rPr>
          <w:rFonts w:cs="Arial"/>
          <w:szCs w:val="20"/>
        </w:rPr>
        <w:t>H</w:t>
      </w:r>
      <w:r w:rsidR="009E471E" w:rsidRPr="009E471E">
        <w:rPr>
          <w:rFonts w:cs="Arial"/>
          <w:szCs w:val="20"/>
        </w:rPr>
        <w:t xml:space="preserve">HA will attempt to resolve discrepancies by obtaining appropriate documentation from the </w:t>
      </w:r>
      <w:r w:rsidR="00672B83">
        <w:rPr>
          <w:rFonts w:cs="Arial"/>
          <w:szCs w:val="20"/>
        </w:rPr>
        <w:t>family</w:t>
      </w:r>
      <w:r w:rsidR="009E471E" w:rsidRPr="009E471E">
        <w:rPr>
          <w:rFonts w:cs="Arial"/>
          <w:szCs w:val="20"/>
        </w:rPr>
        <w:t xml:space="preserve">. When </w:t>
      </w:r>
      <w:r w:rsidR="00672B83">
        <w:rPr>
          <w:rFonts w:cs="Arial"/>
          <w:szCs w:val="20"/>
        </w:rPr>
        <w:t>HHA</w:t>
      </w:r>
      <w:r w:rsidR="009E471E" w:rsidRPr="009E471E">
        <w:rPr>
          <w:rFonts w:cs="Arial"/>
          <w:szCs w:val="20"/>
        </w:rPr>
        <w:t xml:space="preserve"> determines that discrepancies exist as a result of </w:t>
      </w:r>
      <w:r w:rsidR="00672B83">
        <w:rPr>
          <w:rFonts w:cs="Arial"/>
          <w:szCs w:val="20"/>
        </w:rPr>
        <w:t>H</w:t>
      </w:r>
      <w:r w:rsidR="009E471E" w:rsidRPr="009E471E">
        <w:rPr>
          <w:rFonts w:cs="Arial"/>
          <w:szCs w:val="20"/>
        </w:rPr>
        <w:t>HA errors</w:t>
      </w:r>
      <w:r w:rsidR="00672B83">
        <w:rPr>
          <w:rFonts w:cs="Arial"/>
          <w:szCs w:val="20"/>
        </w:rPr>
        <w:t>,</w:t>
      </w:r>
      <w:r w:rsidR="009E471E" w:rsidRPr="009E471E">
        <w:rPr>
          <w:rFonts w:cs="Arial"/>
          <w:szCs w:val="20"/>
        </w:rPr>
        <w:t xml:space="preserve"> such as spelling errors or incorrect birth dates, it will correct the errors promptly.</w:t>
      </w:r>
    </w:p>
    <w:p w14:paraId="60DEA9A4" w14:textId="77777777" w:rsidR="00CE6EB5" w:rsidRDefault="00CE6EB5" w:rsidP="001D343A">
      <w:pPr>
        <w:pStyle w:val="Heading4"/>
      </w:pPr>
      <w:r>
        <w:t>Deceased Tenants Report</w:t>
      </w:r>
    </w:p>
    <w:p w14:paraId="591EF5A2" w14:textId="77777777" w:rsidR="00686144" w:rsidRDefault="004856EB" w:rsidP="009B4134">
      <w:pPr>
        <w:rPr>
          <w:rFonts w:cs="Arial"/>
        </w:rPr>
      </w:pPr>
      <w:r>
        <w:rPr>
          <w:rFonts w:cs="Arial"/>
          <w:szCs w:val="20"/>
        </w:rPr>
        <w:t>HHA will review the Deceased Tenants Report on a monthly basis</w:t>
      </w:r>
      <w:r w:rsidR="00D927CB">
        <w:rPr>
          <w:rFonts w:cs="Arial"/>
          <w:szCs w:val="20"/>
        </w:rPr>
        <w:t xml:space="preserve">, </w:t>
      </w:r>
      <w:r w:rsidR="00FA5720">
        <w:rPr>
          <w:rFonts w:cs="Arial"/>
          <w:szCs w:val="20"/>
        </w:rPr>
        <w:t>confirm the death of any household member,</w:t>
      </w:r>
      <w:r w:rsidR="00B619F7">
        <w:rPr>
          <w:rFonts w:cs="Arial"/>
          <w:szCs w:val="20"/>
        </w:rPr>
        <w:t xml:space="preserve"> and timely remove </w:t>
      </w:r>
      <w:r w:rsidR="00FA5720">
        <w:rPr>
          <w:rFonts w:cs="Arial"/>
          <w:szCs w:val="20"/>
        </w:rPr>
        <w:t xml:space="preserve">any </w:t>
      </w:r>
      <w:r w:rsidR="00B619F7">
        <w:rPr>
          <w:rFonts w:cs="Arial"/>
          <w:szCs w:val="20"/>
        </w:rPr>
        <w:t xml:space="preserve">deceased </w:t>
      </w:r>
      <w:r w:rsidR="009B4A7F">
        <w:rPr>
          <w:rFonts w:cs="Arial"/>
          <w:szCs w:val="20"/>
        </w:rPr>
        <w:t>household member.</w:t>
      </w:r>
      <w:r w:rsidR="00686144">
        <w:rPr>
          <w:rFonts w:cs="Arial"/>
          <w:szCs w:val="20"/>
        </w:rPr>
        <w:t xml:space="preserve"> </w:t>
      </w:r>
      <w:r w:rsidR="009B4A7F">
        <w:rPr>
          <w:rFonts w:cs="Arial"/>
          <w:szCs w:val="20"/>
        </w:rPr>
        <w:t xml:space="preserve">If the deceased person is a sole-member household, </w:t>
      </w:r>
      <w:r w:rsidR="00686144">
        <w:rPr>
          <w:rFonts w:cs="Arial"/>
          <w:szCs w:val="20"/>
        </w:rPr>
        <w:t xml:space="preserve">HHA will </w:t>
      </w:r>
      <w:r w:rsidR="00686144">
        <w:rPr>
          <w:rFonts w:cs="Arial"/>
        </w:rPr>
        <w:t>complete an End of Participation</w:t>
      </w:r>
      <w:r w:rsidR="0093013E">
        <w:rPr>
          <w:rFonts w:cs="Arial"/>
        </w:rPr>
        <w:t xml:space="preserve"> (EOP)</w:t>
      </w:r>
      <w:r w:rsidR="00686144">
        <w:rPr>
          <w:rFonts w:cs="Arial"/>
        </w:rPr>
        <w:t xml:space="preserve"> action 50058, effective the first of the following:</w:t>
      </w:r>
    </w:p>
    <w:p w14:paraId="13C227C3" w14:textId="77777777" w:rsidR="00686144" w:rsidRPr="009B4A7F" w:rsidRDefault="00686144" w:rsidP="007F177E">
      <w:pPr>
        <w:pStyle w:val="ListParagraph"/>
        <w:numPr>
          <w:ilvl w:val="0"/>
          <w:numId w:val="246"/>
        </w:numPr>
        <w:contextualSpacing w:val="0"/>
        <w:jc w:val="left"/>
        <w:rPr>
          <w:rFonts w:cs="Arial"/>
        </w:rPr>
      </w:pPr>
      <w:r w:rsidRPr="009B4A7F">
        <w:rPr>
          <w:rFonts w:cs="Arial"/>
        </w:rPr>
        <w:t xml:space="preserve">The date the family or designee of the deceased resident’s estate returned the keys and signed a vacate notice; or </w:t>
      </w:r>
    </w:p>
    <w:p w14:paraId="1A7C2A80" w14:textId="77777777" w:rsidR="00686144" w:rsidRPr="009B4A7F" w:rsidRDefault="00686144" w:rsidP="007F177E">
      <w:pPr>
        <w:pStyle w:val="ListParagraph"/>
        <w:numPr>
          <w:ilvl w:val="0"/>
          <w:numId w:val="246"/>
        </w:numPr>
        <w:contextualSpacing w:val="0"/>
        <w:jc w:val="left"/>
        <w:rPr>
          <w:rFonts w:cs="Arial"/>
        </w:rPr>
      </w:pPr>
      <w:r w:rsidRPr="009B4A7F">
        <w:rPr>
          <w:rFonts w:cs="Arial"/>
        </w:rPr>
        <w:t xml:space="preserve">The date the public housing lease was terminated; or </w:t>
      </w:r>
    </w:p>
    <w:p w14:paraId="28772EFE" w14:textId="77777777" w:rsidR="00686144" w:rsidRPr="009B4A7F" w:rsidRDefault="00686144" w:rsidP="007F177E">
      <w:pPr>
        <w:pStyle w:val="ListParagraph"/>
        <w:numPr>
          <w:ilvl w:val="0"/>
          <w:numId w:val="246"/>
        </w:numPr>
        <w:contextualSpacing w:val="0"/>
        <w:jc w:val="left"/>
        <w:rPr>
          <w:rFonts w:cs="Arial"/>
        </w:rPr>
      </w:pPr>
      <w:r w:rsidRPr="009B4A7F">
        <w:rPr>
          <w:rFonts w:cs="Arial"/>
        </w:rPr>
        <w:t xml:space="preserve">The date </w:t>
      </w:r>
      <w:r w:rsidR="009B4A7F">
        <w:rPr>
          <w:rFonts w:cs="Arial"/>
        </w:rPr>
        <w:t>H</w:t>
      </w:r>
      <w:r w:rsidRPr="009B4A7F">
        <w:rPr>
          <w:rFonts w:cs="Arial"/>
        </w:rPr>
        <w:t>HA legally regained possession of the unit.</w:t>
      </w:r>
    </w:p>
    <w:p w14:paraId="7F528C7A" w14:textId="77777777" w:rsidR="001D343A" w:rsidRDefault="001D343A" w:rsidP="001D343A">
      <w:pPr>
        <w:tabs>
          <w:tab w:val="left" w:pos="-720"/>
          <w:tab w:val="left" w:pos="0"/>
        </w:tabs>
      </w:pPr>
      <w:r w:rsidRPr="009C6952">
        <w:t xml:space="preserve">When the only remaining household member is the live-in aide, the live-in aide is not entitled or eligible for continued occupancy. </w:t>
      </w:r>
      <w:r>
        <w:t>H</w:t>
      </w:r>
      <w:r w:rsidRPr="009C6952">
        <w:t xml:space="preserve">HA may not designate the live-in aide as the new head of household or change the relation code on the </w:t>
      </w:r>
      <w:r w:rsidR="00322BFF">
        <w:t>f</w:t>
      </w:r>
      <w:r w:rsidRPr="009C6952">
        <w:t>orm HUD</w:t>
      </w:r>
      <w:r>
        <w:t>-</w:t>
      </w:r>
      <w:r w:rsidRPr="009C6952">
        <w:t>50058.</w:t>
      </w:r>
    </w:p>
    <w:p w14:paraId="1CE42C18" w14:textId="77777777" w:rsidR="00A9392B" w:rsidRDefault="00A9392B" w:rsidP="00202E45">
      <w:pPr>
        <w:pStyle w:val="Heading4"/>
      </w:pPr>
      <w:r>
        <w:t>Other EIV Reports</w:t>
      </w:r>
    </w:p>
    <w:p w14:paraId="787C4D49" w14:textId="77777777" w:rsidR="00A9392B" w:rsidRPr="009C6952" w:rsidRDefault="00F94F47" w:rsidP="001D343A">
      <w:pPr>
        <w:tabs>
          <w:tab w:val="left" w:pos="-720"/>
          <w:tab w:val="left" w:pos="0"/>
        </w:tabs>
      </w:pPr>
      <w:r>
        <w:t>HHA will review other EIV reports</w:t>
      </w:r>
      <w:r w:rsidR="00202E45">
        <w:t>,</w:t>
      </w:r>
      <w:r>
        <w:t xml:space="preserve"> such as the Multiple Subsidy Report</w:t>
      </w:r>
      <w:r w:rsidR="00202E45">
        <w:t xml:space="preserve"> and Failed EIV Pre-Screening and Failed Verification reports as required per Notice PIH 2023-27 or subsequent guidance.</w:t>
      </w:r>
    </w:p>
    <w:p w14:paraId="53ADEF0A" w14:textId="77777777" w:rsidR="00342DCB" w:rsidRPr="00765546" w:rsidRDefault="00342DCB" w:rsidP="00677451">
      <w:pPr>
        <w:pStyle w:val="Heading3"/>
      </w:pPr>
      <w:bookmarkStart w:id="1314" w:name="_Toc200375638"/>
      <w:r w:rsidRPr="00765546">
        <w:t>Upfront Income Verification (UIV)</w:t>
      </w:r>
      <w:bookmarkEnd w:id="1307"/>
      <w:bookmarkEnd w:id="1308"/>
      <w:bookmarkEnd w:id="1309"/>
      <w:bookmarkEnd w:id="1310"/>
      <w:bookmarkEnd w:id="1311"/>
      <w:bookmarkEnd w:id="1312"/>
      <w:bookmarkEnd w:id="1314"/>
    </w:p>
    <w:p w14:paraId="52B846D9" w14:textId="77777777" w:rsidR="00342DCB" w:rsidRPr="00765546" w:rsidRDefault="00342DCB" w:rsidP="00342DCB">
      <w:pPr>
        <w:autoSpaceDE w:val="0"/>
        <w:autoSpaceDN w:val="0"/>
        <w:adjustRightInd w:val="0"/>
        <w:rPr>
          <w:rFonts w:cs="Arial"/>
          <w:szCs w:val="20"/>
        </w:rPr>
      </w:pPr>
      <w:r w:rsidRPr="00765546">
        <w:rPr>
          <w:rFonts w:cs="Arial"/>
          <w:szCs w:val="20"/>
        </w:rPr>
        <w:t xml:space="preserve">UIV refers to </w:t>
      </w:r>
      <w:r>
        <w:rPr>
          <w:rFonts w:cs="Arial"/>
          <w:szCs w:val="20"/>
        </w:rPr>
        <w:t>HHA</w:t>
      </w:r>
      <w:r w:rsidRPr="00765546">
        <w:rPr>
          <w:rFonts w:cs="Arial"/>
          <w:szCs w:val="20"/>
        </w:rPr>
        <w:t xml:space="preserve">’s use of the verification tools available from independent sources that maintain computerized information about earnings and benefits. UIV will be used to the extent that these systems are available to </w:t>
      </w:r>
      <w:r>
        <w:rPr>
          <w:rFonts w:cs="Arial"/>
          <w:szCs w:val="20"/>
        </w:rPr>
        <w:t>HHA</w:t>
      </w:r>
      <w:r w:rsidRPr="00765546">
        <w:rPr>
          <w:rFonts w:cs="Arial"/>
          <w:szCs w:val="20"/>
        </w:rPr>
        <w:t>.</w:t>
      </w:r>
    </w:p>
    <w:p w14:paraId="0282C21C" w14:textId="77777777" w:rsidR="00342DCB" w:rsidRPr="00765546" w:rsidRDefault="00342DCB" w:rsidP="00677451">
      <w:pPr>
        <w:pStyle w:val="Heading3"/>
      </w:pPr>
      <w:bookmarkStart w:id="1315" w:name="_Toc516735442"/>
      <w:bookmarkStart w:id="1316" w:name="_Toc527019440"/>
      <w:bookmarkStart w:id="1317" w:name="_Toc534706976"/>
      <w:bookmarkStart w:id="1318" w:name="_Toc534707654"/>
      <w:bookmarkStart w:id="1319" w:name="_Toc534708462"/>
      <w:bookmarkStart w:id="1320" w:name="_Toc118116046"/>
      <w:bookmarkStart w:id="1321" w:name="_Toc200375639"/>
      <w:r w:rsidRPr="00765546">
        <w:t>Written</w:t>
      </w:r>
      <w:r w:rsidR="00AC27DF">
        <w:t xml:space="preserve"> or Oral</w:t>
      </w:r>
      <w:r w:rsidR="00763393">
        <w:t xml:space="preserve"> </w:t>
      </w:r>
      <w:r w:rsidR="00EB24F5">
        <w:t xml:space="preserve">Third-Party </w:t>
      </w:r>
      <w:r w:rsidRPr="00765546">
        <w:t>Verification</w:t>
      </w:r>
      <w:bookmarkEnd w:id="1315"/>
      <w:bookmarkEnd w:id="1316"/>
      <w:bookmarkEnd w:id="1317"/>
      <w:bookmarkEnd w:id="1318"/>
      <w:bookmarkEnd w:id="1319"/>
      <w:bookmarkEnd w:id="1320"/>
      <w:bookmarkEnd w:id="1321"/>
    </w:p>
    <w:p w14:paraId="6D5D6664" w14:textId="77777777" w:rsidR="00C17274" w:rsidRDefault="00C17274" w:rsidP="00C17274">
      <w:pPr>
        <w:pStyle w:val="Heading4"/>
      </w:pPr>
      <w:r>
        <w:t>Written-Third Party Verification</w:t>
      </w:r>
    </w:p>
    <w:p w14:paraId="332DE957" w14:textId="77777777" w:rsidR="00D57784" w:rsidRPr="00D57784" w:rsidRDefault="00D57784" w:rsidP="00D57784">
      <w:pPr>
        <w:autoSpaceDE w:val="0"/>
        <w:autoSpaceDN w:val="0"/>
        <w:adjustRightInd w:val="0"/>
        <w:rPr>
          <w:rFonts w:cs="Arial"/>
          <w:szCs w:val="20"/>
        </w:rPr>
      </w:pPr>
      <w:r w:rsidRPr="00D57784">
        <w:rPr>
          <w:rFonts w:cs="Arial"/>
          <w:szCs w:val="20"/>
        </w:rPr>
        <w:t>Written third-party verification</w:t>
      </w:r>
      <w:r>
        <w:rPr>
          <w:rFonts w:cs="Arial"/>
          <w:szCs w:val="20"/>
        </w:rPr>
        <w:t xml:space="preserve"> is</w:t>
      </w:r>
      <w:r w:rsidRPr="00D57784">
        <w:rPr>
          <w:rFonts w:cs="Arial"/>
          <w:szCs w:val="20"/>
        </w:rPr>
        <w:t xml:space="preserve"> a</w:t>
      </w:r>
      <w:r w:rsidRPr="00D57784">
        <w:rPr>
          <w:rFonts w:cs="Arial"/>
          <w:bCs/>
          <w:szCs w:val="20"/>
        </w:rPr>
        <w:t>n original or authentic document generated by a third-party source</w:t>
      </w:r>
      <w:r w:rsidRPr="00D57784">
        <w:rPr>
          <w:rFonts w:cs="Arial"/>
          <w:szCs w:val="20"/>
        </w:rPr>
        <w:t>.</w:t>
      </w:r>
      <w:r w:rsidRPr="00D57784">
        <w:rPr>
          <w:rFonts w:cs="Arial"/>
          <w:color w:val="C00000"/>
          <w:szCs w:val="20"/>
        </w:rPr>
        <w:t xml:space="preserve"> </w:t>
      </w:r>
      <w:r w:rsidRPr="00D57784">
        <w:rPr>
          <w:rFonts w:cs="Arial"/>
          <w:bCs/>
          <w:szCs w:val="20"/>
        </w:rPr>
        <w:t xml:space="preserve">Such documentation may be in the possession of the resident or the applicant. HHA may, at its discretion, reject any family-provided documents and follow up directly with the source to obtain necessary verification of information. </w:t>
      </w:r>
    </w:p>
    <w:p w14:paraId="035D8574" w14:textId="77777777" w:rsidR="00D57784" w:rsidRDefault="00D57784" w:rsidP="00D57784">
      <w:pPr>
        <w:autoSpaceDE w:val="0"/>
        <w:autoSpaceDN w:val="0"/>
        <w:adjustRightInd w:val="0"/>
        <w:rPr>
          <w:bCs/>
          <w:iCs/>
        </w:rPr>
      </w:pPr>
      <w:r w:rsidRPr="00D57784">
        <w:rPr>
          <w:rFonts w:cs="Arial"/>
          <w:szCs w:val="20"/>
        </w:rPr>
        <w:t>Examples of acceptable family-provided documents include, but are not limited to: pay stubs, payroll summary reports, employer notice or letters of hire and termination, SSA benefit verification letters, bank statements, child support payment stubs, welfare benefit letters and/or printouts, and unemployment monetary benefit notices.</w:t>
      </w:r>
      <w:r w:rsidR="008B2A1A">
        <w:rPr>
          <w:rFonts w:cs="Arial"/>
          <w:szCs w:val="20"/>
        </w:rPr>
        <w:t xml:space="preserve"> </w:t>
      </w:r>
      <w:r w:rsidR="008B2A1A" w:rsidRPr="00493139">
        <w:rPr>
          <w:bCs/>
          <w:iCs/>
        </w:rPr>
        <w:t>Income tax returns with corresponding official tax forms and schedules attached and including third-party receipt of transmission for income tax return filed (i.e., tax preparer’s transmittal receipt, summary of transmittal from online source) are an acceptable form of written, third-party verification.</w:t>
      </w:r>
    </w:p>
    <w:p w14:paraId="35D55443" w14:textId="77777777" w:rsidR="00443198" w:rsidRPr="00493139" w:rsidRDefault="00443198" w:rsidP="00443198">
      <w:pPr>
        <w:rPr>
          <w:bCs/>
          <w:iCs/>
        </w:rPr>
      </w:pPr>
      <w:r>
        <w:rPr>
          <w:bCs/>
          <w:iCs/>
        </w:rPr>
        <w:t xml:space="preserve">HHA </w:t>
      </w:r>
      <w:r w:rsidRPr="00493139">
        <w:rPr>
          <w:bCs/>
          <w:iCs/>
        </w:rPr>
        <w:t xml:space="preserve">will not use this method if </w:t>
      </w:r>
      <w:r>
        <w:rPr>
          <w:bCs/>
          <w:iCs/>
        </w:rPr>
        <w:t>it</w:t>
      </w:r>
      <w:r w:rsidRPr="00493139">
        <w:rPr>
          <w:bCs/>
          <w:iCs/>
        </w:rPr>
        <w:t xml:space="preserve"> is able to use an income determination from a means-tested federal assistance program.</w:t>
      </w:r>
    </w:p>
    <w:p w14:paraId="540E4CC1" w14:textId="77777777" w:rsidR="001004A7" w:rsidRPr="00765546" w:rsidRDefault="001004A7" w:rsidP="001004A7">
      <w:pPr>
        <w:autoSpaceDE w:val="0"/>
        <w:autoSpaceDN w:val="0"/>
        <w:adjustRightInd w:val="0"/>
        <w:rPr>
          <w:rFonts w:cs="Arial"/>
          <w:szCs w:val="20"/>
        </w:rPr>
      </w:pPr>
      <w:r w:rsidRPr="00765546">
        <w:rPr>
          <w:rFonts w:cs="Arial"/>
          <w:szCs w:val="20"/>
        </w:rPr>
        <w:t xml:space="preserve">The following are </w:t>
      </w:r>
      <w:r>
        <w:rPr>
          <w:rFonts w:cs="Arial"/>
          <w:szCs w:val="20"/>
        </w:rPr>
        <w:t>HHA</w:t>
      </w:r>
      <w:r w:rsidRPr="00765546">
        <w:rPr>
          <w:rFonts w:cs="Arial"/>
          <w:szCs w:val="20"/>
        </w:rPr>
        <w:t>’s general verification requirements</w:t>
      </w:r>
      <w:r w:rsidR="001B28E5">
        <w:rPr>
          <w:rFonts w:cs="Arial"/>
          <w:szCs w:val="20"/>
        </w:rPr>
        <w:t xml:space="preserve"> when written third-party verification is used</w:t>
      </w:r>
      <w:r w:rsidRPr="00765546">
        <w:rPr>
          <w:rFonts w:cs="Arial"/>
          <w:szCs w:val="20"/>
        </w:rPr>
        <w:t>:</w:t>
      </w:r>
    </w:p>
    <w:p w14:paraId="43A36DB7" w14:textId="77777777" w:rsidR="00392888" w:rsidRPr="00D26856" w:rsidRDefault="00392888" w:rsidP="00CB52D8">
      <w:pPr>
        <w:pStyle w:val="ListParagraph"/>
        <w:numPr>
          <w:ilvl w:val="0"/>
          <w:numId w:val="57"/>
        </w:numPr>
        <w:autoSpaceDE w:val="0"/>
        <w:autoSpaceDN w:val="0"/>
        <w:adjustRightInd w:val="0"/>
        <w:spacing w:after="120"/>
        <w:contextualSpacing w:val="0"/>
        <w:rPr>
          <w:rFonts w:cs="Arial"/>
          <w:szCs w:val="20"/>
        </w:rPr>
      </w:pPr>
      <w:r w:rsidRPr="001B5213">
        <w:rPr>
          <w:rFonts w:cs="Arial"/>
          <w:szCs w:val="20"/>
        </w:rPr>
        <w:t>Doc</w:t>
      </w:r>
      <w:r>
        <w:rPr>
          <w:rFonts w:cs="Arial"/>
          <w:szCs w:val="20"/>
        </w:rPr>
        <w:t>u</w:t>
      </w:r>
      <w:r w:rsidRPr="001B5213">
        <w:rPr>
          <w:rFonts w:cs="Arial"/>
          <w:szCs w:val="20"/>
        </w:rPr>
        <w:t>mentation must generally</w:t>
      </w:r>
      <w:r>
        <w:rPr>
          <w:rFonts w:cs="Arial"/>
          <w:szCs w:val="20"/>
        </w:rPr>
        <w:t xml:space="preserve"> </w:t>
      </w:r>
      <w:r w:rsidRPr="001B5213">
        <w:rPr>
          <w:rFonts w:cs="Arial"/>
          <w:szCs w:val="20"/>
        </w:rPr>
        <w:t xml:space="preserve">be dated within </w:t>
      </w:r>
      <w:r w:rsidR="003230B6">
        <w:rPr>
          <w:rFonts w:cs="Arial"/>
          <w:szCs w:val="20"/>
        </w:rPr>
        <w:t>180</w:t>
      </w:r>
      <w:r w:rsidRPr="001B5213">
        <w:rPr>
          <w:rFonts w:cs="Arial"/>
          <w:szCs w:val="20"/>
        </w:rPr>
        <w:t xml:space="preserve"> calendar days of the </w:t>
      </w:r>
      <w:r w:rsidR="00037D8E">
        <w:rPr>
          <w:rFonts w:cs="Arial"/>
          <w:szCs w:val="20"/>
        </w:rPr>
        <w:t>date received by HHA</w:t>
      </w:r>
      <w:r w:rsidRPr="001B5213">
        <w:rPr>
          <w:rFonts w:cs="Arial"/>
          <w:szCs w:val="20"/>
        </w:rPr>
        <w:t xml:space="preserve">. </w:t>
      </w:r>
      <w:r w:rsidR="00DC702B">
        <w:rPr>
          <w:rFonts w:cs="Arial"/>
          <w:szCs w:val="20"/>
        </w:rPr>
        <w:t>For fixed income sources, a state</w:t>
      </w:r>
      <w:r w:rsidR="00D26856">
        <w:rPr>
          <w:rFonts w:cs="Arial"/>
          <w:szCs w:val="20"/>
        </w:rPr>
        <w:t xml:space="preserve">ment </w:t>
      </w:r>
      <w:r w:rsidR="00CE608E" w:rsidRPr="00243B57">
        <w:rPr>
          <w:bCs/>
          <w:color w:val="000000"/>
          <w:kern w:val="0"/>
        </w:rPr>
        <w:t xml:space="preserve">valid for the </w:t>
      </w:r>
      <w:r w:rsidR="00CE608E">
        <w:rPr>
          <w:bCs/>
          <w:color w:val="000000"/>
          <w:kern w:val="0"/>
        </w:rPr>
        <w:t>applicable</w:t>
      </w:r>
      <w:r w:rsidR="00CE608E" w:rsidRPr="00243B57">
        <w:rPr>
          <w:bCs/>
          <w:color w:val="000000"/>
          <w:kern w:val="0"/>
        </w:rPr>
        <w:t xml:space="preserve"> calendar year in which the income is effective</w:t>
      </w:r>
      <w:r w:rsidR="00684F82">
        <w:rPr>
          <w:bCs/>
          <w:color w:val="000000"/>
          <w:kern w:val="0"/>
        </w:rPr>
        <w:t xml:space="preserve"> is acceptable documentation.</w:t>
      </w:r>
      <w:r w:rsidR="00D26856">
        <w:rPr>
          <w:rFonts w:cs="Arial"/>
          <w:szCs w:val="20"/>
        </w:rPr>
        <w:t xml:space="preserve"> </w:t>
      </w:r>
      <w:r w:rsidR="00CE608E">
        <w:rPr>
          <w:rFonts w:cs="Arial"/>
          <w:szCs w:val="20"/>
        </w:rPr>
        <w:t>See the</w:t>
      </w:r>
      <w:r w:rsidRPr="00D26856">
        <w:rPr>
          <w:rFonts w:cs="Arial"/>
          <w:szCs w:val="20"/>
        </w:rPr>
        <w:t xml:space="preserve"> MTW Policy on </w:t>
      </w:r>
      <w:hyperlink w:anchor="_Alternative_Verification_Requiremen" w:history="1">
        <w:r w:rsidRPr="001C6FBC">
          <w:rPr>
            <w:rStyle w:val="OurLinksChar"/>
          </w:rPr>
          <w:fldChar w:fldCharType="begin"/>
        </w:r>
        <w:r w:rsidRPr="001C6FBC">
          <w:rPr>
            <w:rStyle w:val="OurLinksChar"/>
          </w:rPr>
          <w:instrText xml:space="preserve"> REF _Ref148097159 \h </w:instrText>
        </w:r>
        <w:r>
          <w:rPr>
            <w:rStyle w:val="OurLinksChar"/>
          </w:rPr>
          <w:instrText xml:space="preserve"> \* MERGEFORMAT </w:instrText>
        </w:r>
        <w:r w:rsidRPr="001C6FBC">
          <w:rPr>
            <w:rStyle w:val="OurLinksChar"/>
          </w:rPr>
        </w:r>
        <w:r w:rsidRPr="001C6FBC">
          <w:rPr>
            <w:rStyle w:val="OurLinksChar"/>
          </w:rPr>
          <w:fldChar w:fldCharType="separate"/>
        </w:r>
        <w:r w:rsidRPr="001C6FBC">
          <w:rPr>
            <w:rStyle w:val="OurLinksChar"/>
          </w:rPr>
          <w:t>Alternative Verification Requirements</w:t>
        </w:r>
        <w:r w:rsidRPr="001C6FBC">
          <w:rPr>
            <w:rStyle w:val="OurLinksChar"/>
          </w:rPr>
          <w:fldChar w:fldCharType="end"/>
        </w:r>
      </w:hyperlink>
      <w:r w:rsidRPr="001C6FBC">
        <w:rPr>
          <w:rStyle w:val="OurLinksChar"/>
        </w:rPr>
        <w:t xml:space="preserve"> </w:t>
      </w:r>
      <w:r w:rsidRPr="00D26856">
        <w:rPr>
          <w:rFonts w:cs="Arial"/>
          <w:szCs w:val="20"/>
        </w:rPr>
        <w:t>for alternative requirements for MTW households.</w:t>
      </w:r>
      <w:r w:rsidR="00CE608E">
        <w:rPr>
          <w:rFonts w:cs="Arial"/>
          <w:szCs w:val="20"/>
        </w:rPr>
        <w:t xml:space="preserve"> </w:t>
      </w:r>
    </w:p>
    <w:p w14:paraId="6FB4EB01" w14:textId="77777777" w:rsidR="001004A7" w:rsidRPr="00765546" w:rsidRDefault="001004A7" w:rsidP="00CB52D8">
      <w:pPr>
        <w:pStyle w:val="ListParagraph"/>
        <w:numPr>
          <w:ilvl w:val="0"/>
          <w:numId w:val="57"/>
        </w:numPr>
        <w:autoSpaceDE w:val="0"/>
        <w:autoSpaceDN w:val="0"/>
        <w:adjustRightInd w:val="0"/>
        <w:spacing w:after="120"/>
        <w:contextualSpacing w:val="0"/>
        <w:rPr>
          <w:rFonts w:cs="Arial"/>
          <w:szCs w:val="20"/>
        </w:rPr>
      </w:pPr>
      <w:r w:rsidRPr="004972FF">
        <w:rPr>
          <w:rFonts w:cs="Arial"/>
          <w:szCs w:val="20"/>
        </w:rPr>
        <w:t>HHA may reject any family-provided documentation if:</w:t>
      </w:r>
    </w:p>
    <w:p w14:paraId="0AA88A4A" w14:textId="77777777" w:rsidR="001004A7" w:rsidRPr="004972FF" w:rsidRDefault="001004A7" w:rsidP="007F177E">
      <w:pPr>
        <w:pStyle w:val="ListParagraph"/>
        <w:numPr>
          <w:ilvl w:val="1"/>
          <w:numId w:val="145"/>
        </w:numPr>
        <w:autoSpaceDE w:val="0"/>
        <w:autoSpaceDN w:val="0"/>
        <w:adjustRightInd w:val="0"/>
        <w:contextualSpacing w:val="0"/>
        <w:rPr>
          <w:rFonts w:cs="Arial"/>
          <w:szCs w:val="20"/>
        </w:rPr>
      </w:pPr>
      <w:r w:rsidRPr="004972FF">
        <w:rPr>
          <w:rFonts w:cs="Arial"/>
          <w:szCs w:val="20"/>
        </w:rPr>
        <w:t>The document has been altered, mutilated, or is not legible</w:t>
      </w:r>
      <w:r w:rsidR="00BD10EA">
        <w:rPr>
          <w:rFonts w:cs="Arial"/>
          <w:szCs w:val="20"/>
        </w:rPr>
        <w:t>/readable</w:t>
      </w:r>
      <w:r w:rsidRPr="004972FF">
        <w:rPr>
          <w:rFonts w:cs="Arial"/>
          <w:szCs w:val="20"/>
        </w:rPr>
        <w:t xml:space="preserve">; </w:t>
      </w:r>
    </w:p>
    <w:p w14:paraId="7ECDF559" w14:textId="77777777" w:rsidR="00C83753" w:rsidRDefault="001004A7" w:rsidP="007F177E">
      <w:pPr>
        <w:pStyle w:val="ListParagraph"/>
        <w:numPr>
          <w:ilvl w:val="1"/>
          <w:numId w:val="145"/>
        </w:numPr>
        <w:autoSpaceDE w:val="0"/>
        <w:autoSpaceDN w:val="0"/>
        <w:adjustRightInd w:val="0"/>
        <w:contextualSpacing w:val="0"/>
        <w:rPr>
          <w:rFonts w:cs="Arial"/>
          <w:szCs w:val="20"/>
        </w:rPr>
      </w:pPr>
      <w:r w:rsidRPr="004972FF">
        <w:rPr>
          <w:rFonts w:cs="Arial"/>
          <w:szCs w:val="20"/>
        </w:rPr>
        <w:t>The document appears to be a forged document (i.e., does not appear to be authentic)</w:t>
      </w:r>
      <w:r w:rsidR="00BD10EA">
        <w:rPr>
          <w:rFonts w:cs="Arial"/>
          <w:szCs w:val="20"/>
        </w:rPr>
        <w:t>; and/or</w:t>
      </w:r>
    </w:p>
    <w:p w14:paraId="3E4A4793" w14:textId="77777777" w:rsidR="00C83753" w:rsidRDefault="00BD10EA" w:rsidP="007F177E">
      <w:pPr>
        <w:pStyle w:val="ListParagraph"/>
        <w:numPr>
          <w:ilvl w:val="1"/>
          <w:numId w:val="145"/>
        </w:numPr>
        <w:autoSpaceDE w:val="0"/>
        <w:autoSpaceDN w:val="0"/>
        <w:adjustRightInd w:val="0"/>
        <w:contextualSpacing w:val="0"/>
        <w:rPr>
          <w:rFonts w:cs="Arial"/>
          <w:szCs w:val="20"/>
        </w:rPr>
      </w:pPr>
      <w:r w:rsidRPr="00C83753">
        <w:rPr>
          <w:rFonts w:cs="Arial"/>
          <w:szCs w:val="20"/>
        </w:rPr>
        <w:t xml:space="preserve">The document </w:t>
      </w:r>
      <w:r w:rsidR="006F6D26" w:rsidRPr="00C83753">
        <w:rPr>
          <w:rFonts w:cs="Arial"/>
          <w:szCs w:val="20"/>
        </w:rPr>
        <w:t xml:space="preserve">is missing key information </w:t>
      </w:r>
      <w:r w:rsidR="00C83753">
        <w:rPr>
          <w:rFonts w:cs="Arial"/>
          <w:szCs w:val="20"/>
        </w:rPr>
        <w:t>necessary to verify and calculate</w:t>
      </w:r>
      <w:r w:rsidR="00401F9D">
        <w:rPr>
          <w:rFonts w:cs="Arial"/>
          <w:szCs w:val="20"/>
        </w:rPr>
        <w:t xml:space="preserve"> the income</w:t>
      </w:r>
      <w:r w:rsidR="00C83753">
        <w:rPr>
          <w:rFonts w:cs="Arial"/>
          <w:szCs w:val="20"/>
        </w:rPr>
        <w:t xml:space="preserve"> accurately</w:t>
      </w:r>
      <w:r w:rsidR="00F76CC6">
        <w:rPr>
          <w:rFonts w:cs="Arial"/>
          <w:szCs w:val="20"/>
        </w:rPr>
        <w:t xml:space="preserve"> and attribute the income to the correct family member</w:t>
      </w:r>
      <w:r w:rsidR="00C83753">
        <w:rPr>
          <w:rFonts w:cs="Arial"/>
          <w:szCs w:val="20"/>
        </w:rPr>
        <w:t>.</w:t>
      </w:r>
    </w:p>
    <w:p w14:paraId="42A8B023" w14:textId="77777777" w:rsidR="00F4758E" w:rsidRDefault="00B76EF1" w:rsidP="00CB52D8">
      <w:pPr>
        <w:pStyle w:val="ListParagraph"/>
        <w:numPr>
          <w:ilvl w:val="0"/>
          <w:numId w:val="57"/>
        </w:numPr>
        <w:autoSpaceDE w:val="0"/>
        <w:autoSpaceDN w:val="0"/>
        <w:adjustRightInd w:val="0"/>
        <w:spacing w:after="120"/>
        <w:contextualSpacing w:val="0"/>
        <w:rPr>
          <w:rFonts w:cs="Arial"/>
          <w:szCs w:val="20"/>
        </w:rPr>
      </w:pPr>
      <w:r>
        <w:rPr>
          <w:rFonts w:cs="Arial"/>
          <w:szCs w:val="20"/>
        </w:rPr>
        <w:t xml:space="preserve">When using pay stubs to calculate earned income, </w:t>
      </w:r>
      <w:r w:rsidR="00FB6185">
        <w:rPr>
          <w:rFonts w:cs="Arial"/>
          <w:szCs w:val="20"/>
        </w:rPr>
        <w:t xml:space="preserve">HHA </w:t>
      </w:r>
      <w:r w:rsidR="00F4758E">
        <w:rPr>
          <w:rFonts w:cs="Arial"/>
          <w:szCs w:val="20"/>
        </w:rPr>
        <w:t>will collect:</w:t>
      </w:r>
    </w:p>
    <w:p w14:paraId="5C7A1178" w14:textId="77777777" w:rsidR="00F4758E" w:rsidRDefault="00F4758E" w:rsidP="007F177E">
      <w:pPr>
        <w:pStyle w:val="ListParagraph"/>
        <w:numPr>
          <w:ilvl w:val="1"/>
          <w:numId w:val="247"/>
        </w:numPr>
        <w:autoSpaceDE w:val="0"/>
        <w:autoSpaceDN w:val="0"/>
        <w:adjustRightInd w:val="0"/>
        <w:spacing w:after="120"/>
        <w:contextualSpacing w:val="0"/>
        <w:rPr>
          <w:rFonts w:cs="Arial"/>
          <w:szCs w:val="20"/>
        </w:rPr>
      </w:pPr>
      <w:r>
        <w:rPr>
          <w:rFonts w:cs="Arial"/>
          <w:szCs w:val="20"/>
        </w:rPr>
        <w:t xml:space="preserve">Four (4) </w:t>
      </w:r>
      <w:r w:rsidR="00361E1B">
        <w:rPr>
          <w:rFonts w:cs="Arial"/>
          <w:szCs w:val="20"/>
        </w:rPr>
        <w:t>current, consecutive pay stubs for weekly pay;</w:t>
      </w:r>
    </w:p>
    <w:p w14:paraId="51FD11DE" w14:textId="77777777" w:rsidR="00361E1B" w:rsidRDefault="00361E1B" w:rsidP="007F177E">
      <w:pPr>
        <w:pStyle w:val="ListParagraph"/>
        <w:numPr>
          <w:ilvl w:val="1"/>
          <w:numId w:val="247"/>
        </w:numPr>
        <w:autoSpaceDE w:val="0"/>
        <w:autoSpaceDN w:val="0"/>
        <w:adjustRightInd w:val="0"/>
        <w:spacing w:after="120"/>
        <w:contextualSpacing w:val="0"/>
        <w:rPr>
          <w:rFonts w:cs="Arial"/>
          <w:szCs w:val="20"/>
        </w:rPr>
      </w:pPr>
      <w:r>
        <w:rPr>
          <w:rFonts w:cs="Arial"/>
          <w:szCs w:val="20"/>
        </w:rPr>
        <w:t>Two (2) current, consecutive pay stubs for bi-weekly or semi-monthly pay; and</w:t>
      </w:r>
    </w:p>
    <w:p w14:paraId="74A3535A" w14:textId="77777777" w:rsidR="00361E1B" w:rsidRDefault="00361E1B" w:rsidP="007F177E">
      <w:pPr>
        <w:pStyle w:val="ListParagraph"/>
        <w:numPr>
          <w:ilvl w:val="1"/>
          <w:numId w:val="247"/>
        </w:numPr>
        <w:autoSpaceDE w:val="0"/>
        <w:autoSpaceDN w:val="0"/>
        <w:adjustRightInd w:val="0"/>
        <w:spacing w:after="120"/>
        <w:contextualSpacing w:val="0"/>
        <w:rPr>
          <w:rFonts w:cs="Arial"/>
          <w:szCs w:val="20"/>
        </w:rPr>
      </w:pPr>
      <w:r>
        <w:rPr>
          <w:rFonts w:cs="Arial"/>
          <w:szCs w:val="20"/>
        </w:rPr>
        <w:t>Two (2) current, consecutive pay stubs for monthly pay.</w:t>
      </w:r>
    </w:p>
    <w:p w14:paraId="38C19E81" w14:textId="77777777" w:rsidR="00FB6185" w:rsidRPr="00361E1B" w:rsidRDefault="00D63CDA" w:rsidP="00361E1B">
      <w:pPr>
        <w:autoSpaceDE w:val="0"/>
        <w:autoSpaceDN w:val="0"/>
        <w:adjustRightInd w:val="0"/>
        <w:spacing w:after="120"/>
        <w:ind w:left="720"/>
        <w:rPr>
          <w:rFonts w:cs="Arial"/>
          <w:szCs w:val="20"/>
        </w:rPr>
      </w:pPr>
      <w:r w:rsidRPr="00361E1B">
        <w:rPr>
          <w:rFonts w:cs="Arial"/>
          <w:szCs w:val="20"/>
        </w:rPr>
        <w:t xml:space="preserve">For new income sources or when </w:t>
      </w:r>
      <w:r w:rsidR="00361E1B">
        <w:rPr>
          <w:rFonts w:cs="Arial"/>
          <w:szCs w:val="20"/>
        </w:rPr>
        <w:t xml:space="preserve">the </w:t>
      </w:r>
      <w:r w:rsidR="00C81059">
        <w:rPr>
          <w:rFonts w:cs="Arial"/>
          <w:szCs w:val="20"/>
        </w:rPr>
        <w:t>above number</w:t>
      </w:r>
      <w:r w:rsidRPr="00361E1B">
        <w:rPr>
          <w:rFonts w:cs="Arial"/>
          <w:szCs w:val="20"/>
        </w:rPr>
        <w:t xml:space="preserve"> pay stubs </w:t>
      </w:r>
      <w:r w:rsidR="00C81059">
        <w:rPr>
          <w:rFonts w:cs="Arial"/>
          <w:szCs w:val="20"/>
        </w:rPr>
        <w:t xml:space="preserve">based on pay frequency </w:t>
      </w:r>
      <w:r w:rsidRPr="00361E1B">
        <w:rPr>
          <w:rFonts w:cs="Arial"/>
          <w:szCs w:val="20"/>
        </w:rPr>
        <w:t xml:space="preserve">are not available, HHA </w:t>
      </w:r>
      <w:r w:rsidR="00C81059">
        <w:rPr>
          <w:rFonts w:cs="Arial"/>
          <w:szCs w:val="20"/>
        </w:rPr>
        <w:t>will</w:t>
      </w:r>
      <w:r w:rsidRPr="00361E1B">
        <w:rPr>
          <w:rFonts w:cs="Arial"/>
          <w:szCs w:val="20"/>
        </w:rPr>
        <w:t xml:space="preserve"> determine income based on the information from a traditional written, third-party verification form or the best available information.</w:t>
      </w:r>
    </w:p>
    <w:p w14:paraId="76EA899C" w14:textId="77777777" w:rsidR="00DD1E2B" w:rsidRPr="00DD1E2B" w:rsidRDefault="00DD1E2B" w:rsidP="00CB52D8">
      <w:pPr>
        <w:pStyle w:val="ListParagraph"/>
        <w:numPr>
          <w:ilvl w:val="0"/>
          <w:numId w:val="57"/>
        </w:numPr>
        <w:autoSpaceDE w:val="0"/>
        <w:autoSpaceDN w:val="0"/>
        <w:adjustRightInd w:val="0"/>
        <w:spacing w:after="120"/>
        <w:contextualSpacing w:val="0"/>
        <w:rPr>
          <w:rFonts w:cs="Arial"/>
          <w:szCs w:val="20"/>
        </w:rPr>
      </w:pPr>
      <w:r w:rsidRPr="00DD1E2B">
        <w:rPr>
          <w:rFonts w:cs="Arial"/>
          <w:szCs w:val="20"/>
        </w:rPr>
        <w:t xml:space="preserve">When verification of assets is required, </w:t>
      </w:r>
      <w:r>
        <w:rPr>
          <w:rFonts w:cs="Arial"/>
          <w:szCs w:val="20"/>
        </w:rPr>
        <w:t>HHA</w:t>
      </w:r>
      <w:r w:rsidR="001F2037">
        <w:rPr>
          <w:rFonts w:cs="Arial"/>
          <w:szCs w:val="20"/>
        </w:rPr>
        <w:t xml:space="preserve"> must</w:t>
      </w:r>
      <w:r w:rsidRPr="00DD1E2B">
        <w:rPr>
          <w:rFonts w:cs="Arial"/>
          <w:szCs w:val="20"/>
        </w:rPr>
        <w:t xml:space="preserve"> obtain </w:t>
      </w:r>
      <w:r w:rsidR="001F2037">
        <w:rPr>
          <w:rFonts w:cs="Arial"/>
          <w:szCs w:val="20"/>
        </w:rPr>
        <w:t>at least</w:t>
      </w:r>
      <w:r w:rsidRPr="00DD1E2B">
        <w:rPr>
          <w:rFonts w:cs="Arial"/>
          <w:szCs w:val="20"/>
        </w:rPr>
        <w:t xml:space="preserve"> </w:t>
      </w:r>
      <w:r w:rsidR="00401CE7">
        <w:rPr>
          <w:rFonts w:cs="Arial"/>
          <w:szCs w:val="20"/>
        </w:rPr>
        <w:t>one</w:t>
      </w:r>
      <w:r w:rsidR="001F2037">
        <w:rPr>
          <w:rFonts w:cs="Arial"/>
          <w:szCs w:val="20"/>
        </w:rPr>
        <w:t xml:space="preserve"> </w:t>
      </w:r>
      <w:r w:rsidRPr="00DD1E2B">
        <w:rPr>
          <w:rFonts w:cs="Arial"/>
          <w:szCs w:val="20"/>
        </w:rPr>
        <w:t xml:space="preserve">statement that reflects the current balance of banking/financial accounts. </w:t>
      </w:r>
    </w:p>
    <w:p w14:paraId="1EAE2234" w14:textId="77777777" w:rsidR="00AB0144" w:rsidRDefault="00AB0144" w:rsidP="00AB0144">
      <w:pPr>
        <w:autoSpaceDE w:val="0"/>
        <w:autoSpaceDN w:val="0"/>
        <w:adjustRightInd w:val="0"/>
        <w:spacing w:after="120"/>
        <w:rPr>
          <w:rFonts w:cs="Arial"/>
          <w:szCs w:val="20"/>
        </w:rPr>
      </w:pPr>
      <w:r>
        <w:rPr>
          <w:rFonts w:cs="Arial"/>
          <w:szCs w:val="20"/>
        </w:rPr>
        <w:t xml:space="preserve">See also </w:t>
      </w:r>
      <w:r w:rsidRPr="00AB0144">
        <w:rPr>
          <w:rFonts w:cs="Arial"/>
          <w:b/>
          <w:bCs/>
          <w:color w:val="0070C0"/>
          <w:szCs w:val="20"/>
        </w:rPr>
        <w:fldChar w:fldCharType="begin"/>
      </w:r>
      <w:r w:rsidRPr="00AB0144">
        <w:rPr>
          <w:rFonts w:cs="Arial"/>
          <w:b/>
          <w:bCs/>
          <w:color w:val="0070C0"/>
          <w:szCs w:val="20"/>
        </w:rPr>
        <w:instrText xml:space="preserve"> REF _Ref154575175 \h </w:instrText>
      </w:r>
      <w:r>
        <w:rPr>
          <w:rFonts w:cs="Arial"/>
          <w:b/>
          <w:bCs/>
          <w:color w:val="0070C0"/>
          <w:szCs w:val="20"/>
        </w:rPr>
        <w:instrText xml:space="preserve"> \* MERGEFORMAT </w:instrText>
      </w:r>
      <w:r w:rsidRPr="00AB0144">
        <w:rPr>
          <w:rFonts w:cs="Arial"/>
          <w:b/>
          <w:bCs/>
          <w:color w:val="0070C0"/>
          <w:szCs w:val="20"/>
        </w:rPr>
      </w:r>
      <w:r w:rsidRPr="00AB0144">
        <w:rPr>
          <w:rFonts w:cs="Arial"/>
          <w:b/>
          <w:bCs/>
          <w:color w:val="0070C0"/>
          <w:szCs w:val="20"/>
        </w:rPr>
        <w:fldChar w:fldCharType="separate"/>
      </w:r>
      <w:r w:rsidRPr="00AB0144">
        <w:rPr>
          <w:b/>
          <w:bCs/>
          <w:color w:val="0070C0"/>
        </w:rPr>
        <w:t>When Third-Party Verification Is Not Required</w:t>
      </w:r>
      <w:r w:rsidRPr="00AB0144">
        <w:rPr>
          <w:rFonts w:cs="Arial"/>
          <w:b/>
          <w:bCs/>
          <w:color w:val="0070C0"/>
          <w:szCs w:val="20"/>
        </w:rPr>
        <w:fldChar w:fldCharType="end"/>
      </w:r>
      <w:r>
        <w:rPr>
          <w:rFonts w:cs="Arial"/>
          <w:szCs w:val="20"/>
        </w:rPr>
        <w:t>.</w:t>
      </w:r>
    </w:p>
    <w:p w14:paraId="1962FA89" w14:textId="77777777" w:rsidR="00B32034" w:rsidRPr="00765546" w:rsidRDefault="00B32034" w:rsidP="001A44C5">
      <w:pPr>
        <w:pStyle w:val="Heading4"/>
      </w:pPr>
      <w:bookmarkStart w:id="1322" w:name="_Toc516735443"/>
      <w:bookmarkStart w:id="1323" w:name="_Toc527019441"/>
      <w:bookmarkStart w:id="1324" w:name="_Toc534706977"/>
      <w:bookmarkStart w:id="1325" w:name="_Toc534707655"/>
      <w:bookmarkStart w:id="1326" w:name="_Toc534708463"/>
      <w:bookmarkStart w:id="1327" w:name="_Toc118116047"/>
      <w:r w:rsidRPr="00765546">
        <w:t>Written Third-Party Verification Form</w:t>
      </w:r>
      <w:bookmarkEnd w:id="1322"/>
      <w:bookmarkEnd w:id="1323"/>
      <w:bookmarkEnd w:id="1324"/>
      <w:bookmarkEnd w:id="1325"/>
      <w:bookmarkEnd w:id="1326"/>
      <w:bookmarkEnd w:id="1327"/>
    </w:p>
    <w:p w14:paraId="053224DA" w14:textId="77777777" w:rsidR="00586AE8" w:rsidRPr="00586AE8" w:rsidRDefault="00B32034" w:rsidP="00586AE8">
      <w:pPr>
        <w:autoSpaceDE w:val="0"/>
        <w:autoSpaceDN w:val="0"/>
        <w:adjustRightInd w:val="0"/>
        <w:rPr>
          <w:rFonts w:cs="Arial"/>
          <w:bCs/>
          <w:szCs w:val="20"/>
        </w:rPr>
      </w:pPr>
      <w:r w:rsidRPr="00403A07">
        <w:rPr>
          <w:rFonts w:cs="Arial"/>
          <w:bCs/>
          <w:szCs w:val="20"/>
        </w:rPr>
        <w:t xml:space="preserve">As needed, HHA may obtain a </w:t>
      </w:r>
      <w:r>
        <w:rPr>
          <w:rFonts w:cs="Arial"/>
          <w:bCs/>
          <w:szCs w:val="20"/>
        </w:rPr>
        <w:t>w</w:t>
      </w:r>
      <w:r w:rsidRPr="00403A07">
        <w:rPr>
          <w:rFonts w:cs="Arial"/>
          <w:bCs/>
          <w:szCs w:val="20"/>
        </w:rPr>
        <w:t xml:space="preserve">ritten </w:t>
      </w:r>
      <w:r>
        <w:rPr>
          <w:rFonts w:cs="Arial"/>
          <w:bCs/>
          <w:szCs w:val="20"/>
        </w:rPr>
        <w:t>t</w:t>
      </w:r>
      <w:r w:rsidRPr="00403A07">
        <w:rPr>
          <w:rFonts w:cs="Arial"/>
          <w:bCs/>
          <w:szCs w:val="20"/>
        </w:rPr>
        <w:t>hird</w:t>
      </w:r>
      <w:r>
        <w:rPr>
          <w:rFonts w:cs="Arial"/>
          <w:bCs/>
          <w:szCs w:val="20"/>
        </w:rPr>
        <w:t>-p</w:t>
      </w:r>
      <w:r w:rsidRPr="00403A07">
        <w:rPr>
          <w:rFonts w:cs="Arial"/>
          <w:bCs/>
          <w:szCs w:val="20"/>
        </w:rPr>
        <w:t xml:space="preserve">arty </w:t>
      </w:r>
      <w:r>
        <w:rPr>
          <w:rFonts w:cs="Arial"/>
          <w:bCs/>
          <w:szCs w:val="20"/>
        </w:rPr>
        <w:t>v</w:t>
      </w:r>
      <w:r w:rsidRPr="00403A07">
        <w:rPr>
          <w:rFonts w:cs="Arial"/>
          <w:bCs/>
          <w:szCs w:val="20"/>
        </w:rPr>
        <w:t xml:space="preserve">erification </w:t>
      </w:r>
      <w:r>
        <w:rPr>
          <w:rFonts w:cs="Arial"/>
          <w:bCs/>
          <w:szCs w:val="20"/>
        </w:rPr>
        <w:t>f</w:t>
      </w:r>
      <w:r w:rsidRPr="00403A07">
        <w:rPr>
          <w:rFonts w:cs="Arial"/>
          <w:bCs/>
          <w:szCs w:val="20"/>
        </w:rPr>
        <w:t>orm, which is a standardized form used to collect information from a third-party source. HHA may mail, fax, or e-mail third-party written verification form requests to third-party sources.</w:t>
      </w:r>
    </w:p>
    <w:p w14:paraId="6FBC72D1" w14:textId="77777777" w:rsidR="00B32034" w:rsidRPr="00403A07" w:rsidRDefault="00B32034" w:rsidP="001A44C5">
      <w:pPr>
        <w:pStyle w:val="Heading4"/>
      </w:pPr>
      <w:bookmarkStart w:id="1328" w:name="_Toc516735444"/>
      <w:bookmarkStart w:id="1329" w:name="_Toc527019442"/>
      <w:bookmarkStart w:id="1330" w:name="_Toc534706978"/>
      <w:bookmarkStart w:id="1331" w:name="_Toc534707656"/>
      <w:bookmarkStart w:id="1332" w:name="_Toc534708464"/>
      <w:bookmarkStart w:id="1333" w:name="_Toc118116048"/>
      <w:r w:rsidRPr="00403A07">
        <w:t>Oral Third-Party Verification</w:t>
      </w:r>
      <w:bookmarkEnd w:id="1328"/>
      <w:bookmarkEnd w:id="1329"/>
      <w:bookmarkEnd w:id="1330"/>
      <w:bookmarkEnd w:id="1331"/>
      <w:bookmarkEnd w:id="1332"/>
      <w:bookmarkEnd w:id="1333"/>
      <w:r w:rsidRPr="00403A07">
        <w:t xml:space="preserve"> </w:t>
      </w:r>
    </w:p>
    <w:p w14:paraId="2B8DC1E6" w14:textId="77777777" w:rsidR="00B32034" w:rsidRDefault="00B32034" w:rsidP="00B32034">
      <w:pPr>
        <w:autoSpaceDE w:val="0"/>
        <w:autoSpaceDN w:val="0"/>
        <w:adjustRightInd w:val="0"/>
        <w:rPr>
          <w:rFonts w:cs="Arial"/>
          <w:bCs/>
          <w:szCs w:val="20"/>
        </w:rPr>
      </w:pPr>
      <w:r w:rsidRPr="00403A07">
        <w:rPr>
          <w:rFonts w:cs="Arial"/>
          <w:bCs/>
          <w:szCs w:val="20"/>
        </w:rPr>
        <w:t xml:space="preserve">As needed, HHA </w:t>
      </w:r>
      <w:r>
        <w:rPr>
          <w:rFonts w:cs="Arial"/>
          <w:bCs/>
          <w:szCs w:val="20"/>
        </w:rPr>
        <w:t>may obtain</w:t>
      </w:r>
      <w:r w:rsidRPr="00403A07">
        <w:rPr>
          <w:rFonts w:cs="Arial"/>
          <w:bCs/>
          <w:szCs w:val="20"/>
        </w:rPr>
        <w:t xml:space="preserve"> </w:t>
      </w:r>
      <w:r>
        <w:rPr>
          <w:rFonts w:cs="Arial"/>
          <w:bCs/>
          <w:szCs w:val="20"/>
        </w:rPr>
        <w:t>o</w:t>
      </w:r>
      <w:r w:rsidRPr="00403A07">
        <w:rPr>
          <w:rFonts w:cs="Arial"/>
          <w:bCs/>
          <w:szCs w:val="20"/>
        </w:rPr>
        <w:t xml:space="preserve">ral </w:t>
      </w:r>
      <w:r>
        <w:rPr>
          <w:rFonts w:cs="Arial"/>
          <w:bCs/>
          <w:szCs w:val="20"/>
        </w:rPr>
        <w:t>t</w:t>
      </w:r>
      <w:r w:rsidRPr="00403A07">
        <w:rPr>
          <w:rFonts w:cs="Arial"/>
          <w:bCs/>
          <w:szCs w:val="20"/>
        </w:rPr>
        <w:t>hird-</w:t>
      </w:r>
      <w:r>
        <w:rPr>
          <w:rFonts w:cs="Arial"/>
          <w:bCs/>
          <w:szCs w:val="20"/>
        </w:rPr>
        <w:t>p</w:t>
      </w:r>
      <w:r w:rsidRPr="00403A07">
        <w:rPr>
          <w:rFonts w:cs="Arial"/>
          <w:bCs/>
          <w:szCs w:val="20"/>
        </w:rPr>
        <w:t xml:space="preserve">arty </w:t>
      </w:r>
      <w:r>
        <w:rPr>
          <w:rFonts w:cs="Arial"/>
          <w:bCs/>
          <w:szCs w:val="20"/>
        </w:rPr>
        <w:t>v</w:t>
      </w:r>
      <w:r w:rsidRPr="00403A07">
        <w:rPr>
          <w:rFonts w:cs="Arial"/>
          <w:bCs/>
          <w:szCs w:val="20"/>
        </w:rPr>
        <w:t xml:space="preserve">erification, which is independent verification of information obtained by contacting the individual income/expense source(s), as identified through the UIV technique or by the family. HHA staff will document the </w:t>
      </w:r>
      <w:r w:rsidR="002B718E">
        <w:rPr>
          <w:rFonts w:cs="Arial"/>
          <w:bCs/>
          <w:szCs w:val="20"/>
        </w:rPr>
        <w:t>family’s</w:t>
      </w:r>
      <w:r w:rsidRPr="00403A07">
        <w:rPr>
          <w:rFonts w:cs="Arial"/>
          <w:bCs/>
          <w:szCs w:val="20"/>
        </w:rPr>
        <w:t xml:space="preserve"> file to record the date and time of the telephone call (or visit to the third party), the name of the person </w:t>
      </w:r>
      <w:r w:rsidR="002B718E">
        <w:rPr>
          <w:rFonts w:cs="Arial"/>
          <w:bCs/>
          <w:szCs w:val="20"/>
        </w:rPr>
        <w:t xml:space="preserve">and organization </w:t>
      </w:r>
      <w:r w:rsidRPr="00403A07">
        <w:rPr>
          <w:rFonts w:cs="Arial"/>
          <w:bCs/>
          <w:szCs w:val="20"/>
        </w:rPr>
        <w:t>contacted and telephone number, along with the confirmed information.</w:t>
      </w:r>
    </w:p>
    <w:p w14:paraId="785465B3" w14:textId="77777777" w:rsidR="00342DCB" w:rsidRPr="00403A07" w:rsidRDefault="00342DCB" w:rsidP="00677451">
      <w:pPr>
        <w:pStyle w:val="Heading3"/>
      </w:pPr>
      <w:bookmarkStart w:id="1334" w:name="_Toc516735445"/>
      <w:bookmarkStart w:id="1335" w:name="_Toc527019443"/>
      <w:bookmarkStart w:id="1336" w:name="_Toc534706979"/>
      <w:bookmarkStart w:id="1337" w:name="_Toc534707657"/>
      <w:bookmarkStart w:id="1338" w:name="_Toc534708465"/>
      <w:bookmarkStart w:id="1339" w:name="_Toc118116049"/>
      <w:bookmarkStart w:id="1340" w:name="_Ref154575175"/>
      <w:bookmarkStart w:id="1341" w:name="_Toc200375640"/>
      <w:r w:rsidRPr="00403A07">
        <w:t>When Third-Party Verification Is Not Required</w:t>
      </w:r>
      <w:bookmarkEnd w:id="1334"/>
      <w:bookmarkEnd w:id="1335"/>
      <w:bookmarkEnd w:id="1336"/>
      <w:bookmarkEnd w:id="1337"/>
      <w:bookmarkEnd w:id="1338"/>
      <w:bookmarkEnd w:id="1339"/>
      <w:bookmarkEnd w:id="1340"/>
      <w:bookmarkEnd w:id="1341"/>
    </w:p>
    <w:p w14:paraId="58CE795D" w14:textId="77777777" w:rsidR="00342DCB" w:rsidRPr="00765546" w:rsidRDefault="00342DCB" w:rsidP="00342DCB">
      <w:pPr>
        <w:rPr>
          <w:rFonts w:cs="Arial"/>
          <w:szCs w:val="20"/>
        </w:rPr>
      </w:pPr>
      <w:r w:rsidRPr="00765546">
        <w:rPr>
          <w:rFonts w:cs="Arial"/>
          <w:szCs w:val="20"/>
        </w:rPr>
        <w:t>Third-party verification will not be required under the following circumstances:</w:t>
      </w:r>
    </w:p>
    <w:p w14:paraId="0412D003" w14:textId="77777777" w:rsidR="00342DCB" w:rsidRPr="00702529" w:rsidRDefault="00342DCB" w:rsidP="00CB52D8">
      <w:pPr>
        <w:pStyle w:val="ListParagraph"/>
        <w:numPr>
          <w:ilvl w:val="0"/>
          <w:numId w:val="64"/>
        </w:numPr>
        <w:spacing w:after="120"/>
        <w:contextualSpacing w:val="0"/>
        <w:rPr>
          <w:rFonts w:cs="Arial"/>
          <w:szCs w:val="20"/>
        </w:rPr>
      </w:pPr>
      <w:r w:rsidRPr="001747E7">
        <w:rPr>
          <w:rFonts w:cs="Arial"/>
          <w:b/>
          <w:bCs/>
          <w:szCs w:val="20"/>
        </w:rPr>
        <w:t>Verification Service Charge</w:t>
      </w:r>
      <w:r>
        <w:rPr>
          <w:rFonts w:cs="Arial"/>
          <w:szCs w:val="20"/>
        </w:rPr>
        <w:t>: i</w:t>
      </w:r>
      <w:r w:rsidRPr="00765546">
        <w:rPr>
          <w:rFonts w:cs="Arial"/>
          <w:szCs w:val="20"/>
        </w:rPr>
        <w:t xml:space="preserve">f there is a service charge for third-party verification, </w:t>
      </w:r>
      <w:r>
        <w:rPr>
          <w:rFonts w:cs="Arial"/>
          <w:szCs w:val="20"/>
        </w:rPr>
        <w:t>HHA</w:t>
      </w:r>
      <w:r w:rsidRPr="00765546">
        <w:rPr>
          <w:rFonts w:cs="Arial"/>
          <w:szCs w:val="20"/>
        </w:rPr>
        <w:t xml:space="preserve"> will assume that third-party verification is not available and use the next level of verification according to the verification hierarchy set forth in this chapter. </w:t>
      </w:r>
    </w:p>
    <w:p w14:paraId="60C2B3CB" w14:textId="77777777" w:rsidR="00342DCB" w:rsidRPr="00765546" w:rsidRDefault="00342DCB" w:rsidP="00CB52D8">
      <w:pPr>
        <w:pStyle w:val="ListParagraph"/>
        <w:numPr>
          <w:ilvl w:val="0"/>
          <w:numId w:val="64"/>
        </w:numPr>
        <w:spacing w:after="120"/>
        <w:contextualSpacing w:val="0"/>
        <w:rPr>
          <w:rFonts w:cs="Arial"/>
          <w:szCs w:val="20"/>
        </w:rPr>
      </w:pPr>
      <w:r w:rsidRPr="001747E7">
        <w:rPr>
          <w:rFonts w:cs="Arial"/>
          <w:b/>
          <w:bCs/>
          <w:szCs w:val="20"/>
        </w:rPr>
        <w:t>Primary Documents</w:t>
      </w:r>
      <w:r>
        <w:rPr>
          <w:rFonts w:cs="Arial"/>
          <w:szCs w:val="20"/>
        </w:rPr>
        <w:t>: t</w:t>
      </w:r>
      <w:r w:rsidRPr="00765546">
        <w:rPr>
          <w:rFonts w:cs="Arial"/>
          <w:szCs w:val="20"/>
        </w:rPr>
        <w:t>hird-party verification is not required when legal documents are the primary source, such as a birth certificate or other legal documentation of birth.</w:t>
      </w:r>
    </w:p>
    <w:p w14:paraId="28784F22" w14:textId="77777777" w:rsidR="00342DCB" w:rsidRPr="00765546" w:rsidRDefault="00342DCB" w:rsidP="00CB52D8">
      <w:pPr>
        <w:pStyle w:val="ListParagraph"/>
        <w:numPr>
          <w:ilvl w:val="0"/>
          <w:numId w:val="64"/>
        </w:numPr>
        <w:spacing w:after="120"/>
        <w:contextualSpacing w:val="0"/>
        <w:rPr>
          <w:rFonts w:cs="Arial"/>
          <w:szCs w:val="20"/>
        </w:rPr>
      </w:pPr>
      <w:r w:rsidRPr="001747E7">
        <w:rPr>
          <w:rFonts w:cs="Arial"/>
          <w:b/>
          <w:bCs/>
          <w:szCs w:val="20"/>
        </w:rPr>
        <w:t>Assets Disposed of for Less than Fair Market Value</w:t>
      </w:r>
      <w:r>
        <w:rPr>
          <w:rFonts w:cs="Arial"/>
          <w:szCs w:val="20"/>
        </w:rPr>
        <w:t>:</w:t>
      </w:r>
      <w:r w:rsidRPr="00702529">
        <w:rPr>
          <w:rFonts w:cs="Arial"/>
          <w:szCs w:val="20"/>
        </w:rPr>
        <w:t xml:space="preserve"> HHA</w:t>
      </w:r>
      <w:r w:rsidRPr="00765546">
        <w:rPr>
          <w:rFonts w:cs="Arial"/>
          <w:szCs w:val="20"/>
        </w:rPr>
        <w:t xml:space="preserve"> will accept a self-certification from the family as verification of assets disposed of for less than fair market value.</w:t>
      </w:r>
    </w:p>
    <w:p w14:paraId="2A80A3C5" w14:textId="77777777" w:rsidR="00342DCB" w:rsidRDefault="00342DCB" w:rsidP="00CB52D8">
      <w:pPr>
        <w:pStyle w:val="ListParagraph"/>
        <w:numPr>
          <w:ilvl w:val="0"/>
          <w:numId w:val="64"/>
        </w:numPr>
        <w:spacing w:after="120"/>
        <w:contextualSpacing w:val="0"/>
        <w:rPr>
          <w:rFonts w:cs="Arial"/>
          <w:szCs w:val="20"/>
        </w:rPr>
      </w:pPr>
      <w:r w:rsidRPr="001747E7">
        <w:rPr>
          <w:rFonts w:cs="Arial"/>
          <w:b/>
          <w:bCs/>
          <w:szCs w:val="20"/>
        </w:rPr>
        <w:t>Value of Assets and Asset Income</w:t>
      </w:r>
      <w:r>
        <w:rPr>
          <w:rFonts w:cs="Arial"/>
          <w:szCs w:val="20"/>
        </w:rPr>
        <w:t>:</w:t>
      </w:r>
      <w:r w:rsidRPr="00702529">
        <w:rPr>
          <w:rFonts w:cs="Arial"/>
          <w:szCs w:val="20"/>
        </w:rPr>
        <w:t xml:space="preserve"> HHA</w:t>
      </w:r>
      <w:r w:rsidRPr="00765546">
        <w:rPr>
          <w:rFonts w:cs="Arial"/>
          <w:szCs w:val="20"/>
        </w:rPr>
        <w:t xml:space="preserve"> will accept a self-certification for families with net assets totaling $5</w:t>
      </w:r>
      <w:r>
        <w:rPr>
          <w:rFonts w:cs="Arial"/>
          <w:szCs w:val="20"/>
        </w:rPr>
        <w:t>0</w:t>
      </w:r>
      <w:r w:rsidRPr="00765546">
        <w:rPr>
          <w:rFonts w:cs="Arial"/>
          <w:szCs w:val="20"/>
        </w:rPr>
        <w:t xml:space="preserve">,000 or less. </w:t>
      </w:r>
      <w:r>
        <w:rPr>
          <w:rFonts w:cs="Arial"/>
          <w:szCs w:val="20"/>
        </w:rPr>
        <w:t xml:space="preserve">See </w:t>
      </w:r>
      <w:hyperlink w:anchor="_Verification_of_Assets" w:history="1">
        <w:r w:rsidR="00BC5E77" w:rsidRPr="00BC5E77">
          <w:rPr>
            <w:rStyle w:val="Hyperlink"/>
            <w:rFonts w:cs="Arial"/>
            <w:b w:val="0"/>
            <w:bCs/>
            <w:color w:val="0070C0"/>
            <w:szCs w:val="20"/>
          </w:rPr>
          <w:fldChar w:fldCharType="begin"/>
        </w:r>
        <w:r w:rsidR="00BC5E77" w:rsidRPr="00BC5E77">
          <w:rPr>
            <w:b/>
            <w:bCs/>
            <w:color w:val="0070C0"/>
          </w:rPr>
          <w:instrText xml:space="preserve"> REF _Ref148537182 \h </w:instrText>
        </w:r>
        <w:r w:rsidR="00BC5E77">
          <w:rPr>
            <w:rStyle w:val="Hyperlink"/>
            <w:rFonts w:cs="Arial"/>
            <w:b w:val="0"/>
            <w:bCs/>
            <w:color w:val="0070C0"/>
            <w:szCs w:val="20"/>
          </w:rPr>
          <w:instrText xml:space="preserve"> \* MERGEFORMAT </w:instrText>
        </w:r>
        <w:r w:rsidR="00BC5E77" w:rsidRPr="00BC5E77">
          <w:rPr>
            <w:rStyle w:val="Hyperlink"/>
            <w:rFonts w:cs="Arial"/>
            <w:b w:val="0"/>
            <w:bCs/>
            <w:color w:val="0070C0"/>
            <w:szCs w:val="20"/>
          </w:rPr>
        </w:r>
        <w:r w:rsidR="00BC5E77" w:rsidRPr="00BC5E77">
          <w:rPr>
            <w:rStyle w:val="Hyperlink"/>
            <w:rFonts w:cs="Arial"/>
            <w:b w:val="0"/>
            <w:bCs/>
            <w:color w:val="0070C0"/>
            <w:szCs w:val="20"/>
          </w:rPr>
          <w:fldChar w:fldCharType="separate"/>
        </w:r>
        <w:r w:rsidR="00BC5E77" w:rsidRPr="00BC5E77">
          <w:rPr>
            <w:b/>
            <w:bCs/>
            <w:color w:val="0070C0"/>
          </w:rPr>
          <w:t>Verification of Assets</w:t>
        </w:r>
        <w:r w:rsidR="00BC5E77" w:rsidRPr="00BC5E77">
          <w:rPr>
            <w:rStyle w:val="Hyperlink"/>
            <w:rFonts w:cs="Arial"/>
            <w:b w:val="0"/>
            <w:bCs/>
            <w:color w:val="0070C0"/>
            <w:szCs w:val="20"/>
          </w:rPr>
          <w:fldChar w:fldCharType="end"/>
        </w:r>
      </w:hyperlink>
      <w:r>
        <w:rPr>
          <w:rFonts w:cs="Arial"/>
          <w:szCs w:val="20"/>
        </w:rPr>
        <w:t xml:space="preserve"> for more information on asset policies.</w:t>
      </w:r>
    </w:p>
    <w:p w14:paraId="24177CEF" w14:textId="77777777" w:rsidR="00F92888" w:rsidRPr="00702529" w:rsidRDefault="00F92888" w:rsidP="00CB52D8">
      <w:pPr>
        <w:pStyle w:val="ListParagraph"/>
        <w:numPr>
          <w:ilvl w:val="0"/>
          <w:numId w:val="64"/>
        </w:numPr>
        <w:spacing w:after="120"/>
        <w:contextualSpacing w:val="0"/>
        <w:rPr>
          <w:rFonts w:cs="Arial"/>
          <w:szCs w:val="20"/>
        </w:rPr>
      </w:pPr>
      <w:r w:rsidRPr="001747E7">
        <w:rPr>
          <w:rFonts w:cs="Arial"/>
          <w:b/>
          <w:bCs/>
          <w:szCs w:val="20"/>
        </w:rPr>
        <w:t>Fully-Excluded Income</w:t>
      </w:r>
      <w:r>
        <w:rPr>
          <w:rFonts w:cs="Arial"/>
          <w:szCs w:val="20"/>
        </w:rPr>
        <w:t xml:space="preserve">: HHA will accept a self-certification of income that is fully excluded; see </w:t>
      </w:r>
      <w:r w:rsidR="00693EF3" w:rsidRPr="00693EF3">
        <w:rPr>
          <w:rStyle w:val="OurLinksChar"/>
        </w:rPr>
        <w:fldChar w:fldCharType="begin"/>
      </w:r>
      <w:r w:rsidR="00693EF3" w:rsidRPr="00693EF3">
        <w:rPr>
          <w:rStyle w:val="OurLinksChar"/>
        </w:rPr>
        <w:instrText xml:space="preserve"> REF _Ref148100750 \h </w:instrText>
      </w:r>
      <w:r w:rsidR="00693EF3">
        <w:rPr>
          <w:rStyle w:val="OurLinksChar"/>
        </w:rPr>
        <w:instrText xml:space="preserve"> \* MERGEFORMAT </w:instrText>
      </w:r>
      <w:r w:rsidR="00693EF3" w:rsidRPr="00693EF3">
        <w:rPr>
          <w:rStyle w:val="OurLinksChar"/>
        </w:rPr>
      </w:r>
      <w:r w:rsidR="00693EF3" w:rsidRPr="00693EF3">
        <w:rPr>
          <w:rStyle w:val="OurLinksChar"/>
        </w:rPr>
        <w:fldChar w:fldCharType="separate"/>
      </w:r>
      <w:r w:rsidR="00693EF3" w:rsidRPr="00693EF3">
        <w:rPr>
          <w:rStyle w:val="OurLinksChar"/>
        </w:rPr>
        <w:t>Income from Excluded Sources</w:t>
      </w:r>
      <w:r w:rsidR="00693EF3" w:rsidRPr="00693EF3">
        <w:rPr>
          <w:rStyle w:val="OurLinksChar"/>
        </w:rPr>
        <w:fldChar w:fldCharType="end"/>
      </w:r>
      <w:r w:rsidR="00693EF3">
        <w:rPr>
          <w:rFonts w:cs="Arial"/>
          <w:szCs w:val="20"/>
        </w:rPr>
        <w:t>.</w:t>
      </w:r>
    </w:p>
    <w:p w14:paraId="3420916D" w14:textId="77777777" w:rsidR="00342DCB" w:rsidRPr="00765546" w:rsidRDefault="00342DCB" w:rsidP="00677451">
      <w:pPr>
        <w:pStyle w:val="Heading3"/>
      </w:pPr>
      <w:bookmarkStart w:id="1342" w:name="_Toc516735446"/>
      <w:bookmarkStart w:id="1343" w:name="_Toc527019444"/>
      <w:bookmarkStart w:id="1344" w:name="_Toc534706980"/>
      <w:bookmarkStart w:id="1345" w:name="_Toc534707658"/>
      <w:bookmarkStart w:id="1346" w:name="_Toc534708466"/>
      <w:bookmarkStart w:id="1347" w:name="_Toc118116050"/>
      <w:bookmarkStart w:id="1348" w:name="_Toc200375641"/>
      <w:r w:rsidRPr="00765546">
        <w:t>Self-Certification</w:t>
      </w:r>
      <w:bookmarkEnd w:id="1342"/>
      <w:bookmarkEnd w:id="1343"/>
      <w:bookmarkEnd w:id="1344"/>
      <w:bookmarkEnd w:id="1345"/>
      <w:bookmarkEnd w:id="1346"/>
      <w:bookmarkEnd w:id="1347"/>
      <w:bookmarkEnd w:id="1348"/>
    </w:p>
    <w:p w14:paraId="6077C9B4" w14:textId="77777777" w:rsidR="00342DCB" w:rsidRDefault="00342DCB" w:rsidP="00342DCB">
      <w:pPr>
        <w:autoSpaceDE w:val="0"/>
        <w:autoSpaceDN w:val="0"/>
        <w:adjustRightInd w:val="0"/>
        <w:rPr>
          <w:rFonts w:cs="Arial"/>
          <w:szCs w:val="20"/>
        </w:rPr>
      </w:pPr>
      <w:r w:rsidRPr="00765546">
        <w:rPr>
          <w:rFonts w:cs="Arial"/>
          <w:szCs w:val="20"/>
        </w:rPr>
        <w:t>Self-certification</w:t>
      </w:r>
      <w:r>
        <w:rPr>
          <w:rFonts w:cs="Arial"/>
          <w:szCs w:val="20"/>
        </w:rPr>
        <w:t xml:space="preserve"> </w:t>
      </w:r>
      <w:r w:rsidRPr="00765546">
        <w:rPr>
          <w:rFonts w:cs="Arial"/>
          <w:szCs w:val="20"/>
        </w:rPr>
        <w:t xml:space="preserve">is used as a last resort when </w:t>
      </w:r>
      <w:r>
        <w:rPr>
          <w:rFonts w:cs="Arial"/>
          <w:szCs w:val="20"/>
        </w:rPr>
        <w:t>HHA</w:t>
      </w:r>
      <w:r w:rsidRPr="00765546">
        <w:rPr>
          <w:rFonts w:cs="Arial"/>
          <w:szCs w:val="20"/>
        </w:rPr>
        <w:t xml:space="preserve"> is unable to obtain third-party verification</w:t>
      </w:r>
      <w:r>
        <w:rPr>
          <w:rFonts w:cs="Arial"/>
          <w:szCs w:val="20"/>
        </w:rPr>
        <w:t xml:space="preserve">. </w:t>
      </w:r>
    </w:p>
    <w:p w14:paraId="6E81E6B0" w14:textId="77777777" w:rsidR="00342DCB" w:rsidRPr="00765546" w:rsidRDefault="00342DCB" w:rsidP="00342DCB">
      <w:pPr>
        <w:autoSpaceDE w:val="0"/>
        <w:autoSpaceDN w:val="0"/>
        <w:adjustRightInd w:val="0"/>
        <w:rPr>
          <w:rFonts w:cs="Arial"/>
          <w:szCs w:val="20"/>
        </w:rPr>
      </w:pPr>
      <w:r w:rsidRPr="00765546">
        <w:rPr>
          <w:rFonts w:cs="Arial"/>
          <w:szCs w:val="20"/>
        </w:rPr>
        <w:t xml:space="preserve">When information cannot be verified </w:t>
      </w:r>
      <w:r>
        <w:rPr>
          <w:rFonts w:cs="Arial"/>
          <w:szCs w:val="20"/>
        </w:rPr>
        <w:t xml:space="preserve">in EIV, </w:t>
      </w:r>
      <w:r w:rsidRPr="00765546">
        <w:rPr>
          <w:rFonts w:cs="Arial"/>
          <w:szCs w:val="20"/>
        </w:rPr>
        <w:t>by a third party</w:t>
      </w:r>
      <w:r>
        <w:rPr>
          <w:rFonts w:cs="Arial"/>
          <w:szCs w:val="20"/>
        </w:rPr>
        <w:t>,</w:t>
      </w:r>
      <w:r w:rsidRPr="00765546">
        <w:rPr>
          <w:rFonts w:cs="Arial"/>
          <w:szCs w:val="20"/>
        </w:rPr>
        <w:t xml:space="preserve"> or by review of documents, family members will be required to submit self-certifications attesting to the accuracy of the information they have provided to </w:t>
      </w:r>
      <w:r>
        <w:rPr>
          <w:rFonts w:cs="Arial"/>
          <w:szCs w:val="20"/>
        </w:rPr>
        <w:t>HHA</w:t>
      </w:r>
      <w:r w:rsidRPr="00765546">
        <w:rPr>
          <w:rFonts w:cs="Arial"/>
          <w:szCs w:val="20"/>
        </w:rPr>
        <w:t xml:space="preserve">. </w:t>
      </w:r>
      <w:r>
        <w:rPr>
          <w:rFonts w:cs="Arial"/>
          <w:szCs w:val="20"/>
        </w:rPr>
        <w:t>HHA</w:t>
      </w:r>
      <w:r w:rsidRPr="00765546">
        <w:rPr>
          <w:rFonts w:cs="Arial"/>
          <w:szCs w:val="20"/>
        </w:rPr>
        <w:t xml:space="preserve"> will document the file with attempts to obtain higher forms of verification before relying on self-certification.</w:t>
      </w:r>
    </w:p>
    <w:p w14:paraId="087BE826" w14:textId="77777777" w:rsidR="00342DCB" w:rsidRPr="00765546" w:rsidRDefault="00342DCB" w:rsidP="00342DCB">
      <w:pPr>
        <w:autoSpaceDE w:val="0"/>
        <w:autoSpaceDN w:val="0"/>
        <w:adjustRightInd w:val="0"/>
        <w:rPr>
          <w:rFonts w:cs="Arial"/>
          <w:szCs w:val="20"/>
        </w:rPr>
      </w:pPr>
      <w:r>
        <w:rPr>
          <w:rFonts w:cs="Arial"/>
          <w:szCs w:val="20"/>
        </w:rPr>
        <w:t>HHA</w:t>
      </w:r>
      <w:r w:rsidRPr="00765546">
        <w:rPr>
          <w:rFonts w:cs="Arial"/>
          <w:szCs w:val="20"/>
        </w:rPr>
        <w:t xml:space="preserve"> may require a family to certify that a family member does </w:t>
      </w:r>
      <w:r w:rsidRPr="00765546">
        <w:rPr>
          <w:rFonts w:cs="Arial"/>
          <w:b/>
          <w:bCs/>
          <w:szCs w:val="20"/>
        </w:rPr>
        <w:t xml:space="preserve">not </w:t>
      </w:r>
      <w:r w:rsidRPr="00765546">
        <w:rPr>
          <w:rFonts w:cs="Arial"/>
          <w:szCs w:val="20"/>
        </w:rPr>
        <w:t>receive a particular type of income or benefit.</w:t>
      </w:r>
    </w:p>
    <w:p w14:paraId="1485B72D" w14:textId="77777777" w:rsidR="00342DCB" w:rsidRPr="00476163" w:rsidRDefault="00342DCB" w:rsidP="00342DCB">
      <w:pPr>
        <w:autoSpaceDE w:val="0"/>
        <w:autoSpaceDN w:val="0"/>
        <w:adjustRightInd w:val="0"/>
        <w:rPr>
          <w:rFonts w:cs="Arial"/>
          <w:strike/>
          <w:szCs w:val="20"/>
        </w:rPr>
      </w:pPr>
      <w:r w:rsidRPr="00765546">
        <w:rPr>
          <w:rFonts w:cs="Arial"/>
          <w:szCs w:val="20"/>
        </w:rPr>
        <w:t xml:space="preserve">The self-certification must be made in a format acceptable </w:t>
      </w:r>
      <w:r>
        <w:rPr>
          <w:rFonts w:cs="Arial"/>
          <w:szCs w:val="20"/>
        </w:rPr>
        <w:t>HHA</w:t>
      </w:r>
      <w:r w:rsidRPr="00765546">
        <w:rPr>
          <w:rFonts w:cs="Arial"/>
          <w:szCs w:val="20"/>
        </w:rPr>
        <w:t xml:space="preserve"> and must be signed by the family member whose information or status is being </w:t>
      </w:r>
      <w:r w:rsidRPr="00476163">
        <w:rPr>
          <w:rFonts w:cs="Arial"/>
          <w:szCs w:val="20"/>
        </w:rPr>
        <w:t>verified.</w:t>
      </w:r>
    </w:p>
    <w:p w14:paraId="68D0E3C1" w14:textId="77777777" w:rsidR="00342DCB" w:rsidRPr="00765546" w:rsidRDefault="00342DCB" w:rsidP="00342DCB">
      <w:pPr>
        <w:autoSpaceDE w:val="0"/>
        <w:autoSpaceDN w:val="0"/>
        <w:adjustRightInd w:val="0"/>
        <w:rPr>
          <w:rFonts w:cs="Arial"/>
          <w:szCs w:val="20"/>
        </w:rPr>
      </w:pPr>
      <w:r>
        <w:rPr>
          <w:rFonts w:cs="Arial"/>
          <w:szCs w:val="20"/>
        </w:rPr>
        <w:t>However, s</w:t>
      </w:r>
      <w:r w:rsidRPr="00765546">
        <w:rPr>
          <w:rFonts w:cs="Arial"/>
          <w:szCs w:val="20"/>
        </w:rPr>
        <w:t>elf-certification is an acceptable form of verification when:</w:t>
      </w:r>
    </w:p>
    <w:p w14:paraId="30BE5BF9" w14:textId="77777777" w:rsidR="00342DCB" w:rsidRPr="00765546" w:rsidRDefault="00342DCB" w:rsidP="00CB52D8">
      <w:pPr>
        <w:pStyle w:val="ListParagraph"/>
        <w:numPr>
          <w:ilvl w:val="0"/>
          <w:numId w:val="65"/>
        </w:numPr>
        <w:contextualSpacing w:val="0"/>
        <w:rPr>
          <w:rFonts w:cs="Arial"/>
          <w:szCs w:val="20"/>
        </w:rPr>
      </w:pPr>
      <w:r w:rsidRPr="00765546">
        <w:rPr>
          <w:rFonts w:cs="Arial"/>
          <w:szCs w:val="20"/>
        </w:rPr>
        <w:t>A source of income is fully excluded;</w:t>
      </w:r>
    </w:p>
    <w:p w14:paraId="11DB38C6" w14:textId="77777777" w:rsidR="00342DCB" w:rsidRDefault="00342DCB" w:rsidP="00CB52D8">
      <w:pPr>
        <w:pStyle w:val="ListParagraph"/>
        <w:numPr>
          <w:ilvl w:val="0"/>
          <w:numId w:val="65"/>
        </w:numPr>
        <w:contextualSpacing w:val="0"/>
        <w:rPr>
          <w:rFonts w:cs="Arial"/>
          <w:szCs w:val="20"/>
        </w:rPr>
      </w:pPr>
      <w:r w:rsidRPr="00765546">
        <w:rPr>
          <w:rFonts w:cs="Arial"/>
          <w:szCs w:val="20"/>
        </w:rPr>
        <w:t>Net family assets total $5</w:t>
      </w:r>
      <w:r>
        <w:rPr>
          <w:rFonts w:cs="Arial"/>
          <w:szCs w:val="20"/>
        </w:rPr>
        <w:t>0</w:t>
      </w:r>
      <w:r w:rsidRPr="00765546">
        <w:rPr>
          <w:rFonts w:cs="Arial"/>
          <w:szCs w:val="20"/>
        </w:rPr>
        <w:t>,000 or less</w:t>
      </w:r>
      <w:r w:rsidR="00D46499">
        <w:rPr>
          <w:rFonts w:cs="Arial"/>
          <w:szCs w:val="20"/>
        </w:rPr>
        <w:t xml:space="preserve">; </w:t>
      </w:r>
    </w:p>
    <w:p w14:paraId="221DCB30" w14:textId="77777777" w:rsidR="00D46499" w:rsidRDefault="00D46499" w:rsidP="00CB52D8">
      <w:pPr>
        <w:numPr>
          <w:ilvl w:val="0"/>
          <w:numId w:val="65"/>
        </w:numPr>
        <w:suppressLineNumbers/>
        <w:suppressAutoHyphens/>
        <w:jc w:val="left"/>
      </w:pPr>
      <w:r>
        <w:t>The family declares that they do not have any present ownership in any real property</w:t>
      </w:r>
      <w:r w:rsidR="000503D7">
        <w:t>; and/or</w:t>
      </w:r>
    </w:p>
    <w:p w14:paraId="6C08C04F" w14:textId="77777777" w:rsidR="00D46499" w:rsidRPr="00765546" w:rsidRDefault="00D46499" w:rsidP="00CB52D8">
      <w:pPr>
        <w:pStyle w:val="ListParagraph"/>
        <w:numPr>
          <w:ilvl w:val="0"/>
          <w:numId w:val="65"/>
        </w:numPr>
        <w:contextualSpacing w:val="0"/>
        <w:rPr>
          <w:rFonts w:cs="Arial"/>
          <w:szCs w:val="20"/>
        </w:rPr>
      </w:pPr>
      <w:r w:rsidRPr="009C6952">
        <w:t>A family states that they have non-recurring income that will not be repeated in the coming year</w:t>
      </w:r>
      <w:r w:rsidR="000503D7">
        <w:t>.</w:t>
      </w:r>
    </w:p>
    <w:p w14:paraId="26C688AB" w14:textId="77777777" w:rsidR="00342DCB" w:rsidRPr="00765546" w:rsidRDefault="00342DCB" w:rsidP="00342DCB">
      <w:pPr>
        <w:widowControl w:val="0"/>
        <w:tabs>
          <w:tab w:val="left" w:pos="1180"/>
        </w:tabs>
        <w:spacing w:before="29" w:line="242" w:lineRule="auto"/>
        <w:ind w:right="564"/>
        <w:rPr>
          <w:rFonts w:cs="Arial"/>
          <w:szCs w:val="20"/>
        </w:rPr>
      </w:pPr>
      <w:r w:rsidRPr="00765546">
        <w:rPr>
          <w:rFonts w:cs="Arial"/>
          <w:szCs w:val="20"/>
        </w:rPr>
        <w:t>Self-certification is</w:t>
      </w:r>
      <w:r>
        <w:rPr>
          <w:rFonts w:cs="Arial"/>
          <w:szCs w:val="20"/>
        </w:rPr>
        <w:t xml:space="preserve"> generally</w:t>
      </w:r>
      <w:r w:rsidRPr="00765546">
        <w:rPr>
          <w:rFonts w:cs="Arial"/>
          <w:szCs w:val="20"/>
        </w:rPr>
        <w:t xml:space="preserve"> not acceptable for the following:</w:t>
      </w:r>
    </w:p>
    <w:p w14:paraId="2975C63D" w14:textId="77777777" w:rsidR="00342DCB" w:rsidRPr="00765546" w:rsidRDefault="00342DCB" w:rsidP="00CB52D8">
      <w:pPr>
        <w:pStyle w:val="ListParagraph"/>
        <w:numPr>
          <w:ilvl w:val="0"/>
          <w:numId w:val="66"/>
        </w:numPr>
        <w:spacing w:after="120"/>
        <w:contextualSpacing w:val="0"/>
        <w:rPr>
          <w:rFonts w:cs="Arial"/>
          <w:szCs w:val="20"/>
        </w:rPr>
      </w:pPr>
      <w:r w:rsidRPr="00765546">
        <w:rPr>
          <w:rFonts w:cs="Arial"/>
          <w:szCs w:val="20"/>
        </w:rPr>
        <w:t>Social Security/SSI benefits,</w:t>
      </w:r>
    </w:p>
    <w:p w14:paraId="2642DBE4" w14:textId="77777777" w:rsidR="00342DCB" w:rsidRPr="00765546" w:rsidRDefault="00342DCB" w:rsidP="00CB52D8">
      <w:pPr>
        <w:pStyle w:val="ListParagraph"/>
        <w:numPr>
          <w:ilvl w:val="0"/>
          <w:numId w:val="66"/>
        </w:numPr>
        <w:spacing w:after="120"/>
        <w:contextualSpacing w:val="0"/>
        <w:rPr>
          <w:rFonts w:cs="Arial"/>
          <w:szCs w:val="20"/>
        </w:rPr>
      </w:pPr>
      <w:r w:rsidRPr="00765546">
        <w:rPr>
          <w:rFonts w:cs="Arial"/>
          <w:szCs w:val="20"/>
        </w:rPr>
        <w:t>Public assistance,</w:t>
      </w:r>
    </w:p>
    <w:p w14:paraId="6DFA8979" w14:textId="77777777" w:rsidR="00342DCB" w:rsidRPr="00765546" w:rsidRDefault="00342DCB" w:rsidP="00CB52D8">
      <w:pPr>
        <w:pStyle w:val="ListParagraph"/>
        <w:numPr>
          <w:ilvl w:val="0"/>
          <w:numId w:val="66"/>
        </w:numPr>
        <w:spacing w:after="120"/>
        <w:contextualSpacing w:val="0"/>
        <w:rPr>
          <w:rFonts w:cs="Arial"/>
          <w:szCs w:val="20"/>
        </w:rPr>
      </w:pPr>
      <w:r w:rsidRPr="00765546">
        <w:rPr>
          <w:rFonts w:cs="Arial"/>
          <w:szCs w:val="20"/>
        </w:rPr>
        <w:t>Disability (unless obvious or otherwise known, for reasonable accommodation purposes only),</w:t>
      </w:r>
    </w:p>
    <w:p w14:paraId="3F78EA62" w14:textId="77777777" w:rsidR="00342DCB" w:rsidRPr="00765546" w:rsidRDefault="00342DCB" w:rsidP="00CB52D8">
      <w:pPr>
        <w:pStyle w:val="ListParagraph"/>
        <w:numPr>
          <w:ilvl w:val="0"/>
          <w:numId w:val="66"/>
        </w:numPr>
        <w:spacing w:after="120"/>
        <w:contextualSpacing w:val="0"/>
        <w:rPr>
          <w:rFonts w:cs="Arial"/>
          <w:szCs w:val="20"/>
        </w:rPr>
      </w:pPr>
      <w:r w:rsidRPr="00765546">
        <w:rPr>
          <w:rFonts w:cs="Arial"/>
          <w:szCs w:val="20"/>
        </w:rPr>
        <w:t>Unemployment,</w:t>
      </w:r>
    </w:p>
    <w:p w14:paraId="1CC47C28" w14:textId="77777777" w:rsidR="00342DCB" w:rsidRPr="00765546" w:rsidRDefault="00342DCB" w:rsidP="00CB52D8">
      <w:pPr>
        <w:pStyle w:val="ListParagraph"/>
        <w:numPr>
          <w:ilvl w:val="0"/>
          <w:numId w:val="66"/>
        </w:numPr>
        <w:spacing w:after="120"/>
        <w:contextualSpacing w:val="0"/>
        <w:rPr>
          <w:rFonts w:cs="Arial"/>
          <w:szCs w:val="20"/>
        </w:rPr>
      </w:pPr>
      <w:r w:rsidRPr="00765546">
        <w:rPr>
          <w:rFonts w:cs="Arial"/>
          <w:szCs w:val="20"/>
        </w:rPr>
        <w:t>Veteran’s Administration pension,</w:t>
      </w:r>
    </w:p>
    <w:p w14:paraId="38DBDA1B" w14:textId="77777777" w:rsidR="00342DCB" w:rsidRPr="00765546" w:rsidRDefault="00342DCB" w:rsidP="00CB52D8">
      <w:pPr>
        <w:pStyle w:val="ListParagraph"/>
        <w:numPr>
          <w:ilvl w:val="0"/>
          <w:numId w:val="66"/>
        </w:numPr>
        <w:spacing w:after="120"/>
        <w:contextualSpacing w:val="0"/>
        <w:rPr>
          <w:rFonts w:cs="Arial"/>
          <w:szCs w:val="20"/>
        </w:rPr>
      </w:pPr>
      <w:r w:rsidRPr="00765546">
        <w:rPr>
          <w:rFonts w:cs="Arial"/>
          <w:szCs w:val="20"/>
        </w:rPr>
        <w:t>Court-ordered child support,</w:t>
      </w:r>
    </w:p>
    <w:p w14:paraId="654B13E6" w14:textId="77777777" w:rsidR="00342DCB" w:rsidRPr="00765546" w:rsidRDefault="00342DCB" w:rsidP="00CB52D8">
      <w:pPr>
        <w:pStyle w:val="ListParagraph"/>
        <w:numPr>
          <w:ilvl w:val="0"/>
          <w:numId w:val="66"/>
        </w:numPr>
        <w:spacing w:after="120"/>
        <w:contextualSpacing w:val="0"/>
        <w:rPr>
          <w:rFonts w:cs="Arial"/>
          <w:szCs w:val="20"/>
        </w:rPr>
      </w:pPr>
      <w:r w:rsidRPr="00765546">
        <w:rPr>
          <w:rFonts w:cs="Arial"/>
          <w:szCs w:val="20"/>
        </w:rPr>
        <w:t>Worker’s compensation,</w:t>
      </w:r>
    </w:p>
    <w:p w14:paraId="0C475372" w14:textId="77777777" w:rsidR="00342DCB" w:rsidRPr="00765546" w:rsidRDefault="00342DCB" w:rsidP="00CB52D8">
      <w:pPr>
        <w:pStyle w:val="ListParagraph"/>
        <w:numPr>
          <w:ilvl w:val="0"/>
          <w:numId w:val="66"/>
        </w:numPr>
        <w:spacing w:after="120"/>
        <w:contextualSpacing w:val="0"/>
        <w:rPr>
          <w:rFonts w:cs="Arial"/>
          <w:szCs w:val="20"/>
        </w:rPr>
      </w:pPr>
      <w:r w:rsidRPr="00765546">
        <w:rPr>
          <w:rFonts w:cs="Arial"/>
          <w:szCs w:val="20"/>
        </w:rPr>
        <w:t xml:space="preserve">Unreimbursed medical expenses, </w:t>
      </w:r>
    </w:p>
    <w:p w14:paraId="2758FDAE" w14:textId="77777777" w:rsidR="00342DCB" w:rsidRPr="00765546" w:rsidRDefault="00342DCB" w:rsidP="00CB52D8">
      <w:pPr>
        <w:pStyle w:val="ListParagraph"/>
        <w:numPr>
          <w:ilvl w:val="0"/>
          <w:numId w:val="66"/>
        </w:numPr>
        <w:spacing w:after="120"/>
        <w:contextualSpacing w:val="0"/>
        <w:rPr>
          <w:rFonts w:cs="Arial"/>
          <w:szCs w:val="20"/>
        </w:rPr>
      </w:pPr>
      <w:r w:rsidRPr="00765546">
        <w:rPr>
          <w:rFonts w:cs="Arial"/>
          <w:szCs w:val="20"/>
        </w:rPr>
        <w:t>Full-time student status.</w:t>
      </w:r>
    </w:p>
    <w:p w14:paraId="1C08B7B5" w14:textId="77777777" w:rsidR="00D52705" w:rsidRDefault="00D52705" w:rsidP="00BB64BD">
      <w:pPr>
        <w:pStyle w:val="Heading2"/>
      </w:pPr>
      <w:bookmarkStart w:id="1349" w:name="_Toc173222699"/>
      <w:bookmarkStart w:id="1350" w:name="_Toc200375642"/>
      <w:bookmarkStart w:id="1351" w:name="_Toc200376965"/>
      <w:bookmarkStart w:id="1352" w:name="_Toc516735448"/>
      <w:bookmarkStart w:id="1353" w:name="_Toc527019446"/>
      <w:bookmarkStart w:id="1354" w:name="_Toc534706982"/>
      <w:bookmarkStart w:id="1355" w:name="_Toc534707660"/>
      <w:bookmarkStart w:id="1356" w:name="_Toc534708468"/>
      <w:bookmarkStart w:id="1357" w:name="_Toc118116052"/>
      <w:bookmarkStart w:id="1358" w:name="_Toc148010418"/>
      <w:bookmarkEnd w:id="1313"/>
      <w:r>
        <w:t>Income Discrepancies</w:t>
      </w:r>
      <w:bookmarkEnd w:id="1349"/>
      <w:bookmarkEnd w:id="1350"/>
      <w:bookmarkEnd w:id="1351"/>
    </w:p>
    <w:p w14:paraId="157C56C6" w14:textId="77777777" w:rsidR="00342DCB" w:rsidRPr="00765546" w:rsidRDefault="00342DCB" w:rsidP="00677451">
      <w:pPr>
        <w:pStyle w:val="Heading3"/>
      </w:pPr>
      <w:bookmarkStart w:id="1359" w:name="_Ref165036292"/>
      <w:bookmarkStart w:id="1360" w:name="_Toc200375643"/>
      <w:r w:rsidRPr="00765546">
        <w:t>Substantial Difference</w:t>
      </w:r>
      <w:bookmarkEnd w:id="1352"/>
      <w:bookmarkEnd w:id="1353"/>
      <w:bookmarkEnd w:id="1354"/>
      <w:bookmarkEnd w:id="1355"/>
      <w:bookmarkEnd w:id="1356"/>
      <w:bookmarkEnd w:id="1357"/>
      <w:bookmarkEnd w:id="1358"/>
      <w:bookmarkEnd w:id="1359"/>
      <w:bookmarkEnd w:id="1360"/>
    </w:p>
    <w:p w14:paraId="5E19B05C" w14:textId="77777777" w:rsidR="00342DCB" w:rsidRPr="00C86796" w:rsidRDefault="00342DCB" w:rsidP="00342DCB">
      <w:pPr>
        <w:rPr>
          <w:rFonts w:cs="Arial"/>
          <w:szCs w:val="20"/>
        </w:rPr>
      </w:pPr>
      <w:r w:rsidRPr="00765546">
        <w:rPr>
          <w:rFonts w:cs="Arial"/>
          <w:szCs w:val="20"/>
        </w:rPr>
        <w:t xml:space="preserve">If UIV/third-party information differs substantially from family-provided information, </w:t>
      </w:r>
      <w:r>
        <w:rPr>
          <w:rFonts w:cs="Arial"/>
          <w:szCs w:val="20"/>
        </w:rPr>
        <w:t>HHA</w:t>
      </w:r>
      <w:r w:rsidRPr="00765546">
        <w:rPr>
          <w:rFonts w:cs="Arial"/>
          <w:szCs w:val="20"/>
        </w:rPr>
        <w:t xml:space="preserve"> reserves the right to request additional verification information and use any other verification method in priority order to reconcile the difference. </w:t>
      </w:r>
    </w:p>
    <w:p w14:paraId="1A8FAFBC" w14:textId="77777777" w:rsidR="00342DCB" w:rsidRDefault="00342DCB" w:rsidP="00342DCB">
      <w:pPr>
        <w:pStyle w:val="MTWBox"/>
      </w:pPr>
      <w:r>
        <w:t>MTW Policy</w:t>
      </w:r>
    </w:p>
    <w:p w14:paraId="155591DF" w14:textId="77777777" w:rsidR="006D3855" w:rsidRPr="009C5DDB" w:rsidRDefault="006D3855" w:rsidP="006D3855">
      <w:pPr>
        <w:pStyle w:val="MTWBox"/>
        <w:rPr>
          <w:b w:val="0"/>
          <w:bCs/>
          <w:i w:val="0"/>
          <w:iCs w:val="0"/>
        </w:rPr>
      </w:pPr>
      <w:r w:rsidRPr="00B71E15">
        <w:rPr>
          <w:i w:val="0"/>
          <w:iCs w:val="0"/>
        </w:rPr>
        <w:t>MTW Waiver</w:t>
      </w:r>
      <w:r w:rsidRPr="009C5DDB">
        <w:rPr>
          <w:b w:val="0"/>
          <w:bCs/>
          <w:i w:val="0"/>
          <w:iCs w:val="0"/>
        </w:rPr>
        <w:t>:</w:t>
      </w:r>
      <w:r>
        <w:rPr>
          <w:b w:val="0"/>
          <w:bCs/>
          <w:i w:val="0"/>
          <w:iCs w:val="0"/>
        </w:rPr>
        <w:t xml:space="preserve"> Agency-Specific Waiver – Alternative Verification Methods</w:t>
      </w:r>
    </w:p>
    <w:p w14:paraId="0EC9D1EF" w14:textId="77777777" w:rsidR="006D3855" w:rsidRDefault="006D3855" w:rsidP="006D3855">
      <w:pPr>
        <w:pStyle w:val="MTWBox"/>
        <w:rPr>
          <w:b w:val="0"/>
          <w:bCs/>
          <w:i w:val="0"/>
          <w:iCs w:val="0"/>
        </w:rPr>
      </w:pPr>
      <w:r w:rsidRPr="00B71E15">
        <w:rPr>
          <w:i w:val="0"/>
          <w:iCs w:val="0"/>
        </w:rPr>
        <w:t>Approval Date</w:t>
      </w:r>
      <w:r>
        <w:rPr>
          <w:b w:val="0"/>
          <w:bCs/>
          <w:i w:val="0"/>
          <w:iCs w:val="0"/>
        </w:rPr>
        <w:t xml:space="preserve">: FY 2022 </w:t>
      </w:r>
    </w:p>
    <w:p w14:paraId="6F8780F5" w14:textId="77777777" w:rsidR="006D3855" w:rsidRDefault="006D3855" w:rsidP="006D3855">
      <w:pPr>
        <w:pStyle w:val="MTWBox"/>
        <w:rPr>
          <w:b w:val="0"/>
          <w:bCs/>
          <w:i w:val="0"/>
          <w:iCs w:val="0"/>
        </w:rPr>
      </w:pPr>
      <w:r w:rsidRPr="00B71E15">
        <w:rPr>
          <w:i w:val="0"/>
          <w:iCs w:val="0"/>
        </w:rPr>
        <w:t>Applicable to</w:t>
      </w:r>
      <w:r w:rsidRPr="00EF6F8F">
        <w:rPr>
          <w:b w:val="0"/>
          <w:bCs/>
          <w:i w:val="0"/>
          <w:iCs w:val="0"/>
        </w:rPr>
        <w:t>:</w:t>
      </w:r>
      <w:r>
        <w:rPr>
          <w:b w:val="0"/>
          <w:bCs/>
          <w:i w:val="0"/>
          <w:iCs w:val="0"/>
        </w:rPr>
        <w:t xml:space="preserve"> All MTW-assisted households</w:t>
      </w:r>
    </w:p>
    <w:p w14:paraId="3C6B2D9E" w14:textId="77777777" w:rsidR="00342DCB" w:rsidRPr="00C86796" w:rsidRDefault="006D3855" w:rsidP="006D3855">
      <w:pPr>
        <w:pStyle w:val="MTWBox"/>
      </w:pPr>
      <w:r w:rsidRPr="00B71E15">
        <w:rPr>
          <w:i w:val="0"/>
          <w:iCs w:val="0"/>
        </w:rPr>
        <w:t>Description</w:t>
      </w:r>
      <w:r w:rsidR="00963EC8">
        <w:rPr>
          <w:b w:val="0"/>
          <w:bCs/>
          <w:i w:val="0"/>
          <w:iCs w:val="0"/>
        </w:rPr>
        <w:t>:</w:t>
      </w:r>
      <w:r>
        <w:rPr>
          <w:b w:val="0"/>
          <w:bCs/>
          <w:i w:val="0"/>
          <w:iCs w:val="0"/>
        </w:rPr>
        <w:t xml:space="preserve"> </w:t>
      </w:r>
      <w:r w:rsidR="00342DCB">
        <w:rPr>
          <w:b w:val="0"/>
          <w:bCs/>
          <w:i w:val="0"/>
          <w:iCs w:val="0"/>
        </w:rPr>
        <w:t xml:space="preserve">Under this waiver, HHA will </w:t>
      </w:r>
      <w:r w:rsidR="00342DCB" w:rsidRPr="00243B57">
        <w:rPr>
          <w:b w:val="0"/>
          <w:bCs/>
          <w:i w:val="0"/>
          <w:iCs w:val="0"/>
        </w:rPr>
        <w:t xml:space="preserve">continue to identify income discrepancies and take action to process discrepancies which may result in </w:t>
      </w:r>
      <w:r w:rsidR="00342DCB">
        <w:rPr>
          <w:b w:val="0"/>
          <w:bCs/>
          <w:i w:val="0"/>
          <w:iCs w:val="0"/>
        </w:rPr>
        <w:t>corrections to reexamination actions</w:t>
      </w:r>
      <w:r w:rsidR="00342DCB" w:rsidRPr="00243B57">
        <w:rPr>
          <w:b w:val="0"/>
          <w:bCs/>
          <w:i w:val="0"/>
          <w:iCs w:val="0"/>
        </w:rPr>
        <w:t>; however, the threshold for the discrepancy will be set at $5,000.</w:t>
      </w:r>
    </w:p>
    <w:p w14:paraId="76C1CE8D" w14:textId="77777777" w:rsidR="00342DCB" w:rsidRPr="00765546" w:rsidRDefault="00342DCB" w:rsidP="00677451">
      <w:pPr>
        <w:pStyle w:val="Heading3"/>
      </w:pPr>
      <w:bookmarkStart w:id="1361" w:name="_Toc516735449"/>
      <w:bookmarkStart w:id="1362" w:name="_Toc527019447"/>
      <w:bookmarkStart w:id="1363" w:name="_Toc534706983"/>
      <w:bookmarkStart w:id="1364" w:name="_Toc534707661"/>
      <w:bookmarkStart w:id="1365" w:name="_Toc534708469"/>
      <w:bookmarkStart w:id="1366" w:name="_Toc118116053"/>
      <w:bookmarkStart w:id="1367" w:name="_Toc148010419"/>
      <w:bookmarkStart w:id="1368" w:name="_Toc200375644"/>
      <w:r w:rsidRPr="00765546">
        <w:t>Fraud</w:t>
      </w:r>
      <w:bookmarkEnd w:id="1361"/>
      <w:bookmarkEnd w:id="1362"/>
      <w:bookmarkEnd w:id="1363"/>
      <w:bookmarkEnd w:id="1364"/>
      <w:bookmarkEnd w:id="1365"/>
      <w:bookmarkEnd w:id="1366"/>
      <w:bookmarkEnd w:id="1367"/>
      <w:bookmarkEnd w:id="1368"/>
    </w:p>
    <w:p w14:paraId="041DF45B" w14:textId="77777777" w:rsidR="00342DCB" w:rsidRPr="00765546" w:rsidRDefault="00342DCB" w:rsidP="00342DCB">
      <w:pPr>
        <w:rPr>
          <w:rFonts w:cs="Arial"/>
          <w:szCs w:val="20"/>
        </w:rPr>
      </w:pPr>
      <w:r w:rsidRPr="00765546">
        <w:rPr>
          <w:rFonts w:cs="Arial"/>
          <w:szCs w:val="20"/>
        </w:rPr>
        <w:t xml:space="preserve">Information provided by the family that proves to be untrue may be used to disqualify the applicant for admission or terminate the participant’s assistance on the basis of attempted fraud. </w:t>
      </w:r>
      <w:r>
        <w:rPr>
          <w:rFonts w:cs="Arial"/>
          <w:szCs w:val="20"/>
        </w:rPr>
        <w:t>HHA</w:t>
      </w:r>
      <w:r w:rsidRPr="00765546">
        <w:rPr>
          <w:rFonts w:cs="Arial"/>
          <w:szCs w:val="20"/>
        </w:rPr>
        <w:t xml:space="preserve"> considers false information concerning the following to be grounds for rejecting an applicant or terminating assistance:</w:t>
      </w:r>
    </w:p>
    <w:p w14:paraId="0C3407BA" w14:textId="77777777" w:rsidR="00342DCB" w:rsidRPr="00765546" w:rsidRDefault="00342DCB" w:rsidP="00CB52D8">
      <w:pPr>
        <w:pStyle w:val="ListParagraph"/>
        <w:numPr>
          <w:ilvl w:val="0"/>
          <w:numId w:val="67"/>
        </w:numPr>
        <w:spacing w:after="120"/>
        <w:contextualSpacing w:val="0"/>
        <w:rPr>
          <w:rFonts w:cs="Arial"/>
          <w:szCs w:val="20"/>
        </w:rPr>
      </w:pPr>
      <w:r w:rsidRPr="00765546">
        <w:rPr>
          <w:rFonts w:cs="Arial"/>
          <w:szCs w:val="20"/>
        </w:rPr>
        <w:t>Income, assets, family composition;</w:t>
      </w:r>
    </w:p>
    <w:p w14:paraId="431914AE" w14:textId="77777777" w:rsidR="00342DCB" w:rsidRPr="00765546" w:rsidRDefault="00342DCB" w:rsidP="00CB52D8">
      <w:pPr>
        <w:pStyle w:val="ListParagraph"/>
        <w:numPr>
          <w:ilvl w:val="0"/>
          <w:numId w:val="67"/>
        </w:numPr>
        <w:spacing w:after="120"/>
        <w:contextualSpacing w:val="0"/>
        <w:rPr>
          <w:rFonts w:cs="Arial"/>
          <w:szCs w:val="20"/>
        </w:rPr>
      </w:pPr>
      <w:r w:rsidRPr="00765546">
        <w:rPr>
          <w:rFonts w:cs="Arial"/>
          <w:szCs w:val="20"/>
        </w:rPr>
        <w:t>Social Security numbers;</w:t>
      </w:r>
    </w:p>
    <w:p w14:paraId="343B3433" w14:textId="77777777" w:rsidR="00342DCB" w:rsidRPr="00765546" w:rsidRDefault="00342DCB" w:rsidP="00CB52D8">
      <w:pPr>
        <w:pStyle w:val="ListParagraph"/>
        <w:numPr>
          <w:ilvl w:val="0"/>
          <w:numId w:val="67"/>
        </w:numPr>
        <w:spacing w:after="120"/>
        <w:contextualSpacing w:val="0"/>
        <w:rPr>
          <w:rFonts w:cs="Arial"/>
          <w:szCs w:val="20"/>
        </w:rPr>
      </w:pPr>
      <w:r w:rsidRPr="00765546">
        <w:rPr>
          <w:rFonts w:cs="Arial"/>
          <w:szCs w:val="20"/>
        </w:rPr>
        <w:t>Preferences;</w:t>
      </w:r>
    </w:p>
    <w:p w14:paraId="5E4E4BF6" w14:textId="77777777" w:rsidR="00342DCB" w:rsidRPr="00765546" w:rsidRDefault="00342DCB" w:rsidP="00CB52D8">
      <w:pPr>
        <w:pStyle w:val="ListParagraph"/>
        <w:numPr>
          <w:ilvl w:val="0"/>
          <w:numId w:val="67"/>
        </w:numPr>
        <w:spacing w:after="120"/>
        <w:contextualSpacing w:val="0"/>
        <w:rPr>
          <w:rFonts w:cs="Arial"/>
          <w:szCs w:val="20"/>
        </w:rPr>
      </w:pPr>
      <w:r w:rsidRPr="00765546">
        <w:rPr>
          <w:rFonts w:cs="Arial"/>
          <w:szCs w:val="20"/>
        </w:rPr>
        <w:t>Allowances (e.g., medical, disability and/or child care expenses); and</w:t>
      </w:r>
    </w:p>
    <w:p w14:paraId="7CC5087C" w14:textId="77777777" w:rsidR="00342DCB" w:rsidRPr="00765546" w:rsidRDefault="00342DCB" w:rsidP="00CB52D8">
      <w:pPr>
        <w:pStyle w:val="ListParagraph"/>
        <w:numPr>
          <w:ilvl w:val="0"/>
          <w:numId w:val="67"/>
        </w:numPr>
        <w:spacing w:after="120"/>
        <w:contextualSpacing w:val="0"/>
        <w:rPr>
          <w:rFonts w:cs="Arial"/>
          <w:szCs w:val="20"/>
        </w:rPr>
      </w:pPr>
      <w:r w:rsidRPr="00765546">
        <w:rPr>
          <w:rFonts w:cs="Arial"/>
          <w:szCs w:val="20"/>
        </w:rPr>
        <w:t>Previous participant history or criminal history.</w:t>
      </w:r>
    </w:p>
    <w:p w14:paraId="2DE3815F" w14:textId="77777777" w:rsidR="00342DCB" w:rsidRPr="00765546" w:rsidRDefault="00342DCB" w:rsidP="00342DCB">
      <w:pPr>
        <w:rPr>
          <w:rFonts w:cs="Arial"/>
          <w:szCs w:val="20"/>
        </w:rPr>
      </w:pPr>
      <w:r w:rsidRPr="00765546">
        <w:rPr>
          <w:rFonts w:cs="Arial"/>
          <w:szCs w:val="20"/>
        </w:rPr>
        <w:t xml:space="preserve">The family shall be notified in writing of such determination by </w:t>
      </w:r>
      <w:r>
        <w:rPr>
          <w:rFonts w:cs="Arial"/>
          <w:szCs w:val="20"/>
        </w:rPr>
        <w:t>HHA</w:t>
      </w:r>
      <w:r w:rsidRPr="00765546">
        <w:rPr>
          <w:rFonts w:cs="Arial"/>
          <w:szCs w:val="20"/>
        </w:rPr>
        <w:t xml:space="preserve"> and will be given the </w:t>
      </w:r>
      <w:r w:rsidRPr="00F4424D">
        <w:rPr>
          <w:rFonts w:cs="Arial"/>
          <w:szCs w:val="20"/>
        </w:rPr>
        <w:t>opportunity for a grievance hearing.</w:t>
      </w:r>
      <w:r w:rsidR="00F35122" w:rsidRPr="00F4424D">
        <w:rPr>
          <w:rFonts w:cs="Arial"/>
          <w:szCs w:val="20"/>
        </w:rPr>
        <w:t xml:space="preserve"> </w:t>
      </w:r>
      <w:r w:rsidR="007252D9" w:rsidRPr="00F4424D">
        <w:rPr>
          <w:rFonts w:cs="Arial"/>
          <w:szCs w:val="20"/>
        </w:rPr>
        <w:t>S</w:t>
      </w:r>
      <w:r w:rsidR="00F35122" w:rsidRPr="00F4424D">
        <w:rPr>
          <w:rFonts w:cs="Arial"/>
          <w:szCs w:val="20"/>
        </w:rPr>
        <w:t>ee</w:t>
      </w:r>
      <w:r w:rsidR="007252D9" w:rsidRPr="00F4424D">
        <w:rPr>
          <w:rFonts w:cs="Arial"/>
          <w:szCs w:val="20"/>
        </w:rPr>
        <w:t xml:space="preserve"> </w:t>
      </w:r>
      <w:r w:rsidR="007252D9" w:rsidRPr="00F4424D">
        <w:rPr>
          <w:rFonts w:cs="Arial"/>
          <w:b/>
          <w:bCs/>
          <w:color w:val="0070C0"/>
          <w:szCs w:val="20"/>
        </w:rPr>
        <w:fldChar w:fldCharType="begin"/>
      </w:r>
      <w:r w:rsidR="007252D9" w:rsidRPr="00F4424D">
        <w:rPr>
          <w:rFonts w:cs="Arial"/>
          <w:b/>
          <w:bCs/>
          <w:color w:val="0070C0"/>
          <w:szCs w:val="20"/>
        </w:rPr>
        <w:instrText xml:space="preserve"> REF _Ref154580844 \h  \* MERGEFORMAT </w:instrText>
      </w:r>
      <w:r w:rsidR="007252D9" w:rsidRPr="00F4424D">
        <w:rPr>
          <w:rFonts w:cs="Arial"/>
          <w:b/>
          <w:bCs/>
          <w:color w:val="0070C0"/>
          <w:szCs w:val="20"/>
        </w:rPr>
      </w:r>
      <w:r w:rsidR="007252D9" w:rsidRPr="00F4424D">
        <w:rPr>
          <w:rFonts w:cs="Arial"/>
          <w:b/>
          <w:bCs/>
          <w:color w:val="0070C0"/>
          <w:szCs w:val="20"/>
        </w:rPr>
        <w:fldChar w:fldCharType="separate"/>
      </w:r>
      <w:r w:rsidR="00F4424D" w:rsidRPr="00F4424D">
        <w:rPr>
          <w:b/>
          <w:bCs/>
          <w:color w:val="0070C0"/>
        </w:rPr>
        <w:t>HEARINGS AND GRIEVANCES</w:t>
      </w:r>
      <w:r w:rsidR="007252D9" w:rsidRPr="00F4424D">
        <w:rPr>
          <w:rFonts w:cs="Arial"/>
          <w:b/>
          <w:bCs/>
          <w:color w:val="0070C0"/>
          <w:szCs w:val="20"/>
        </w:rPr>
        <w:fldChar w:fldCharType="end"/>
      </w:r>
      <w:r w:rsidR="007252D9" w:rsidRPr="00F4424D">
        <w:rPr>
          <w:rFonts w:cs="Arial"/>
          <w:szCs w:val="20"/>
        </w:rPr>
        <w:t xml:space="preserve"> and </w:t>
      </w:r>
      <w:r w:rsidR="007252D9" w:rsidRPr="00F4424D">
        <w:rPr>
          <w:rFonts w:cs="Arial"/>
          <w:b/>
          <w:bCs/>
          <w:color w:val="0070C0"/>
          <w:szCs w:val="20"/>
        </w:rPr>
        <w:fldChar w:fldCharType="begin"/>
      </w:r>
      <w:r w:rsidR="007252D9" w:rsidRPr="00F4424D">
        <w:rPr>
          <w:rFonts w:cs="Arial"/>
          <w:b/>
          <w:bCs/>
          <w:color w:val="0070C0"/>
          <w:szCs w:val="20"/>
        </w:rPr>
        <w:instrText xml:space="preserve"> REF _Ref154580856 \h  \* MERGEFORMAT </w:instrText>
      </w:r>
      <w:r w:rsidR="007252D9" w:rsidRPr="00F4424D">
        <w:rPr>
          <w:rFonts w:cs="Arial"/>
          <w:b/>
          <w:bCs/>
          <w:color w:val="0070C0"/>
          <w:szCs w:val="20"/>
        </w:rPr>
      </w:r>
      <w:r w:rsidR="007252D9" w:rsidRPr="00F4424D">
        <w:rPr>
          <w:rFonts w:cs="Arial"/>
          <w:b/>
          <w:bCs/>
          <w:color w:val="0070C0"/>
          <w:szCs w:val="20"/>
        </w:rPr>
        <w:fldChar w:fldCharType="separate"/>
      </w:r>
      <w:r w:rsidR="007252D9" w:rsidRPr="00F4424D">
        <w:rPr>
          <w:b/>
          <w:bCs/>
          <w:color w:val="0070C0"/>
        </w:rPr>
        <w:t>PROGRAM INTEGRITY</w:t>
      </w:r>
      <w:r w:rsidR="007252D9" w:rsidRPr="00F4424D">
        <w:rPr>
          <w:rFonts w:cs="Arial"/>
          <w:b/>
          <w:bCs/>
          <w:color w:val="0070C0"/>
          <w:szCs w:val="20"/>
        </w:rPr>
        <w:fldChar w:fldCharType="end"/>
      </w:r>
      <w:r w:rsidR="007252D9" w:rsidRPr="00F4424D">
        <w:rPr>
          <w:rFonts w:cs="Arial"/>
          <w:szCs w:val="20"/>
        </w:rPr>
        <w:t>.</w:t>
      </w:r>
    </w:p>
    <w:p w14:paraId="0BE6EAF6" w14:textId="77777777" w:rsidR="00342DCB" w:rsidRDefault="00342DCB" w:rsidP="00BB64BD">
      <w:pPr>
        <w:pStyle w:val="Heading2"/>
      </w:pPr>
      <w:bookmarkStart w:id="1369" w:name="_Toc148010420"/>
      <w:bookmarkStart w:id="1370" w:name="_Toc173222700"/>
      <w:bookmarkStart w:id="1371" w:name="_Toc200375645"/>
      <w:bookmarkStart w:id="1372" w:name="_Toc200376966"/>
      <w:r>
        <w:t>Verifying Family Information</w:t>
      </w:r>
      <w:bookmarkEnd w:id="1369"/>
      <w:bookmarkEnd w:id="1370"/>
      <w:bookmarkEnd w:id="1371"/>
      <w:bookmarkEnd w:id="1372"/>
    </w:p>
    <w:p w14:paraId="34D0A3DA" w14:textId="77777777" w:rsidR="00342DCB" w:rsidRPr="00765546" w:rsidRDefault="00342DCB" w:rsidP="00677451">
      <w:pPr>
        <w:pStyle w:val="Heading3"/>
      </w:pPr>
      <w:bookmarkStart w:id="1373" w:name="_Toc200375646"/>
      <w:r>
        <w:t>Verification of Legal Identity</w:t>
      </w:r>
      <w:bookmarkEnd w:id="1373"/>
    </w:p>
    <w:p w14:paraId="432ABCC9" w14:textId="77777777" w:rsidR="00342DCB" w:rsidRPr="00765546" w:rsidRDefault="00342DCB" w:rsidP="00342DCB">
      <w:pPr>
        <w:rPr>
          <w:rFonts w:cs="Arial"/>
          <w:szCs w:val="20"/>
        </w:rPr>
      </w:pPr>
      <w:r>
        <w:rPr>
          <w:rFonts w:cs="Arial"/>
          <w:szCs w:val="20"/>
        </w:rPr>
        <w:t>HHA</w:t>
      </w:r>
      <w:r w:rsidRPr="00765546">
        <w:rPr>
          <w:rFonts w:cs="Arial"/>
          <w:szCs w:val="20"/>
        </w:rPr>
        <w:t xml:space="preserve"> will require families to furnish verification of legal identity for each household member. </w:t>
      </w:r>
    </w:p>
    <w:tbl>
      <w:tblPr>
        <w:tblW w:w="8820"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10"/>
        <w:gridCol w:w="4410"/>
      </w:tblGrid>
      <w:tr w:rsidR="00342DCB" w:rsidRPr="00765546" w14:paraId="115011CF" w14:textId="77777777" w:rsidTr="00D50903">
        <w:trPr>
          <w:trHeight w:val="350"/>
          <w:tblHeader/>
        </w:trPr>
        <w:tc>
          <w:tcPr>
            <w:tcW w:w="4410" w:type="dxa"/>
            <w:vAlign w:val="center"/>
          </w:tcPr>
          <w:p w14:paraId="599935A6" w14:textId="77777777" w:rsidR="00342DCB" w:rsidRPr="00F14F1A" w:rsidRDefault="00342DCB" w:rsidP="00D50903">
            <w:pPr>
              <w:pStyle w:val="TableParagraph"/>
              <w:spacing w:before="60" w:after="60"/>
              <w:ind w:left="112" w:right="90"/>
              <w:jc w:val="center"/>
              <w:rPr>
                <w:rFonts w:ascii="Arial" w:hAnsi="Arial" w:cs="Arial"/>
                <w:b/>
              </w:rPr>
            </w:pPr>
            <w:bookmarkStart w:id="1374" w:name="_Hlk147415579"/>
            <w:r w:rsidRPr="00F14F1A">
              <w:rPr>
                <w:rFonts w:ascii="Arial" w:hAnsi="Arial" w:cs="Arial"/>
                <w:b/>
              </w:rPr>
              <w:t>Verification of Legal Identity for Adults</w:t>
            </w:r>
          </w:p>
        </w:tc>
        <w:tc>
          <w:tcPr>
            <w:tcW w:w="4410" w:type="dxa"/>
            <w:vAlign w:val="center"/>
          </w:tcPr>
          <w:p w14:paraId="65ABF7D8" w14:textId="77777777" w:rsidR="00342DCB" w:rsidRPr="00F14F1A" w:rsidRDefault="00342DCB" w:rsidP="00D50903">
            <w:pPr>
              <w:pStyle w:val="TableParagraph"/>
              <w:spacing w:before="60" w:after="60"/>
              <w:ind w:left="90" w:right="132"/>
              <w:jc w:val="center"/>
              <w:rPr>
                <w:rFonts w:ascii="Arial" w:hAnsi="Arial" w:cs="Arial"/>
                <w:b/>
              </w:rPr>
            </w:pPr>
            <w:r w:rsidRPr="00F14F1A">
              <w:rPr>
                <w:rFonts w:ascii="Arial" w:hAnsi="Arial" w:cs="Arial"/>
                <w:b/>
              </w:rPr>
              <w:t>Verification of Legal Identity for Children</w:t>
            </w:r>
          </w:p>
        </w:tc>
      </w:tr>
      <w:tr w:rsidR="00342DCB" w:rsidRPr="00765546" w14:paraId="5C11EC30" w14:textId="77777777" w:rsidTr="00D50903">
        <w:trPr>
          <w:trHeight w:val="55"/>
        </w:trPr>
        <w:tc>
          <w:tcPr>
            <w:tcW w:w="4410" w:type="dxa"/>
          </w:tcPr>
          <w:p w14:paraId="47C7DABC" w14:textId="77777777" w:rsidR="00342DCB" w:rsidRPr="00F14F1A" w:rsidRDefault="00342DCB" w:rsidP="00CB52D8">
            <w:pPr>
              <w:pStyle w:val="TableParagraph"/>
              <w:numPr>
                <w:ilvl w:val="0"/>
                <w:numId w:val="61"/>
              </w:numPr>
              <w:spacing w:before="60" w:after="60"/>
              <w:ind w:left="510" w:right="132"/>
              <w:rPr>
                <w:rFonts w:ascii="Arial" w:hAnsi="Arial" w:cs="Arial"/>
              </w:rPr>
            </w:pPr>
            <w:r w:rsidRPr="00F14F1A">
              <w:rPr>
                <w:rFonts w:ascii="Arial" w:hAnsi="Arial" w:cs="Arial"/>
              </w:rPr>
              <w:t>Certificate of birth, naturalization papers</w:t>
            </w:r>
          </w:p>
          <w:p w14:paraId="591F4266" w14:textId="77777777" w:rsidR="00342DCB" w:rsidRPr="00F14F1A" w:rsidRDefault="00342DCB" w:rsidP="00CB52D8">
            <w:pPr>
              <w:pStyle w:val="TableParagraph"/>
              <w:numPr>
                <w:ilvl w:val="0"/>
                <w:numId w:val="61"/>
              </w:numPr>
              <w:spacing w:before="60" w:after="60"/>
              <w:ind w:left="510" w:right="132"/>
              <w:rPr>
                <w:rFonts w:ascii="Arial" w:hAnsi="Arial" w:cs="Arial"/>
              </w:rPr>
            </w:pPr>
            <w:r w:rsidRPr="00F14F1A">
              <w:rPr>
                <w:rFonts w:ascii="Arial" w:hAnsi="Arial" w:cs="Arial"/>
              </w:rPr>
              <w:t>Church-issued baptismal certificate</w:t>
            </w:r>
          </w:p>
          <w:p w14:paraId="1F4336AC" w14:textId="77777777" w:rsidR="00342DCB" w:rsidRPr="00F14F1A" w:rsidRDefault="00342DCB" w:rsidP="00CB52D8">
            <w:pPr>
              <w:pStyle w:val="TableParagraph"/>
              <w:numPr>
                <w:ilvl w:val="0"/>
                <w:numId w:val="61"/>
              </w:numPr>
              <w:spacing w:before="60" w:after="60"/>
              <w:ind w:left="510" w:right="132"/>
              <w:rPr>
                <w:rFonts w:ascii="Arial" w:hAnsi="Arial" w:cs="Arial"/>
              </w:rPr>
            </w:pPr>
            <w:r w:rsidRPr="00F14F1A">
              <w:rPr>
                <w:rFonts w:ascii="Arial" w:hAnsi="Arial" w:cs="Arial"/>
              </w:rPr>
              <w:t>Current, valid driver</w:t>
            </w:r>
            <w:r w:rsidR="006E5DF9">
              <w:rPr>
                <w:rFonts w:ascii="Arial" w:hAnsi="Arial" w:cs="Arial"/>
              </w:rPr>
              <w:t>’</w:t>
            </w:r>
            <w:r w:rsidRPr="00F14F1A">
              <w:rPr>
                <w:rFonts w:ascii="Arial" w:hAnsi="Arial" w:cs="Arial"/>
              </w:rPr>
              <w:t>s license or Department of Motor Vehicles identification card</w:t>
            </w:r>
          </w:p>
          <w:p w14:paraId="7095225F" w14:textId="77777777" w:rsidR="00342DCB" w:rsidRPr="00F14F1A" w:rsidRDefault="00342DCB" w:rsidP="00CB52D8">
            <w:pPr>
              <w:pStyle w:val="TableParagraph"/>
              <w:numPr>
                <w:ilvl w:val="0"/>
                <w:numId w:val="61"/>
              </w:numPr>
              <w:spacing w:before="60" w:after="60"/>
              <w:ind w:left="510" w:right="132"/>
              <w:rPr>
                <w:rFonts w:ascii="Arial" w:hAnsi="Arial" w:cs="Arial"/>
              </w:rPr>
            </w:pPr>
            <w:r w:rsidRPr="00F14F1A">
              <w:rPr>
                <w:rFonts w:ascii="Arial" w:hAnsi="Arial" w:cs="Arial"/>
              </w:rPr>
              <w:t xml:space="preserve">U.S. military discharge (DD 214) </w:t>
            </w:r>
          </w:p>
          <w:p w14:paraId="24549811" w14:textId="77777777" w:rsidR="00342DCB" w:rsidRPr="00F14F1A" w:rsidRDefault="00342DCB" w:rsidP="00CB52D8">
            <w:pPr>
              <w:pStyle w:val="TableParagraph"/>
              <w:numPr>
                <w:ilvl w:val="0"/>
                <w:numId w:val="61"/>
              </w:numPr>
              <w:spacing w:before="60" w:after="60"/>
              <w:ind w:left="510" w:right="132"/>
              <w:rPr>
                <w:rFonts w:ascii="Arial" w:hAnsi="Arial" w:cs="Arial"/>
              </w:rPr>
            </w:pPr>
            <w:r w:rsidRPr="00F14F1A">
              <w:rPr>
                <w:rFonts w:ascii="Arial" w:hAnsi="Arial" w:cs="Arial"/>
              </w:rPr>
              <w:t>Current U.S. passport</w:t>
            </w:r>
          </w:p>
          <w:p w14:paraId="5C5A79E6" w14:textId="77777777" w:rsidR="00342DCB" w:rsidRPr="00F14F1A" w:rsidRDefault="00342DCB" w:rsidP="00CB52D8">
            <w:pPr>
              <w:pStyle w:val="TableParagraph"/>
              <w:numPr>
                <w:ilvl w:val="0"/>
                <w:numId w:val="61"/>
              </w:numPr>
              <w:spacing w:before="60" w:after="60"/>
              <w:ind w:left="510" w:right="132"/>
              <w:rPr>
                <w:rFonts w:ascii="Arial" w:hAnsi="Arial" w:cs="Arial"/>
              </w:rPr>
            </w:pPr>
            <w:r w:rsidRPr="00F14F1A">
              <w:rPr>
                <w:rFonts w:ascii="Arial" w:hAnsi="Arial" w:cs="Arial"/>
              </w:rPr>
              <w:t xml:space="preserve">Current </w:t>
            </w:r>
            <w:r w:rsidR="002950B4">
              <w:rPr>
                <w:rFonts w:ascii="Arial" w:hAnsi="Arial" w:cs="Arial"/>
              </w:rPr>
              <w:t>government</w:t>
            </w:r>
            <w:r w:rsidR="0016781F">
              <w:rPr>
                <w:rFonts w:ascii="Arial" w:hAnsi="Arial" w:cs="Arial"/>
              </w:rPr>
              <w:t xml:space="preserve"> </w:t>
            </w:r>
            <w:r w:rsidRPr="00F14F1A">
              <w:rPr>
                <w:rFonts w:ascii="Arial" w:hAnsi="Arial" w:cs="Arial"/>
              </w:rPr>
              <w:t>employer identification card</w:t>
            </w:r>
            <w:r w:rsidR="0016781F">
              <w:rPr>
                <w:rFonts w:ascii="Arial" w:hAnsi="Arial" w:cs="Arial"/>
              </w:rPr>
              <w:t xml:space="preserve"> with picture</w:t>
            </w:r>
          </w:p>
        </w:tc>
        <w:tc>
          <w:tcPr>
            <w:tcW w:w="4410" w:type="dxa"/>
          </w:tcPr>
          <w:p w14:paraId="16034F77" w14:textId="77777777" w:rsidR="00342DCB" w:rsidRPr="00F14F1A" w:rsidRDefault="00342DCB" w:rsidP="00CB52D8">
            <w:pPr>
              <w:pStyle w:val="TableParagraph"/>
              <w:numPr>
                <w:ilvl w:val="0"/>
                <w:numId w:val="61"/>
              </w:numPr>
              <w:spacing w:before="60" w:after="60"/>
              <w:ind w:left="510" w:right="42"/>
              <w:rPr>
                <w:rFonts w:ascii="Arial" w:hAnsi="Arial" w:cs="Arial"/>
              </w:rPr>
            </w:pPr>
            <w:r w:rsidRPr="00F14F1A">
              <w:rPr>
                <w:rFonts w:ascii="Arial" w:hAnsi="Arial" w:cs="Arial"/>
              </w:rPr>
              <w:t xml:space="preserve">Certificate of birth </w:t>
            </w:r>
          </w:p>
          <w:p w14:paraId="180C32B8" w14:textId="77777777" w:rsidR="00342DCB" w:rsidRPr="00F14F1A" w:rsidRDefault="00342DCB" w:rsidP="00CB52D8">
            <w:pPr>
              <w:pStyle w:val="TableParagraph"/>
              <w:numPr>
                <w:ilvl w:val="0"/>
                <w:numId w:val="61"/>
              </w:numPr>
              <w:spacing w:before="60" w:after="60"/>
              <w:ind w:left="510" w:right="42"/>
              <w:rPr>
                <w:rFonts w:ascii="Arial" w:hAnsi="Arial" w:cs="Arial"/>
              </w:rPr>
            </w:pPr>
            <w:r w:rsidRPr="00F14F1A">
              <w:rPr>
                <w:rFonts w:ascii="Arial" w:hAnsi="Arial" w:cs="Arial"/>
              </w:rPr>
              <w:t xml:space="preserve">Adoption papers </w:t>
            </w:r>
          </w:p>
          <w:p w14:paraId="27026FF2" w14:textId="77777777" w:rsidR="00342DCB" w:rsidRPr="00F14F1A" w:rsidRDefault="00342DCB" w:rsidP="00CB52D8">
            <w:pPr>
              <w:pStyle w:val="TableParagraph"/>
              <w:numPr>
                <w:ilvl w:val="0"/>
                <w:numId w:val="61"/>
              </w:numPr>
              <w:spacing w:before="60" w:after="60"/>
              <w:ind w:left="510" w:right="42"/>
              <w:rPr>
                <w:rFonts w:ascii="Arial" w:hAnsi="Arial" w:cs="Arial"/>
              </w:rPr>
            </w:pPr>
            <w:r w:rsidRPr="00F14F1A">
              <w:rPr>
                <w:rFonts w:ascii="Arial" w:hAnsi="Arial" w:cs="Arial"/>
              </w:rPr>
              <w:t>Custody agreement</w:t>
            </w:r>
          </w:p>
          <w:p w14:paraId="238D6C1C" w14:textId="77777777" w:rsidR="00342DCB" w:rsidRPr="00F14F1A" w:rsidRDefault="00342DCB" w:rsidP="00CB52D8">
            <w:pPr>
              <w:pStyle w:val="TableParagraph"/>
              <w:numPr>
                <w:ilvl w:val="0"/>
                <w:numId w:val="61"/>
              </w:numPr>
              <w:spacing w:before="60" w:after="60"/>
              <w:ind w:left="510" w:right="42"/>
              <w:rPr>
                <w:rFonts w:ascii="Arial" w:hAnsi="Arial" w:cs="Arial"/>
              </w:rPr>
            </w:pPr>
            <w:r w:rsidRPr="00F14F1A">
              <w:rPr>
                <w:rFonts w:ascii="Arial" w:hAnsi="Arial" w:cs="Arial"/>
              </w:rPr>
              <w:t xml:space="preserve">Health and Human Services ID </w:t>
            </w:r>
          </w:p>
          <w:p w14:paraId="037935CF" w14:textId="77777777" w:rsidR="00342DCB" w:rsidRPr="00F14F1A" w:rsidRDefault="00342DCB" w:rsidP="00CB52D8">
            <w:pPr>
              <w:pStyle w:val="TableParagraph"/>
              <w:numPr>
                <w:ilvl w:val="0"/>
                <w:numId w:val="61"/>
              </w:numPr>
              <w:spacing w:before="60" w:after="60"/>
              <w:ind w:left="510" w:right="42"/>
              <w:rPr>
                <w:rFonts w:ascii="Arial" w:hAnsi="Arial" w:cs="Arial"/>
              </w:rPr>
            </w:pPr>
            <w:r w:rsidRPr="00F14F1A">
              <w:rPr>
                <w:rFonts w:ascii="Arial" w:hAnsi="Arial" w:cs="Arial"/>
              </w:rPr>
              <w:t>Certified school records</w:t>
            </w:r>
          </w:p>
        </w:tc>
      </w:tr>
      <w:bookmarkEnd w:id="1374"/>
    </w:tbl>
    <w:p w14:paraId="369ECACD" w14:textId="77777777" w:rsidR="00342DCB" w:rsidRPr="00765546" w:rsidRDefault="00342DCB" w:rsidP="00342DCB">
      <w:pPr>
        <w:pStyle w:val="BodyText"/>
        <w:ind w:right="262"/>
        <w:rPr>
          <w:sz w:val="20"/>
          <w:szCs w:val="20"/>
        </w:rPr>
      </w:pPr>
    </w:p>
    <w:p w14:paraId="04D6DA64" w14:textId="77777777" w:rsidR="00757FDF" w:rsidRPr="00624EE5" w:rsidRDefault="00757FDF" w:rsidP="00757FDF">
      <w:pPr>
        <w:pStyle w:val="BodyText"/>
        <w:spacing w:after="160" w:line="259" w:lineRule="auto"/>
        <w:jc w:val="both"/>
        <w:rPr>
          <w:sz w:val="22"/>
          <w:szCs w:val="22"/>
        </w:rPr>
      </w:pPr>
      <w:bookmarkStart w:id="1375" w:name="_Hlk147415614"/>
      <w:bookmarkStart w:id="1376" w:name="_Toc516735451"/>
      <w:bookmarkStart w:id="1377" w:name="_Toc527019449"/>
      <w:bookmarkStart w:id="1378" w:name="_Toc534706985"/>
      <w:bookmarkStart w:id="1379" w:name="_Toc534707663"/>
      <w:bookmarkStart w:id="1380" w:name="_Toc534708471"/>
      <w:bookmarkStart w:id="1381" w:name="_Toc118116055"/>
      <w:r w:rsidRPr="00624EE5">
        <w:rPr>
          <w:sz w:val="22"/>
          <w:szCs w:val="22"/>
        </w:rPr>
        <w:t>If a document submitted by a family is illegible for any reason or otherwise questionable, more than one of these documents may be required.</w:t>
      </w:r>
    </w:p>
    <w:p w14:paraId="4184DF7B" w14:textId="77777777" w:rsidR="00757FDF" w:rsidRPr="00624EE5" w:rsidRDefault="00757FDF" w:rsidP="00757FDF">
      <w:pPr>
        <w:pStyle w:val="BodyText"/>
        <w:spacing w:after="160" w:line="259" w:lineRule="auto"/>
        <w:jc w:val="both"/>
        <w:rPr>
          <w:sz w:val="22"/>
          <w:szCs w:val="22"/>
        </w:rPr>
      </w:pPr>
      <w:r w:rsidRPr="00624EE5">
        <w:rPr>
          <w:sz w:val="22"/>
          <w:szCs w:val="22"/>
        </w:rPr>
        <w:t>If none of these documents can be provided and at the HHA’s discretion, a third party who knows the person may attest to the person’s identity. The certification must be provided in a format acceptable to the HHA.</w:t>
      </w:r>
    </w:p>
    <w:p w14:paraId="217E5185" w14:textId="77777777" w:rsidR="00757FDF" w:rsidRPr="00624EE5" w:rsidRDefault="00757FDF" w:rsidP="00757FDF">
      <w:pPr>
        <w:pStyle w:val="BodyText"/>
        <w:spacing w:after="160" w:line="259" w:lineRule="auto"/>
        <w:jc w:val="both"/>
        <w:rPr>
          <w:sz w:val="22"/>
          <w:szCs w:val="22"/>
        </w:rPr>
      </w:pPr>
      <w:r w:rsidRPr="00624EE5">
        <w:rPr>
          <w:sz w:val="22"/>
          <w:szCs w:val="22"/>
        </w:rPr>
        <w:t xml:space="preserve">Legal identity will be verified for all applicants at the time of eligibility determination and in cases where the HHA has reason to doubt the identity of a person representing him or herself to be a </w:t>
      </w:r>
      <w:r w:rsidR="00143FE1">
        <w:rPr>
          <w:sz w:val="22"/>
          <w:szCs w:val="22"/>
        </w:rPr>
        <w:t>tenant or member of a tenant household</w:t>
      </w:r>
      <w:r w:rsidRPr="00624EE5">
        <w:rPr>
          <w:sz w:val="22"/>
          <w:szCs w:val="22"/>
        </w:rPr>
        <w:t>.</w:t>
      </w:r>
    </w:p>
    <w:p w14:paraId="060A1B02" w14:textId="77777777" w:rsidR="00342DCB" w:rsidRPr="00765546" w:rsidRDefault="00342DCB" w:rsidP="00677451">
      <w:pPr>
        <w:pStyle w:val="Heading3"/>
      </w:pPr>
      <w:bookmarkStart w:id="1382" w:name="_Ref163720955"/>
      <w:bookmarkStart w:id="1383" w:name="_Toc200375647"/>
      <w:bookmarkEnd w:id="1375"/>
      <w:r w:rsidRPr="005E39EB">
        <w:t>Social</w:t>
      </w:r>
      <w:r w:rsidRPr="00765546">
        <w:t xml:space="preserve"> Security Number</w:t>
      </w:r>
      <w:bookmarkEnd w:id="1376"/>
      <w:r w:rsidRPr="00765546">
        <w:t xml:space="preserve"> Verification</w:t>
      </w:r>
      <w:bookmarkEnd w:id="1377"/>
      <w:bookmarkEnd w:id="1378"/>
      <w:bookmarkEnd w:id="1379"/>
      <w:bookmarkEnd w:id="1380"/>
      <w:bookmarkEnd w:id="1381"/>
      <w:bookmarkEnd w:id="1382"/>
      <w:bookmarkEnd w:id="1383"/>
    </w:p>
    <w:p w14:paraId="4CBADE56" w14:textId="77777777" w:rsidR="00342DCB" w:rsidRDefault="00342DCB" w:rsidP="00342DCB">
      <w:r w:rsidRPr="00765546">
        <w:t xml:space="preserve">The family must provide documentation of a valid Social Security number (SSN) for each member of the household, with the exception of individuals who do not contend eligible immigration status. Exemptions also include existing program participants who were at least 62 years of age as of January 31, 2010, and had not previously disclosed an SSN. </w:t>
      </w:r>
    </w:p>
    <w:p w14:paraId="37F07571" w14:textId="77777777" w:rsidR="007E326D" w:rsidRPr="00A672D8" w:rsidRDefault="007E326D" w:rsidP="007E326D">
      <w:r w:rsidRPr="00A672D8">
        <w:t xml:space="preserve">Note that an individual who previously declared to have eligible immigration status may not change </w:t>
      </w:r>
      <w:r>
        <w:t>their</w:t>
      </w:r>
      <w:r w:rsidRPr="00A672D8">
        <w:t xml:space="preserve"> declaration for the purpose of avoiding compliance with the SSN disclosure and documentation requirements or penalties associated with noncompliance with these requirements. </w:t>
      </w:r>
      <w:r w:rsidR="00DD1F29">
        <w:t>Additionally,</w:t>
      </w:r>
      <w:r w:rsidRPr="00A672D8">
        <w:t xml:space="preserve"> the head of household </w:t>
      </w:r>
      <w:r w:rsidR="00DD1F29">
        <w:t xml:space="preserve">may not </w:t>
      </w:r>
      <w:r w:rsidRPr="00A672D8">
        <w:t>opt to remove a household member from the family composition for this purpose.</w:t>
      </w:r>
    </w:p>
    <w:p w14:paraId="1ED62E9E" w14:textId="77777777" w:rsidR="00342DCB" w:rsidRPr="00765546" w:rsidRDefault="00342DCB" w:rsidP="00342DCB">
      <w:pPr>
        <w:pStyle w:val="Heading4"/>
      </w:pPr>
      <w:bookmarkStart w:id="1384" w:name="_Toc425397278"/>
      <w:bookmarkStart w:id="1385" w:name="_Toc118116056"/>
      <w:r w:rsidRPr="00765546">
        <w:t>Documents Used to Verify Social Security Numbers</w:t>
      </w:r>
      <w:bookmarkEnd w:id="1384"/>
      <w:bookmarkEnd w:id="1385"/>
    </w:p>
    <w:p w14:paraId="19C73094" w14:textId="77777777" w:rsidR="00342DCB" w:rsidRPr="00FC5F94" w:rsidRDefault="00342DCB" w:rsidP="00457C62">
      <w:pPr>
        <w:rPr>
          <w:rFonts w:cs="Arial"/>
          <w:szCs w:val="20"/>
        </w:rPr>
      </w:pPr>
      <w:r w:rsidRPr="00765546">
        <w:t xml:space="preserve">Social Security numbers must be verified only once during continuously-assisted occupancy, unless </w:t>
      </w:r>
      <w:r>
        <w:t>HHA</w:t>
      </w:r>
      <w:r w:rsidRPr="00765546">
        <w:t xml:space="preserve"> has received conflicting information concerning a household member’s SSN. </w:t>
      </w:r>
    </w:p>
    <w:p w14:paraId="099F54B1" w14:textId="77777777" w:rsidR="00342DCB" w:rsidRPr="00765546" w:rsidRDefault="00342DCB" w:rsidP="00342DCB">
      <w:r>
        <w:t>HHA</w:t>
      </w:r>
      <w:r w:rsidRPr="00765546">
        <w:t xml:space="preserve"> will accept the following documentation as acceptable evidence of the Social Security number: </w:t>
      </w:r>
    </w:p>
    <w:p w14:paraId="4080C33F" w14:textId="77777777" w:rsidR="00342DCB" w:rsidRPr="00FC5F94" w:rsidRDefault="00342DCB" w:rsidP="00CB52D8">
      <w:pPr>
        <w:pStyle w:val="ListParagraph"/>
        <w:numPr>
          <w:ilvl w:val="0"/>
          <w:numId w:val="68"/>
        </w:numPr>
        <w:spacing w:after="120"/>
        <w:contextualSpacing w:val="0"/>
        <w:rPr>
          <w:rFonts w:cs="Arial"/>
          <w:szCs w:val="20"/>
        </w:rPr>
      </w:pPr>
      <w:r w:rsidRPr="00FC5F94">
        <w:rPr>
          <w:rFonts w:cs="Arial"/>
          <w:szCs w:val="20"/>
        </w:rPr>
        <w:t>An original SSN card issued by the Social Security Administration (SSA);</w:t>
      </w:r>
    </w:p>
    <w:p w14:paraId="26CF2387" w14:textId="77777777" w:rsidR="00342DCB" w:rsidRPr="00FC5F94" w:rsidRDefault="00342DCB" w:rsidP="00CB52D8">
      <w:pPr>
        <w:pStyle w:val="ListParagraph"/>
        <w:numPr>
          <w:ilvl w:val="0"/>
          <w:numId w:val="68"/>
        </w:numPr>
        <w:spacing w:after="120"/>
        <w:contextualSpacing w:val="0"/>
        <w:rPr>
          <w:rFonts w:cs="Arial"/>
          <w:szCs w:val="20"/>
        </w:rPr>
      </w:pPr>
      <w:r w:rsidRPr="00FC5F94">
        <w:rPr>
          <w:rFonts w:cs="Arial"/>
          <w:szCs w:val="20"/>
        </w:rPr>
        <w:t>An original SSA-issued document, which contains the name and SSN of the individual;</w:t>
      </w:r>
    </w:p>
    <w:p w14:paraId="7392AB23" w14:textId="77777777" w:rsidR="00342DCB" w:rsidRPr="00FC5F94" w:rsidRDefault="00342DCB" w:rsidP="00CB52D8">
      <w:pPr>
        <w:pStyle w:val="ListParagraph"/>
        <w:numPr>
          <w:ilvl w:val="0"/>
          <w:numId w:val="68"/>
        </w:numPr>
        <w:spacing w:after="120"/>
        <w:contextualSpacing w:val="0"/>
        <w:rPr>
          <w:rFonts w:cs="Arial"/>
          <w:szCs w:val="20"/>
        </w:rPr>
      </w:pPr>
      <w:r w:rsidRPr="00FC5F94">
        <w:rPr>
          <w:rFonts w:cs="Arial"/>
          <w:szCs w:val="20"/>
        </w:rPr>
        <w:t>An original document issued by a federal, state, or local government agency, which contains the name and SSN of the individual, along with other identifying information of the individual;</w:t>
      </w:r>
    </w:p>
    <w:p w14:paraId="5CBC474A" w14:textId="77777777" w:rsidR="00342DCB" w:rsidRDefault="00342DCB" w:rsidP="00CB52D8">
      <w:pPr>
        <w:pStyle w:val="ListParagraph"/>
        <w:numPr>
          <w:ilvl w:val="0"/>
          <w:numId w:val="68"/>
        </w:numPr>
        <w:spacing w:after="120"/>
        <w:contextualSpacing w:val="0"/>
        <w:rPr>
          <w:rFonts w:cs="Arial"/>
          <w:szCs w:val="20"/>
        </w:rPr>
      </w:pPr>
      <w:r w:rsidRPr="00FC5F94">
        <w:rPr>
          <w:rFonts w:cs="Arial"/>
          <w:szCs w:val="20"/>
        </w:rPr>
        <w:t>Such other evidence of the SSN as HUD may prescribe in administrative instructions.</w:t>
      </w:r>
    </w:p>
    <w:p w14:paraId="3E07B92D" w14:textId="77777777" w:rsidR="00212773" w:rsidRPr="00C118B2" w:rsidRDefault="00C118B2" w:rsidP="00C118B2">
      <w:pPr>
        <w:spacing w:after="120"/>
        <w:rPr>
          <w:rFonts w:cs="Arial"/>
          <w:szCs w:val="20"/>
        </w:rPr>
      </w:pPr>
      <w:r>
        <w:rPr>
          <w:rFonts w:cs="Arial"/>
          <w:szCs w:val="20"/>
        </w:rPr>
        <w:t>If HHA has attempted to obtain third-party verification of an applicant’s SSN prior to admission</w:t>
      </w:r>
      <w:r w:rsidR="003637FC">
        <w:rPr>
          <w:rFonts w:cs="Arial"/>
          <w:szCs w:val="20"/>
        </w:rPr>
        <w:t>, HHA may accept the applicant’s self-certification and a third-party document with their name print</w:t>
      </w:r>
      <w:r w:rsidR="003F5432">
        <w:rPr>
          <w:rFonts w:cs="Arial"/>
          <w:szCs w:val="20"/>
        </w:rPr>
        <w:t xml:space="preserve">ed on it </w:t>
      </w:r>
      <w:r w:rsidR="008F74FA">
        <w:rPr>
          <w:rFonts w:cs="Arial"/>
          <w:szCs w:val="20"/>
        </w:rPr>
        <w:t xml:space="preserve">(such as a bank statement, benefit letter, utility bill or cell phone bill) </w:t>
      </w:r>
      <w:r w:rsidR="003F5432">
        <w:rPr>
          <w:rFonts w:cs="Arial"/>
          <w:szCs w:val="20"/>
        </w:rPr>
        <w:t>to satisfy the SSN disclosure requirement. However, this is only allowable when HHA has exhausted all other attempts to obtain the required documentation</w:t>
      </w:r>
      <w:r w:rsidR="00455F58">
        <w:rPr>
          <w:rFonts w:cs="Arial"/>
          <w:szCs w:val="20"/>
        </w:rPr>
        <w:t xml:space="preserve"> and has documented why other SSN documentation was unavailable. If the tenant’s SSN is verified in EIV, then no further verification is required.</w:t>
      </w:r>
      <w:r w:rsidR="00E25B3E">
        <w:rPr>
          <w:rFonts w:cs="Arial"/>
          <w:szCs w:val="20"/>
        </w:rPr>
        <w:t xml:space="preserve"> If the tenant’s SSN fails the SSA identity match, then HHA must obtain a valid SSN card issued by the SSA or an original document issued by a federal or state government agency that contains the name of the individual and the SSN of the individual, along with other identifying information of the individual. The tenant’s assistance must be terminated if they fail to provide the required documentation.</w:t>
      </w:r>
    </w:p>
    <w:p w14:paraId="4957BE47" w14:textId="77777777" w:rsidR="00342DCB" w:rsidRDefault="00342DCB" w:rsidP="00342DCB">
      <w:r>
        <w:t>HHA</w:t>
      </w:r>
      <w:r w:rsidRPr="00765546">
        <w:t xml:space="preserve"> may reject documentation of an SSN provided by an applicant or </w:t>
      </w:r>
      <w:r w:rsidR="00214933">
        <w:t>tenant</w:t>
      </w:r>
      <w:r w:rsidRPr="00765546">
        <w:t xml:space="preserve"> if the document is not an original document, if the original document has been altered, mutilated, or is not legible, or if the document appears to be forged. </w:t>
      </w:r>
    </w:p>
    <w:p w14:paraId="462B75D8" w14:textId="77777777" w:rsidR="004654B2" w:rsidRPr="00765546" w:rsidRDefault="004654B2" w:rsidP="00342DCB">
      <w:r>
        <w:t>HHA will retain</w:t>
      </w:r>
      <w:r w:rsidR="00994B48">
        <w:t xml:space="preserve"> in the family’s file the verification of each SSN provided. The retention of the EIV Summary Report or Income Report </w:t>
      </w:r>
      <w:r w:rsidR="0004419A">
        <w:t>showing an individual’s stat</w:t>
      </w:r>
      <w:r w:rsidR="001C2D18">
        <w:t>u</w:t>
      </w:r>
      <w:r w:rsidR="0004419A">
        <w:t xml:space="preserve">s as </w:t>
      </w:r>
      <w:r w:rsidR="0004419A">
        <w:rPr>
          <w:i/>
          <w:iCs/>
        </w:rPr>
        <w:t xml:space="preserve">verified </w:t>
      </w:r>
      <w:r w:rsidR="00994B48">
        <w:t>is also adequate documentation of an individual’s SSN.</w:t>
      </w:r>
    </w:p>
    <w:p w14:paraId="0C54C753" w14:textId="77777777" w:rsidR="00342DCB" w:rsidRPr="00765546" w:rsidRDefault="00342DCB" w:rsidP="00342DCB">
      <w:pPr>
        <w:pStyle w:val="Heading4"/>
      </w:pPr>
      <w:bookmarkStart w:id="1386" w:name="_Toc534706987"/>
      <w:bookmarkStart w:id="1387" w:name="_Toc534707665"/>
      <w:bookmarkStart w:id="1388" w:name="_Toc534708473"/>
      <w:bookmarkStart w:id="1389" w:name="_Toc118116057"/>
      <w:r w:rsidRPr="00765546">
        <w:t>Adding a Family Member who is a Child Under Six Who Lack a Social Security Number</w:t>
      </w:r>
      <w:bookmarkEnd w:id="1386"/>
      <w:bookmarkEnd w:id="1387"/>
      <w:bookmarkEnd w:id="1388"/>
      <w:bookmarkEnd w:id="1389"/>
    </w:p>
    <w:p w14:paraId="2B6F6530" w14:textId="77777777" w:rsidR="00342DCB" w:rsidRPr="00765546" w:rsidRDefault="00342DCB" w:rsidP="00342DCB">
      <w:r w:rsidRPr="00765546">
        <w:t xml:space="preserve">When </w:t>
      </w:r>
      <w:r w:rsidR="00F6251D">
        <w:t>a</w:t>
      </w:r>
      <w:r w:rsidR="00705DF0">
        <w:t xml:space="preserve"> family</w:t>
      </w:r>
      <w:r w:rsidRPr="00765546">
        <w:t xml:space="preserve"> requests to add a new household member who is at least 6 years of age, the </w:t>
      </w:r>
      <w:r w:rsidR="00705DF0">
        <w:t>family</w:t>
      </w:r>
      <w:r w:rsidRPr="00765546">
        <w:t xml:space="preserve"> must provide the complete and accurate SSN assigned to each new member at the time of reexamination or reexamination, in addition to the documentation required to verify it. </w:t>
      </w:r>
      <w:r>
        <w:t>HHA</w:t>
      </w:r>
      <w:r w:rsidRPr="00765546">
        <w:t xml:space="preserve"> may not add the new household member until such documentation is provided. </w:t>
      </w:r>
    </w:p>
    <w:p w14:paraId="6B89B874" w14:textId="77777777" w:rsidR="00342DCB" w:rsidRPr="00765546" w:rsidRDefault="00342DCB" w:rsidP="00342DCB">
      <w:r w:rsidRPr="00765546">
        <w:t>When a</w:t>
      </w:r>
      <w:r w:rsidR="000A7C6F">
        <w:t xml:space="preserve"> resident </w:t>
      </w:r>
      <w:r w:rsidRPr="00765546">
        <w:t xml:space="preserve">requests to add a new household member who is under the age of 6 and has not yet been assigned an SSN, the </w:t>
      </w:r>
      <w:r w:rsidR="00E11385">
        <w:t>resident</w:t>
      </w:r>
      <w:r w:rsidRPr="00765546">
        <w:t xml:space="preserve"> must provide the SSN assigned to the new child and the required documentation within 90 calendar days of the child being added to the household. If the family is unable to disclose and provide evidence of the SSN within 90 calendar days, </w:t>
      </w:r>
      <w:r>
        <w:t>HHA</w:t>
      </w:r>
      <w:r w:rsidRPr="00765546">
        <w:t xml:space="preserve"> may grant the family an additional 90-day period to comply with the SSN disclosure and documentation requirement, if </w:t>
      </w:r>
      <w:r>
        <w:t>HHA</w:t>
      </w:r>
      <w:r w:rsidRPr="00765546">
        <w:t xml:space="preserve"> determines that the participant’s failure to comply was due to unforeseen circumstances and was outside of the participant’s control. During the period </w:t>
      </w:r>
      <w:r>
        <w:t>HHA</w:t>
      </w:r>
      <w:r w:rsidRPr="00765546">
        <w:t xml:space="preserve"> is awaiting documentation of the SSN, the child will be counted as part of the assisted household and will be entitled to all of the benefits of being a household member during the time allotted for the family to comply with the SSN disclosure and documentation requirements. Upon expiration of the time period, if the family has not complied with the SSN disclosure and documentation requirements, </w:t>
      </w:r>
      <w:r>
        <w:t>HHA</w:t>
      </w:r>
      <w:r w:rsidRPr="00765546">
        <w:t xml:space="preserve"> will terminate the family’s assistance.  </w:t>
      </w:r>
    </w:p>
    <w:p w14:paraId="1D762810" w14:textId="77777777" w:rsidR="00342DCB" w:rsidRPr="00765546" w:rsidRDefault="00342DCB" w:rsidP="00677451">
      <w:pPr>
        <w:pStyle w:val="Heading3"/>
      </w:pPr>
      <w:bookmarkStart w:id="1390" w:name="_Toc516735452"/>
      <w:bookmarkStart w:id="1391" w:name="_Toc527019450"/>
      <w:bookmarkStart w:id="1392" w:name="_Toc534706988"/>
      <w:bookmarkStart w:id="1393" w:name="_Toc534707666"/>
      <w:bookmarkStart w:id="1394" w:name="_Toc534708474"/>
      <w:bookmarkStart w:id="1395" w:name="_Toc118116058"/>
      <w:bookmarkStart w:id="1396" w:name="_Toc200375648"/>
      <w:r w:rsidRPr="00765546">
        <w:t xml:space="preserve">Documentation </w:t>
      </w:r>
      <w:r>
        <w:t>o</w:t>
      </w:r>
      <w:r w:rsidRPr="00765546">
        <w:t>f Age</w:t>
      </w:r>
      <w:bookmarkEnd w:id="1390"/>
      <w:bookmarkEnd w:id="1391"/>
      <w:bookmarkEnd w:id="1392"/>
      <w:bookmarkEnd w:id="1393"/>
      <w:bookmarkEnd w:id="1394"/>
      <w:bookmarkEnd w:id="1395"/>
      <w:bookmarkEnd w:id="1396"/>
    </w:p>
    <w:p w14:paraId="58EBB345" w14:textId="77777777" w:rsidR="00F60BE2" w:rsidRPr="00493139" w:rsidRDefault="00F60BE2" w:rsidP="00F60BE2">
      <w:r w:rsidRPr="00493139">
        <w:t xml:space="preserve">A birth certificate or other official record of birth is the preferred form of age verification for all family members. For elderly family members an original document that provides evidence of the receipt of social security retirement benefits is acceptable. </w:t>
      </w:r>
    </w:p>
    <w:p w14:paraId="65494684" w14:textId="77777777" w:rsidR="00342DCB" w:rsidRDefault="00342DCB" w:rsidP="00342DCB">
      <w:pPr>
        <w:autoSpaceDE w:val="0"/>
        <w:autoSpaceDN w:val="0"/>
        <w:adjustRightInd w:val="0"/>
        <w:rPr>
          <w:rFonts w:cs="Arial"/>
          <w:color w:val="000000"/>
          <w:szCs w:val="20"/>
        </w:rPr>
      </w:pPr>
      <w:r w:rsidRPr="00765546">
        <w:rPr>
          <w:rFonts w:cs="Arial"/>
          <w:color w:val="000000"/>
          <w:szCs w:val="20"/>
        </w:rPr>
        <w:t xml:space="preserve">If an official record of birth or evidence of Social Security retirement benefits cannot be provided, </w:t>
      </w:r>
      <w:r>
        <w:rPr>
          <w:rFonts w:cs="Arial"/>
          <w:color w:val="000000"/>
          <w:szCs w:val="20"/>
        </w:rPr>
        <w:t>HHA</w:t>
      </w:r>
      <w:r w:rsidRPr="00765546">
        <w:rPr>
          <w:rFonts w:cs="Arial"/>
          <w:szCs w:val="20"/>
        </w:rPr>
        <w:t xml:space="preserve"> </w:t>
      </w:r>
      <w:r w:rsidRPr="00765546">
        <w:rPr>
          <w:rFonts w:cs="Arial"/>
          <w:color w:val="000000"/>
          <w:szCs w:val="20"/>
        </w:rPr>
        <w:t>will require the family to submit other documents that support the reported age of the family member (e.g., school records, driver’s license if birth year is recorded) and to provide a self-certification.</w:t>
      </w:r>
    </w:p>
    <w:p w14:paraId="472317BC" w14:textId="77777777" w:rsidR="00A148C7" w:rsidRPr="004926A1" w:rsidRDefault="00A148C7" w:rsidP="00A148C7">
      <w:pPr>
        <w:keepLines/>
        <w:spacing w:before="100"/>
      </w:pPr>
      <w:r w:rsidRPr="004926A1">
        <w:t>Age must be verified only once during continuously</w:t>
      </w:r>
      <w:r>
        <w:t xml:space="preserve"> </w:t>
      </w:r>
      <w:r w:rsidRPr="004926A1">
        <w:t>assisted occupancy</w:t>
      </w:r>
      <w:r>
        <w:t xml:space="preserve">, unless HHA receives information that </w:t>
      </w:r>
      <w:r w:rsidR="005E0CE0">
        <w:t>a household member’s date of birth is incorrect.</w:t>
      </w:r>
    </w:p>
    <w:p w14:paraId="285262B6" w14:textId="77777777" w:rsidR="00342DCB" w:rsidRDefault="00342DCB" w:rsidP="00677451">
      <w:pPr>
        <w:pStyle w:val="Heading3"/>
      </w:pPr>
      <w:bookmarkStart w:id="1397" w:name="_Toc527019451"/>
      <w:bookmarkStart w:id="1398" w:name="_Toc534706989"/>
      <w:bookmarkStart w:id="1399" w:name="_Toc534707667"/>
      <w:bookmarkStart w:id="1400" w:name="_Toc534708475"/>
      <w:bookmarkStart w:id="1401" w:name="_Toc118116059"/>
      <w:bookmarkStart w:id="1402" w:name="_Toc200375649"/>
      <w:r w:rsidRPr="00765546">
        <w:t>Verification</w:t>
      </w:r>
      <w:bookmarkEnd w:id="1397"/>
      <w:bookmarkEnd w:id="1398"/>
      <w:bookmarkEnd w:id="1399"/>
      <w:bookmarkEnd w:id="1400"/>
      <w:r w:rsidRPr="00765546">
        <w:t xml:space="preserve"> </w:t>
      </w:r>
      <w:r>
        <w:t>o</w:t>
      </w:r>
      <w:r w:rsidRPr="00765546">
        <w:t>f Family Relationships</w:t>
      </w:r>
      <w:bookmarkEnd w:id="1401"/>
      <w:bookmarkEnd w:id="1402"/>
    </w:p>
    <w:p w14:paraId="7BA1AAAB" w14:textId="77777777" w:rsidR="00FD30C9" w:rsidRPr="00493139" w:rsidRDefault="00FD30C9" w:rsidP="00FD30C9">
      <w:r w:rsidRPr="00493139">
        <w:t xml:space="preserve">Family relationships are verified only to the extent necessary to determine a family’s eligibility and level of assistance. Certification by the head of household normally is sufficient verification of family relationships. </w:t>
      </w:r>
    </w:p>
    <w:p w14:paraId="041D5810" w14:textId="77777777" w:rsidR="00342DCB" w:rsidRPr="00765546" w:rsidRDefault="00342DCB" w:rsidP="00342DCB">
      <w:pPr>
        <w:pStyle w:val="Heading4"/>
      </w:pPr>
      <w:bookmarkStart w:id="1403" w:name="_Toc118116060"/>
      <w:r w:rsidRPr="00765546">
        <w:t>Marriage</w:t>
      </w:r>
      <w:bookmarkEnd w:id="1403"/>
    </w:p>
    <w:p w14:paraId="74C80DB0" w14:textId="77777777" w:rsidR="00FA1AAF" w:rsidRPr="004926A1" w:rsidRDefault="00342DCB" w:rsidP="00FC0C29">
      <w:pPr>
        <w:keepLines/>
        <w:spacing w:before="100"/>
      </w:pPr>
      <w:r w:rsidRPr="00765546">
        <w:rPr>
          <w:rFonts w:cs="Arial"/>
          <w:color w:val="000000"/>
          <w:szCs w:val="20"/>
        </w:rPr>
        <w:t xml:space="preserve">Certification by the head of household is normally sufficient verification of marriage. </w:t>
      </w:r>
      <w:r w:rsidRPr="00765546">
        <w:rPr>
          <w:rFonts w:cs="Arial"/>
          <w:szCs w:val="20"/>
        </w:rPr>
        <w:t xml:space="preserve">If </w:t>
      </w:r>
      <w:r>
        <w:rPr>
          <w:rFonts w:cs="Arial"/>
          <w:szCs w:val="20"/>
        </w:rPr>
        <w:t>HHA</w:t>
      </w:r>
      <w:r w:rsidRPr="00765546">
        <w:rPr>
          <w:rFonts w:cs="Arial"/>
          <w:szCs w:val="20"/>
        </w:rPr>
        <w:t xml:space="preserve"> has reasonable doubts about a marital relationship, </w:t>
      </w:r>
      <w:r>
        <w:rPr>
          <w:rFonts w:cs="Arial"/>
          <w:szCs w:val="20"/>
        </w:rPr>
        <w:t>HHA</w:t>
      </w:r>
      <w:r w:rsidRPr="00765546">
        <w:rPr>
          <w:rFonts w:cs="Arial"/>
          <w:szCs w:val="20"/>
        </w:rPr>
        <w:t xml:space="preserve"> will require the family to document the marriage.</w:t>
      </w:r>
      <w:r w:rsidR="00FA1AAF">
        <w:rPr>
          <w:rFonts w:cs="Arial"/>
          <w:szCs w:val="20"/>
        </w:rPr>
        <w:t xml:space="preserve"> </w:t>
      </w:r>
      <w:r w:rsidR="00FC0C29" w:rsidRPr="004926A1">
        <w:t xml:space="preserve">A marriage certificate generally is required to verify that a couple is married. </w:t>
      </w:r>
      <w:r w:rsidR="00FA1AAF" w:rsidRPr="004926A1">
        <w:t>In the case of a common law marriage, the couple must demonstrate that they hold themselves to be married (e.g., by telling the community they are married, calling each other husband and wife, using the same last name, filing joint income tax returns).</w:t>
      </w:r>
    </w:p>
    <w:p w14:paraId="39C21BC3" w14:textId="77777777" w:rsidR="00342DCB" w:rsidRPr="00765546" w:rsidRDefault="00342DCB" w:rsidP="00342DCB">
      <w:pPr>
        <w:pStyle w:val="Heading4"/>
      </w:pPr>
      <w:bookmarkStart w:id="1404" w:name="_Toc516735454"/>
      <w:bookmarkStart w:id="1405" w:name="_Toc527019452"/>
      <w:bookmarkStart w:id="1406" w:name="_Toc534706990"/>
      <w:bookmarkStart w:id="1407" w:name="_Toc534707668"/>
      <w:bookmarkStart w:id="1408" w:name="_Toc534708476"/>
      <w:bookmarkStart w:id="1409" w:name="_Toc118116061"/>
      <w:r w:rsidRPr="00765546">
        <w:t>Separation or Divorce</w:t>
      </w:r>
      <w:bookmarkEnd w:id="1404"/>
      <w:bookmarkEnd w:id="1405"/>
      <w:bookmarkEnd w:id="1406"/>
      <w:bookmarkEnd w:id="1407"/>
      <w:bookmarkEnd w:id="1408"/>
      <w:bookmarkEnd w:id="1409"/>
    </w:p>
    <w:p w14:paraId="66AFE75F" w14:textId="77777777" w:rsidR="00342DCB" w:rsidRPr="00765546" w:rsidRDefault="00D46289" w:rsidP="00342DCB">
      <w:pPr>
        <w:rPr>
          <w:rFonts w:cs="Arial"/>
          <w:szCs w:val="20"/>
        </w:rPr>
      </w:pPr>
      <w:r w:rsidRPr="00493139">
        <w:rPr>
          <w:bCs/>
        </w:rPr>
        <w:t xml:space="preserve">Certification by the head of household is normally sufficient verification. </w:t>
      </w:r>
      <w:r w:rsidR="00B00088">
        <w:rPr>
          <w:bCs/>
        </w:rPr>
        <w:t xml:space="preserve">However, </w:t>
      </w:r>
      <w:r w:rsidR="00342DCB">
        <w:rPr>
          <w:rFonts w:cs="Arial"/>
          <w:szCs w:val="20"/>
        </w:rPr>
        <w:t>HHA</w:t>
      </w:r>
      <w:r w:rsidR="00342DCB" w:rsidRPr="00765546">
        <w:rPr>
          <w:rFonts w:cs="Arial"/>
          <w:szCs w:val="20"/>
        </w:rPr>
        <w:t xml:space="preserve"> may require the family to provide documentation of the divorce or separation with a certified copy of a divorce decree, signed by a court officer; a copy of a court-ordered maintenance or other court record; or other documentation that shows a couple is divorced or separated. </w:t>
      </w:r>
    </w:p>
    <w:p w14:paraId="054C180F" w14:textId="77777777" w:rsidR="00342DCB" w:rsidRPr="00765546" w:rsidRDefault="00342DCB" w:rsidP="00342DCB">
      <w:pPr>
        <w:pStyle w:val="Heading4"/>
      </w:pPr>
      <w:bookmarkStart w:id="1410" w:name="_Toc516735455"/>
      <w:bookmarkStart w:id="1411" w:name="_Toc527019453"/>
      <w:bookmarkStart w:id="1412" w:name="_Toc534706991"/>
      <w:bookmarkStart w:id="1413" w:name="_Toc534707669"/>
      <w:bookmarkStart w:id="1414" w:name="_Toc534708477"/>
      <w:bookmarkStart w:id="1415" w:name="_Toc118116062"/>
      <w:r w:rsidRPr="00765546">
        <w:t>Absence of Adult Member</w:t>
      </w:r>
      <w:bookmarkEnd w:id="1410"/>
      <w:bookmarkEnd w:id="1411"/>
      <w:bookmarkEnd w:id="1412"/>
      <w:bookmarkEnd w:id="1413"/>
      <w:bookmarkEnd w:id="1414"/>
      <w:bookmarkEnd w:id="1415"/>
    </w:p>
    <w:p w14:paraId="5343A42E" w14:textId="77777777" w:rsidR="00342DCB" w:rsidRPr="00765546" w:rsidRDefault="00342DCB" w:rsidP="00342DCB">
      <w:pPr>
        <w:autoSpaceDE w:val="0"/>
        <w:autoSpaceDN w:val="0"/>
        <w:adjustRightInd w:val="0"/>
        <w:rPr>
          <w:rFonts w:cs="Arial"/>
          <w:color w:val="000000"/>
          <w:szCs w:val="20"/>
        </w:rPr>
      </w:pPr>
      <w:r w:rsidRPr="00765546">
        <w:rPr>
          <w:rFonts w:cs="Arial"/>
          <w:color w:val="000000"/>
          <w:szCs w:val="20"/>
        </w:rPr>
        <w:t>If an adult member who was formerly a member of the household is reported to be permanently absent, the family must provide evidence to support that the person is no longer a member of the family (e.g., documentation of another address at which the person resides, such as a lease or utility bill).</w:t>
      </w:r>
    </w:p>
    <w:p w14:paraId="64FE6368" w14:textId="77777777" w:rsidR="00342DCB" w:rsidRPr="00765546" w:rsidRDefault="00342DCB" w:rsidP="00342DCB">
      <w:pPr>
        <w:pStyle w:val="Heading4"/>
      </w:pPr>
      <w:bookmarkStart w:id="1416" w:name="_Toc516735456"/>
      <w:bookmarkStart w:id="1417" w:name="_Toc527019454"/>
      <w:bookmarkStart w:id="1418" w:name="_Toc534706992"/>
      <w:bookmarkStart w:id="1419" w:name="_Toc534707670"/>
      <w:bookmarkStart w:id="1420" w:name="_Toc534708478"/>
      <w:bookmarkStart w:id="1421" w:name="_Toc118116063"/>
      <w:r w:rsidRPr="00765546">
        <w:t>Foster Children and Foster Adults</w:t>
      </w:r>
      <w:bookmarkEnd w:id="1416"/>
      <w:bookmarkEnd w:id="1417"/>
      <w:bookmarkEnd w:id="1418"/>
      <w:bookmarkEnd w:id="1419"/>
      <w:bookmarkEnd w:id="1420"/>
      <w:bookmarkEnd w:id="1421"/>
    </w:p>
    <w:p w14:paraId="0E387FCD" w14:textId="77777777" w:rsidR="00342DCB" w:rsidRPr="00765546" w:rsidRDefault="00342DCB" w:rsidP="00342DCB">
      <w:pPr>
        <w:autoSpaceDE w:val="0"/>
        <w:autoSpaceDN w:val="0"/>
        <w:adjustRightInd w:val="0"/>
        <w:rPr>
          <w:rFonts w:cs="Arial"/>
          <w:color w:val="000000"/>
          <w:szCs w:val="20"/>
        </w:rPr>
      </w:pPr>
      <w:r w:rsidRPr="00765546">
        <w:rPr>
          <w:rFonts w:cs="Arial"/>
          <w:color w:val="000000"/>
          <w:szCs w:val="20"/>
        </w:rPr>
        <w:t>Third-party verification from the state or local government agency responsible for the placement of the foster child or foster adult with the family is required.</w:t>
      </w:r>
    </w:p>
    <w:p w14:paraId="288B87FB" w14:textId="77777777" w:rsidR="00342DCB" w:rsidRPr="00765546" w:rsidRDefault="00342DCB" w:rsidP="00677451">
      <w:pPr>
        <w:pStyle w:val="Heading3"/>
      </w:pPr>
      <w:bookmarkStart w:id="1422" w:name="_Toc516735457"/>
      <w:bookmarkStart w:id="1423" w:name="_Toc527019455"/>
      <w:bookmarkStart w:id="1424" w:name="_Toc534706993"/>
      <w:bookmarkStart w:id="1425" w:name="_Toc534707671"/>
      <w:bookmarkStart w:id="1426" w:name="_Toc534708479"/>
      <w:bookmarkStart w:id="1427" w:name="_Toc118116064"/>
      <w:bookmarkStart w:id="1428" w:name="_Ref155174928"/>
      <w:bookmarkStart w:id="1429" w:name="_Ref158904087"/>
      <w:bookmarkStart w:id="1430" w:name="_Toc200375650"/>
      <w:r w:rsidRPr="00765546">
        <w:t>Student Status</w:t>
      </w:r>
      <w:bookmarkEnd w:id="1422"/>
      <w:r w:rsidRPr="00765546">
        <w:t xml:space="preserve"> Verification</w:t>
      </w:r>
      <w:bookmarkEnd w:id="1423"/>
      <w:bookmarkEnd w:id="1424"/>
      <w:bookmarkEnd w:id="1425"/>
      <w:bookmarkEnd w:id="1426"/>
      <w:bookmarkEnd w:id="1427"/>
      <w:bookmarkEnd w:id="1428"/>
      <w:bookmarkEnd w:id="1429"/>
      <w:bookmarkEnd w:id="1430"/>
    </w:p>
    <w:p w14:paraId="0BEC7DFB" w14:textId="77777777" w:rsidR="00342DCB" w:rsidRPr="00765546" w:rsidRDefault="00342DCB" w:rsidP="00342DCB">
      <w:pPr>
        <w:autoSpaceDE w:val="0"/>
        <w:autoSpaceDN w:val="0"/>
        <w:adjustRightInd w:val="0"/>
        <w:rPr>
          <w:rFonts w:cs="Arial"/>
          <w:color w:val="000000"/>
          <w:szCs w:val="20"/>
        </w:rPr>
      </w:pPr>
      <w:r>
        <w:rPr>
          <w:rFonts w:cs="Arial"/>
          <w:color w:val="000000"/>
          <w:szCs w:val="20"/>
        </w:rPr>
        <w:t>HHA</w:t>
      </w:r>
      <w:r w:rsidRPr="00765546">
        <w:rPr>
          <w:rFonts w:cs="Arial"/>
          <w:szCs w:val="20"/>
        </w:rPr>
        <w:t xml:space="preserve"> </w:t>
      </w:r>
      <w:r w:rsidRPr="00765546">
        <w:rPr>
          <w:rFonts w:cs="Arial"/>
          <w:color w:val="000000"/>
          <w:szCs w:val="20"/>
        </w:rPr>
        <w:t>requires families to provide information about the student status of all students who are 18 years of age or older. This information will be verified only if:</w:t>
      </w:r>
    </w:p>
    <w:p w14:paraId="0AA9B8D7" w14:textId="77777777" w:rsidR="00342DCB" w:rsidRPr="00FC5F94" w:rsidRDefault="00342DCB" w:rsidP="00CB52D8">
      <w:pPr>
        <w:pStyle w:val="ListParagraph"/>
        <w:numPr>
          <w:ilvl w:val="0"/>
          <w:numId w:val="69"/>
        </w:numPr>
        <w:spacing w:after="120"/>
        <w:contextualSpacing w:val="0"/>
        <w:rPr>
          <w:rFonts w:cs="Arial"/>
          <w:szCs w:val="20"/>
        </w:rPr>
      </w:pPr>
      <w:r w:rsidRPr="00FC5F94">
        <w:rPr>
          <w:rFonts w:cs="Arial"/>
          <w:szCs w:val="20"/>
        </w:rPr>
        <w:t xml:space="preserve">The family claims full-time student status for an adult other than the head, spouse, or co-head; </w:t>
      </w:r>
      <w:r w:rsidR="0000040C">
        <w:rPr>
          <w:rFonts w:cs="Arial"/>
          <w:szCs w:val="20"/>
        </w:rPr>
        <w:t>or</w:t>
      </w:r>
    </w:p>
    <w:p w14:paraId="2C24BB7E" w14:textId="77777777" w:rsidR="00342DCB" w:rsidRPr="00F67CB3" w:rsidRDefault="00342DCB" w:rsidP="00CB52D8">
      <w:pPr>
        <w:pStyle w:val="ListParagraph"/>
        <w:numPr>
          <w:ilvl w:val="0"/>
          <w:numId w:val="69"/>
        </w:numPr>
        <w:spacing w:after="120"/>
        <w:contextualSpacing w:val="0"/>
        <w:rPr>
          <w:rFonts w:cs="Arial"/>
          <w:color w:val="000000"/>
          <w:szCs w:val="20"/>
        </w:rPr>
      </w:pPr>
      <w:r w:rsidRPr="0000040C">
        <w:rPr>
          <w:rFonts w:cs="Arial"/>
          <w:szCs w:val="20"/>
        </w:rPr>
        <w:t>The family claims a child care deduction to enable a family member to further his or her education</w:t>
      </w:r>
      <w:r w:rsidRPr="0000040C">
        <w:rPr>
          <w:rFonts w:cs="Arial"/>
          <w:iCs/>
          <w:color w:val="000000"/>
          <w:szCs w:val="20"/>
        </w:rPr>
        <w:t>.</w:t>
      </w:r>
    </w:p>
    <w:p w14:paraId="18398AC5" w14:textId="77777777" w:rsidR="00F67CB3" w:rsidRPr="00F67CB3" w:rsidRDefault="00C838AF" w:rsidP="00F67CB3">
      <w:pPr>
        <w:spacing w:after="120"/>
        <w:rPr>
          <w:rFonts w:cs="Arial"/>
          <w:color w:val="000000"/>
          <w:szCs w:val="20"/>
        </w:rPr>
      </w:pPr>
      <w:r>
        <w:rPr>
          <w:rFonts w:cs="Arial"/>
          <w:color w:val="000000"/>
          <w:szCs w:val="20"/>
        </w:rPr>
        <w:t xml:space="preserve">See </w:t>
      </w:r>
      <w:r>
        <w:rPr>
          <w:rFonts w:cs="Arial"/>
          <w:color w:val="000000"/>
          <w:szCs w:val="20"/>
        </w:rPr>
        <w:fldChar w:fldCharType="begin"/>
      </w:r>
      <w:r>
        <w:rPr>
          <w:rFonts w:cs="Arial"/>
          <w:color w:val="000000"/>
          <w:szCs w:val="20"/>
        </w:rPr>
        <w:instrText xml:space="preserve"> REF FulltimeStudent \h </w:instrText>
      </w:r>
      <w:r>
        <w:rPr>
          <w:rFonts w:cs="Arial"/>
          <w:color w:val="000000"/>
          <w:szCs w:val="20"/>
        </w:rPr>
      </w:r>
      <w:r>
        <w:rPr>
          <w:rFonts w:cs="Arial"/>
          <w:color w:val="000000"/>
          <w:szCs w:val="20"/>
        </w:rPr>
        <w:fldChar w:fldCharType="separate"/>
      </w:r>
      <w:r w:rsidRPr="00C838AF">
        <w:rPr>
          <w:b/>
          <w:bCs/>
          <w:i/>
          <w:iCs/>
          <w:color w:val="0070C0"/>
        </w:rPr>
        <w:t>Full-time student</w:t>
      </w:r>
      <w:r w:rsidRPr="001F34CE">
        <w:rPr>
          <w:b/>
          <w:bCs/>
        </w:rPr>
        <w:t xml:space="preserve"> </w:t>
      </w:r>
      <w:r>
        <w:rPr>
          <w:rFonts w:cs="Arial"/>
          <w:color w:val="000000"/>
          <w:szCs w:val="20"/>
        </w:rPr>
        <w:fldChar w:fldCharType="end"/>
      </w:r>
      <w:r>
        <w:rPr>
          <w:rFonts w:cs="Arial"/>
          <w:color w:val="000000"/>
          <w:szCs w:val="20"/>
        </w:rPr>
        <w:t>in the Glossary of this ACOP</w:t>
      </w:r>
      <w:r w:rsidR="001640BC">
        <w:rPr>
          <w:rFonts w:cs="Arial"/>
          <w:color w:val="000000"/>
          <w:szCs w:val="20"/>
        </w:rPr>
        <w:t>.</w:t>
      </w:r>
      <w:r>
        <w:rPr>
          <w:rFonts w:cs="Arial"/>
          <w:color w:val="000000"/>
          <w:szCs w:val="20"/>
        </w:rPr>
        <w:t xml:space="preserve"> </w:t>
      </w:r>
    </w:p>
    <w:p w14:paraId="728D71AB" w14:textId="77777777" w:rsidR="00366CF8" w:rsidRDefault="006F0AAD" w:rsidP="006F0AAD">
      <w:pPr>
        <w:pStyle w:val="Heading4"/>
      </w:pPr>
      <w:bookmarkStart w:id="1431" w:name="_Ref155179307"/>
      <w:r>
        <w:t>Verification of Student Financial Assistance and Fees</w:t>
      </w:r>
      <w:bookmarkEnd w:id="1431"/>
    </w:p>
    <w:p w14:paraId="374E9F9D" w14:textId="77777777" w:rsidR="006F0AAD" w:rsidRPr="007D4817" w:rsidRDefault="006F0AAD" w:rsidP="007D4817">
      <w:pPr>
        <w:autoSpaceDE w:val="0"/>
        <w:autoSpaceDN w:val="0"/>
        <w:adjustRightInd w:val="0"/>
        <w:rPr>
          <w:rFonts w:cs="Arial"/>
          <w:color w:val="000000"/>
          <w:szCs w:val="20"/>
        </w:rPr>
      </w:pPr>
      <w:r w:rsidRPr="007D4817">
        <w:rPr>
          <w:rFonts w:cs="Arial"/>
          <w:color w:val="000000"/>
          <w:szCs w:val="20"/>
        </w:rPr>
        <w:t>HHA will request written third-party verification of both the source and the amount of student financial assistance. Family-provided documents from the educational institution attended by the student will be requested, as well as documents generated by any other person or entity providing such assistance, as reported by the student.</w:t>
      </w:r>
    </w:p>
    <w:p w14:paraId="5E4E127D" w14:textId="77777777" w:rsidR="006F0AAD" w:rsidRPr="007D4817" w:rsidRDefault="006F0AAD" w:rsidP="007D4817">
      <w:pPr>
        <w:autoSpaceDE w:val="0"/>
        <w:autoSpaceDN w:val="0"/>
        <w:adjustRightInd w:val="0"/>
        <w:rPr>
          <w:rFonts w:cs="Arial"/>
          <w:color w:val="000000"/>
          <w:szCs w:val="20"/>
        </w:rPr>
      </w:pPr>
      <w:r w:rsidRPr="007D4817">
        <w:rPr>
          <w:rFonts w:cs="Arial"/>
          <w:color w:val="000000"/>
          <w:szCs w:val="20"/>
        </w:rPr>
        <w:t xml:space="preserve">In addition, unless the student’s only source of assistance is assistance under Title IV of the </w:t>
      </w:r>
      <w:r w:rsidR="00AF4092" w:rsidRPr="00493139">
        <w:t>Higher Education Act of 1965</w:t>
      </w:r>
      <w:r w:rsidRPr="007D4817">
        <w:rPr>
          <w:rFonts w:cs="Arial"/>
          <w:color w:val="000000"/>
          <w:szCs w:val="20"/>
        </w:rPr>
        <w:t xml:space="preserve">, </w:t>
      </w:r>
      <w:r w:rsidR="007D4817" w:rsidRPr="007D4817">
        <w:rPr>
          <w:rFonts w:cs="Arial"/>
          <w:color w:val="000000"/>
          <w:szCs w:val="20"/>
        </w:rPr>
        <w:t>HHA</w:t>
      </w:r>
      <w:r w:rsidRPr="007D4817">
        <w:rPr>
          <w:rFonts w:cs="Arial"/>
          <w:color w:val="000000"/>
          <w:szCs w:val="20"/>
        </w:rPr>
        <w:t xml:space="preserve"> will request </w:t>
      </w:r>
      <w:bookmarkStart w:id="1432" w:name="_Hlk135908156"/>
      <w:r w:rsidRPr="007D4817">
        <w:rPr>
          <w:rFonts w:cs="Arial"/>
          <w:color w:val="000000"/>
          <w:szCs w:val="20"/>
        </w:rPr>
        <w:t>written verification of the cost of the student’s tuition, books, supplies, room and board, and other required fees and charges to the student from the educational institution.</w:t>
      </w:r>
    </w:p>
    <w:bookmarkEnd w:id="1432"/>
    <w:p w14:paraId="7428380C" w14:textId="77777777" w:rsidR="006F0AAD" w:rsidRPr="00366CF8" w:rsidRDefault="006F0AAD" w:rsidP="007D4817">
      <w:pPr>
        <w:autoSpaceDE w:val="0"/>
        <w:autoSpaceDN w:val="0"/>
        <w:adjustRightInd w:val="0"/>
        <w:rPr>
          <w:rFonts w:cs="Arial"/>
          <w:color w:val="000000"/>
          <w:szCs w:val="20"/>
        </w:rPr>
      </w:pPr>
      <w:r w:rsidRPr="007D4817">
        <w:rPr>
          <w:rFonts w:cs="Arial"/>
          <w:color w:val="000000"/>
          <w:szCs w:val="20"/>
        </w:rPr>
        <w:t xml:space="preserve">If </w:t>
      </w:r>
      <w:r w:rsidR="007D4817" w:rsidRPr="007D4817">
        <w:rPr>
          <w:rFonts w:cs="Arial"/>
          <w:color w:val="000000"/>
          <w:szCs w:val="20"/>
        </w:rPr>
        <w:t>HHA</w:t>
      </w:r>
      <w:r w:rsidRPr="007D4817">
        <w:rPr>
          <w:rFonts w:cs="Arial"/>
          <w:color w:val="000000"/>
          <w:szCs w:val="20"/>
        </w:rPr>
        <w:t xml:space="preserve"> is unable to obtain third-party written verification of the requested information, </w:t>
      </w:r>
      <w:r w:rsidR="00293095">
        <w:rPr>
          <w:rFonts w:cs="Arial"/>
          <w:color w:val="000000"/>
          <w:szCs w:val="20"/>
        </w:rPr>
        <w:t>H</w:t>
      </w:r>
      <w:r w:rsidRPr="007D4817">
        <w:rPr>
          <w:rFonts w:cs="Arial"/>
          <w:color w:val="000000"/>
          <w:szCs w:val="20"/>
        </w:rPr>
        <w:t>HA will pursue other forms of verification</w:t>
      </w:r>
      <w:r w:rsidR="00731E37">
        <w:rPr>
          <w:rFonts w:cs="Arial"/>
          <w:color w:val="000000"/>
          <w:szCs w:val="20"/>
        </w:rPr>
        <w:t xml:space="preserve"> following the verification hierarchy</w:t>
      </w:r>
      <w:r w:rsidR="007D4817" w:rsidRPr="007D4817">
        <w:rPr>
          <w:rFonts w:cs="Arial"/>
          <w:color w:val="000000"/>
          <w:szCs w:val="20"/>
        </w:rPr>
        <w:t>.</w:t>
      </w:r>
    </w:p>
    <w:p w14:paraId="45FB211D" w14:textId="77777777" w:rsidR="00342DCB" w:rsidRPr="005E39EB" w:rsidRDefault="00342DCB" w:rsidP="00677451">
      <w:pPr>
        <w:pStyle w:val="Heading3"/>
      </w:pPr>
      <w:bookmarkStart w:id="1433" w:name="_Toc516735461"/>
      <w:bookmarkStart w:id="1434" w:name="_Toc527019460"/>
      <w:bookmarkStart w:id="1435" w:name="_Toc534706998"/>
      <w:bookmarkStart w:id="1436" w:name="_Toc534707676"/>
      <w:bookmarkStart w:id="1437" w:name="_Toc534708484"/>
      <w:bookmarkStart w:id="1438" w:name="_Ref1541100"/>
      <w:bookmarkStart w:id="1439" w:name="_Toc118116068"/>
      <w:bookmarkStart w:id="1440" w:name="_Toc200375651"/>
      <w:r w:rsidRPr="00765546">
        <w:t xml:space="preserve">Verification </w:t>
      </w:r>
      <w:r>
        <w:t>o</w:t>
      </w:r>
      <w:r w:rsidRPr="00765546">
        <w:t>f Disability</w:t>
      </w:r>
      <w:bookmarkEnd w:id="1433"/>
      <w:bookmarkEnd w:id="1434"/>
      <w:bookmarkEnd w:id="1435"/>
      <w:bookmarkEnd w:id="1436"/>
      <w:bookmarkEnd w:id="1437"/>
      <w:bookmarkEnd w:id="1438"/>
      <w:bookmarkEnd w:id="1439"/>
      <w:bookmarkEnd w:id="1440"/>
      <w:r w:rsidRPr="00765546">
        <w:t xml:space="preserve"> </w:t>
      </w:r>
    </w:p>
    <w:p w14:paraId="4E324002" w14:textId="77777777" w:rsidR="00342DCB" w:rsidRPr="00765546" w:rsidRDefault="00342DCB" w:rsidP="00342DCB">
      <w:pPr>
        <w:autoSpaceDE w:val="0"/>
        <w:autoSpaceDN w:val="0"/>
        <w:adjustRightInd w:val="0"/>
        <w:rPr>
          <w:rFonts w:cs="Arial"/>
          <w:color w:val="000000"/>
          <w:szCs w:val="20"/>
        </w:rPr>
      </w:pPr>
      <w:r>
        <w:rPr>
          <w:rFonts w:cs="Arial"/>
          <w:color w:val="000000"/>
          <w:szCs w:val="20"/>
        </w:rPr>
        <w:t>HHA</w:t>
      </w:r>
      <w:r w:rsidRPr="00765546">
        <w:rPr>
          <w:rFonts w:cs="Arial"/>
          <w:color w:val="000000"/>
          <w:szCs w:val="20"/>
        </w:rPr>
        <w:t xml:space="preserve"> will verify the existence of a disability in order to determine waiting list preferences </w:t>
      </w:r>
      <w:r w:rsidR="002C7E44">
        <w:rPr>
          <w:rFonts w:cs="Arial"/>
          <w:color w:val="000000"/>
          <w:szCs w:val="20"/>
        </w:rPr>
        <w:t xml:space="preserve">(as applicable) </w:t>
      </w:r>
      <w:r w:rsidRPr="00765546">
        <w:rPr>
          <w:rFonts w:cs="Arial"/>
          <w:color w:val="000000"/>
          <w:szCs w:val="20"/>
        </w:rPr>
        <w:t xml:space="preserve">and in order to allow certain income disallowances and deductions from income.  </w:t>
      </w:r>
    </w:p>
    <w:p w14:paraId="78CE6AD5" w14:textId="466A8F5E" w:rsidR="00342DCB" w:rsidRPr="00765546" w:rsidRDefault="00342DCB" w:rsidP="00342DCB">
      <w:pPr>
        <w:autoSpaceDE w:val="0"/>
        <w:autoSpaceDN w:val="0"/>
        <w:adjustRightInd w:val="0"/>
        <w:rPr>
          <w:rFonts w:cs="Arial"/>
          <w:color w:val="000000"/>
          <w:szCs w:val="20"/>
        </w:rPr>
      </w:pPr>
      <w:r w:rsidRPr="00765546">
        <w:rPr>
          <w:rFonts w:cs="Arial"/>
          <w:color w:val="000000"/>
          <w:szCs w:val="20"/>
        </w:rPr>
        <w:t xml:space="preserve">For family members claiming disability who receive disability benefits from the SSA, </w:t>
      </w:r>
      <w:r>
        <w:rPr>
          <w:rFonts w:cs="Arial"/>
          <w:color w:val="000000"/>
          <w:szCs w:val="20"/>
        </w:rPr>
        <w:t>HHA</w:t>
      </w:r>
      <w:r w:rsidRPr="00765546">
        <w:rPr>
          <w:rFonts w:cs="Arial"/>
          <w:color w:val="000000"/>
          <w:szCs w:val="20"/>
        </w:rPr>
        <w:t xml:space="preserve"> will attempt to obtain information about disability benefits through the HUD Enterprise Income Verification (EIV) system. If documentation from HUD’s EIV System is not available, </w:t>
      </w:r>
      <w:r>
        <w:rPr>
          <w:rFonts w:cs="Arial"/>
          <w:color w:val="000000"/>
          <w:szCs w:val="20"/>
        </w:rPr>
        <w:t>HHA</w:t>
      </w:r>
      <w:r w:rsidRPr="00765546">
        <w:rPr>
          <w:rFonts w:cs="Arial"/>
          <w:color w:val="000000"/>
          <w:szCs w:val="20"/>
        </w:rPr>
        <w:t xml:space="preserve"> will request a current (dated within </w:t>
      </w:r>
      <w:r w:rsidRPr="00B04A17">
        <w:rPr>
          <w:rFonts w:cs="Arial"/>
          <w:color w:val="000000"/>
          <w:szCs w:val="20"/>
        </w:rPr>
        <w:t xml:space="preserve">the </w:t>
      </w:r>
      <w:r w:rsidR="005C05FA">
        <w:rPr>
          <w:rFonts w:cs="Arial"/>
          <w:color w:val="000000"/>
          <w:szCs w:val="20"/>
        </w:rPr>
        <w:t>current benefit year</w:t>
      </w:r>
      <w:r w:rsidRPr="00B04A17">
        <w:rPr>
          <w:rFonts w:cs="Arial"/>
          <w:color w:val="000000"/>
          <w:szCs w:val="20"/>
        </w:rPr>
        <w:t>) SSA benefit verification letter from each family member claiming disability status.</w:t>
      </w:r>
      <w:r w:rsidRPr="00765546">
        <w:rPr>
          <w:rFonts w:cs="Arial"/>
          <w:color w:val="000000"/>
          <w:szCs w:val="20"/>
        </w:rPr>
        <w:t xml:space="preserve"> </w:t>
      </w:r>
    </w:p>
    <w:p w14:paraId="21E572FA" w14:textId="77777777" w:rsidR="00496A28" w:rsidRDefault="00496A28" w:rsidP="00496A28">
      <w:r w:rsidRPr="004926A1">
        <w:t>Receipt of veteran’s disability benefits, worker’s compensation, or other non-SSA benefits based on the individual’s claimed disability are not sufficient verification that the individual meets HUD’s definition of disability in 24 CFR 5.</w:t>
      </w:r>
      <w:r>
        <w:t>4</w:t>
      </w:r>
      <w:r w:rsidRPr="004926A1">
        <w:t>03</w:t>
      </w:r>
      <w:r>
        <w:t>.</w:t>
      </w:r>
    </w:p>
    <w:p w14:paraId="7A78B590" w14:textId="77777777" w:rsidR="00342DCB" w:rsidRPr="00765546" w:rsidRDefault="00342DCB" w:rsidP="00342DCB">
      <w:r w:rsidRPr="00765546">
        <w:t>For family members claiming disability who do not receive disability benefits from the SSA, a knowledgeable professional must provide third-party verification that the family member meets the HUD definition of disability</w:t>
      </w:r>
      <w:r w:rsidR="002821D0">
        <w:t xml:space="preserve"> (see </w:t>
      </w:r>
      <w:r w:rsidR="002821D0" w:rsidRPr="002821D0">
        <w:rPr>
          <w:b/>
          <w:bCs/>
          <w:color w:val="0070C0"/>
        </w:rPr>
        <w:fldChar w:fldCharType="begin"/>
      </w:r>
      <w:r w:rsidR="002821D0" w:rsidRPr="002821D0">
        <w:rPr>
          <w:b/>
          <w:bCs/>
          <w:color w:val="0070C0"/>
        </w:rPr>
        <w:instrText xml:space="preserve"> REF _Ref150863054 \h  \* MERGEFORMAT </w:instrText>
      </w:r>
      <w:r w:rsidR="002821D0" w:rsidRPr="002821D0">
        <w:rPr>
          <w:b/>
          <w:bCs/>
          <w:color w:val="0070C0"/>
        </w:rPr>
      </w:r>
      <w:r w:rsidR="002821D0" w:rsidRPr="002821D0">
        <w:rPr>
          <w:b/>
          <w:bCs/>
          <w:color w:val="0070C0"/>
        </w:rPr>
        <w:fldChar w:fldCharType="separate"/>
      </w:r>
      <w:r w:rsidR="002821D0" w:rsidRPr="002821D0">
        <w:rPr>
          <w:b/>
          <w:bCs/>
          <w:color w:val="0070C0"/>
        </w:rPr>
        <w:t>Disabled Deduction: Definition of a Person with a Disability</w:t>
      </w:r>
      <w:r w:rsidR="002821D0" w:rsidRPr="002821D0">
        <w:rPr>
          <w:b/>
          <w:bCs/>
          <w:color w:val="0070C0"/>
        </w:rPr>
        <w:fldChar w:fldCharType="end"/>
      </w:r>
      <w:r w:rsidR="002821D0">
        <w:t>)</w:t>
      </w:r>
      <w:r w:rsidRPr="00765546">
        <w:t>. The knowledgeable professional will verify whether the family member does or does not meet the HUD definition of disability.</w:t>
      </w:r>
    </w:p>
    <w:p w14:paraId="03DA3FDD" w14:textId="77777777" w:rsidR="00342DCB" w:rsidRPr="005E39EB" w:rsidRDefault="00342DCB" w:rsidP="00677451">
      <w:pPr>
        <w:pStyle w:val="Heading3"/>
      </w:pPr>
      <w:bookmarkStart w:id="1441" w:name="_Verification_of_U.S."/>
      <w:bookmarkStart w:id="1442" w:name="_Toc516735462"/>
      <w:bookmarkStart w:id="1443" w:name="_Toc527019461"/>
      <w:bookmarkStart w:id="1444" w:name="_Toc534706999"/>
      <w:bookmarkStart w:id="1445" w:name="_Toc534707677"/>
      <w:bookmarkStart w:id="1446" w:name="_Toc534708485"/>
      <w:bookmarkStart w:id="1447" w:name="_Ref1542153"/>
      <w:bookmarkStart w:id="1448" w:name="_Ref1571122"/>
      <w:bookmarkStart w:id="1449" w:name="_Toc118116069"/>
      <w:bookmarkStart w:id="1450" w:name="_Ref149128791"/>
      <w:bookmarkStart w:id="1451" w:name="_Ref163720832"/>
      <w:bookmarkStart w:id="1452" w:name="_Toc200375652"/>
      <w:bookmarkEnd w:id="1441"/>
      <w:r w:rsidRPr="00765546">
        <w:t xml:space="preserve">Verification </w:t>
      </w:r>
      <w:r>
        <w:t>o</w:t>
      </w:r>
      <w:r w:rsidRPr="00765546">
        <w:t xml:space="preserve">f U.S. Citizenship </w:t>
      </w:r>
      <w:r>
        <w:t>a</w:t>
      </w:r>
      <w:r w:rsidRPr="00765546">
        <w:t xml:space="preserve">nd </w:t>
      </w:r>
      <w:r>
        <w:t>o</w:t>
      </w:r>
      <w:r w:rsidRPr="00765546">
        <w:t>f Eligible Immigration Status</w:t>
      </w:r>
      <w:bookmarkEnd w:id="1442"/>
      <w:bookmarkEnd w:id="1443"/>
      <w:bookmarkEnd w:id="1444"/>
      <w:bookmarkEnd w:id="1445"/>
      <w:bookmarkEnd w:id="1446"/>
      <w:bookmarkEnd w:id="1447"/>
      <w:bookmarkEnd w:id="1448"/>
      <w:bookmarkEnd w:id="1449"/>
      <w:bookmarkEnd w:id="1450"/>
      <w:bookmarkEnd w:id="1451"/>
      <w:bookmarkEnd w:id="1452"/>
    </w:p>
    <w:p w14:paraId="66D0C026" w14:textId="77777777" w:rsidR="00342DCB" w:rsidRPr="00765546" w:rsidRDefault="00582E50" w:rsidP="00342DCB">
      <w:pPr>
        <w:autoSpaceDE w:val="0"/>
        <w:autoSpaceDN w:val="0"/>
        <w:adjustRightInd w:val="0"/>
        <w:rPr>
          <w:rFonts w:cs="Arial"/>
          <w:color w:val="000000"/>
          <w:szCs w:val="20"/>
        </w:rPr>
      </w:pPr>
      <w:r>
        <w:t>HUD requires the family to</w:t>
      </w:r>
      <w:r w:rsidRPr="00493139">
        <w:t xml:space="preserve"> provide a certification that identifies each family member as a U.S. citizen, a U.S. national, an eligible noncitizen or an ineligible noncitizen</w:t>
      </w:r>
      <w:r w:rsidR="00980FD9">
        <w:t>. The</w:t>
      </w:r>
      <w:r w:rsidRPr="00493139">
        <w:t xml:space="preserve"> </w:t>
      </w:r>
      <w:r w:rsidR="00342DCB" w:rsidRPr="00765546">
        <w:rPr>
          <w:rFonts w:cs="Arial"/>
          <w:color w:val="000000"/>
          <w:szCs w:val="20"/>
        </w:rPr>
        <w:t xml:space="preserve">declaration must be signed personally by any family member 18 or older </w:t>
      </w:r>
      <w:r w:rsidR="00FF11DE">
        <w:rPr>
          <w:rFonts w:cs="Arial"/>
          <w:color w:val="000000"/>
          <w:szCs w:val="20"/>
        </w:rPr>
        <w:t>or</w:t>
      </w:r>
      <w:r w:rsidR="00342DCB" w:rsidRPr="00765546">
        <w:rPr>
          <w:rFonts w:cs="Arial"/>
          <w:color w:val="000000"/>
          <w:szCs w:val="20"/>
        </w:rPr>
        <w:t xml:space="preserve"> by a guardian for minors.</w:t>
      </w:r>
    </w:p>
    <w:p w14:paraId="71685ADA" w14:textId="77777777" w:rsidR="00342DCB" w:rsidRPr="005E39EB" w:rsidRDefault="00342DCB" w:rsidP="00342DCB">
      <w:pPr>
        <w:autoSpaceDE w:val="0"/>
        <w:autoSpaceDN w:val="0"/>
        <w:adjustRightInd w:val="0"/>
        <w:rPr>
          <w:rFonts w:cs="Arial"/>
          <w:color w:val="000000"/>
          <w:szCs w:val="20"/>
        </w:rPr>
      </w:pPr>
      <w:r w:rsidRPr="00765546">
        <w:rPr>
          <w:rFonts w:cs="Arial"/>
          <w:color w:val="000000"/>
          <w:szCs w:val="20"/>
        </w:rPr>
        <w:t xml:space="preserve">Family members who claim U.S. citizenship or national status will not be required to provide additional documentation unless </w:t>
      </w:r>
      <w:r>
        <w:rPr>
          <w:rFonts w:cs="Arial"/>
          <w:color w:val="000000"/>
          <w:szCs w:val="20"/>
        </w:rPr>
        <w:t>HHA</w:t>
      </w:r>
      <w:r w:rsidRPr="00765546">
        <w:rPr>
          <w:rFonts w:cs="Arial"/>
          <w:szCs w:val="20"/>
        </w:rPr>
        <w:t xml:space="preserve"> </w:t>
      </w:r>
      <w:r w:rsidRPr="00765546">
        <w:rPr>
          <w:rFonts w:cs="Arial"/>
          <w:color w:val="000000"/>
          <w:szCs w:val="20"/>
        </w:rPr>
        <w:t>receives information indicating that an individual’s declaration may not be accurate.</w:t>
      </w:r>
    </w:p>
    <w:p w14:paraId="4B72505C" w14:textId="77777777" w:rsidR="00342DCB" w:rsidRPr="00765546" w:rsidRDefault="00342DCB" w:rsidP="00342DCB">
      <w:pPr>
        <w:autoSpaceDE w:val="0"/>
        <w:autoSpaceDN w:val="0"/>
        <w:adjustRightInd w:val="0"/>
        <w:rPr>
          <w:rFonts w:cs="Arial"/>
          <w:color w:val="000000"/>
          <w:szCs w:val="20"/>
        </w:rPr>
      </w:pPr>
      <w:r w:rsidRPr="00765546">
        <w:rPr>
          <w:rFonts w:cs="Arial"/>
          <w:color w:val="000000"/>
          <w:szCs w:val="20"/>
        </w:rPr>
        <w:t xml:space="preserve">The documentation required for eligible </w:t>
      </w:r>
      <w:r w:rsidR="009320AF">
        <w:rPr>
          <w:rFonts w:cs="Arial"/>
          <w:color w:val="000000"/>
          <w:szCs w:val="20"/>
        </w:rPr>
        <w:t>noncitizen</w:t>
      </w:r>
      <w:r w:rsidRPr="00765546">
        <w:rPr>
          <w:rFonts w:cs="Arial"/>
          <w:color w:val="000000"/>
          <w:szCs w:val="20"/>
        </w:rPr>
        <w:t>s varies depending upon factors such as the date the person entered the U.S., the conditions under which eligible immigration status has been granted, age, and the date on which the family began receiving HUD-funded assistance.</w:t>
      </w:r>
    </w:p>
    <w:p w14:paraId="7B81BA4D" w14:textId="77777777" w:rsidR="00342DCB" w:rsidRPr="00765546" w:rsidRDefault="00342DCB" w:rsidP="00342DCB">
      <w:pPr>
        <w:autoSpaceDE w:val="0"/>
        <w:autoSpaceDN w:val="0"/>
        <w:adjustRightInd w:val="0"/>
        <w:rPr>
          <w:rFonts w:cs="Arial"/>
          <w:color w:val="000000"/>
          <w:szCs w:val="20"/>
        </w:rPr>
      </w:pPr>
      <w:r w:rsidRPr="00765546">
        <w:rPr>
          <w:rFonts w:cs="Arial"/>
          <w:color w:val="000000"/>
          <w:szCs w:val="20"/>
        </w:rPr>
        <w:t>For family members age 62 or older who claim to be eligible immigrants, proof of age is required; however, no further verification of eligible immigration status is required.</w:t>
      </w:r>
    </w:p>
    <w:p w14:paraId="3AD516DB" w14:textId="77777777" w:rsidR="00342DCB" w:rsidRPr="00765546" w:rsidRDefault="00342DCB" w:rsidP="00342DCB">
      <w:pPr>
        <w:autoSpaceDE w:val="0"/>
        <w:autoSpaceDN w:val="0"/>
        <w:adjustRightInd w:val="0"/>
        <w:rPr>
          <w:rFonts w:cs="Arial"/>
          <w:color w:val="000000"/>
          <w:szCs w:val="20"/>
        </w:rPr>
      </w:pPr>
      <w:r w:rsidRPr="00765546">
        <w:rPr>
          <w:rFonts w:cs="Arial"/>
          <w:color w:val="000000"/>
          <w:szCs w:val="20"/>
        </w:rPr>
        <w:t xml:space="preserve">For family members under the age of 62 who claim to be eligible immigrants, </w:t>
      </w:r>
      <w:r>
        <w:rPr>
          <w:rFonts w:cs="Arial"/>
          <w:color w:val="000000"/>
          <w:szCs w:val="20"/>
        </w:rPr>
        <w:t>HHA</w:t>
      </w:r>
      <w:r w:rsidRPr="00765546">
        <w:rPr>
          <w:rFonts w:cs="Arial"/>
          <w:color w:val="000000"/>
          <w:szCs w:val="20"/>
        </w:rPr>
        <w:t xml:space="preserve"> will verify immigration status with the U.S. Citizenship and Immigration Services (USCIS). </w:t>
      </w:r>
      <w:r>
        <w:rPr>
          <w:rFonts w:cs="Arial"/>
          <w:color w:val="000000"/>
          <w:szCs w:val="20"/>
        </w:rPr>
        <w:t>HHA</w:t>
      </w:r>
      <w:r w:rsidRPr="00765546">
        <w:rPr>
          <w:rFonts w:cs="Arial"/>
          <w:color w:val="000000"/>
          <w:szCs w:val="20"/>
        </w:rPr>
        <w:t xml:space="preserve"> will follow all USCIS protocols for verification of eligible immigration status.</w:t>
      </w:r>
    </w:p>
    <w:p w14:paraId="1BDAA534" w14:textId="77777777" w:rsidR="00342DCB" w:rsidRPr="00765546" w:rsidRDefault="00342DCB" w:rsidP="00677451">
      <w:pPr>
        <w:pStyle w:val="Heading3"/>
      </w:pPr>
      <w:bookmarkStart w:id="1453" w:name="_Toc118116070"/>
      <w:bookmarkStart w:id="1454" w:name="_Ref156399576"/>
      <w:bookmarkStart w:id="1455" w:name="_Toc200375653"/>
      <w:r w:rsidRPr="00765546">
        <w:t xml:space="preserve">Verification </w:t>
      </w:r>
      <w:r>
        <w:t>o</w:t>
      </w:r>
      <w:r w:rsidRPr="00765546">
        <w:t>f Preference Status</w:t>
      </w:r>
      <w:bookmarkEnd w:id="1453"/>
      <w:bookmarkEnd w:id="1454"/>
      <w:bookmarkEnd w:id="1455"/>
    </w:p>
    <w:p w14:paraId="2E0086F8" w14:textId="77777777" w:rsidR="00342DCB" w:rsidRPr="00DC7C3D" w:rsidRDefault="00342DCB" w:rsidP="00342DCB">
      <w:pPr>
        <w:autoSpaceDE w:val="0"/>
        <w:autoSpaceDN w:val="0"/>
        <w:adjustRightInd w:val="0"/>
        <w:rPr>
          <w:rFonts w:cs="Arial"/>
          <w:color w:val="000000"/>
        </w:rPr>
      </w:pPr>
      <w:bookmarkStart w:id="1456" w:name="_Hlk147415830"/>
      <w:r w:rsidRPr="00DC7C3D">
        <w:rPr>
          <w:rFonts w:eastAsia="Arial" w:cs="Arial"/>
          <w:kern w:val="0"/>
          <w:lang w:bidi="en-US"/>
          <w14:ligatures w14:val="none"/>
        </w:rPr>
        <w:t xml:space="preserve">HHA must verify any preferences claimed by an applicant that determined placement on the waiting list. Preferences are covered in detail in </w:t>
      </w:r>
      <w:hyperlink w:anchor="_Local_Preferences" w:history="1">
        <w:r w:rsidR="004C15C0" w:rsidRPr="004C15C0">
          <w:rPr>
            <w:rStyle w:val="OurLinksChar"/>
          </w:rPr>
          <w:fldChar w:fldCharType="begin"/>
        </w:r>
        <w:r w:rsidR="004C15C0" w:rsidRPr="004C15C0">
          <w:rPr>
            <w:rStyle w:val="OurLinksChar"/>
          </w:rPr>
          <w:instrText xml:space="preserve"> REF _Ref147153948 \h </w:instrText>
        </w:r>
        <w:r w:rsidR="004C15C0">
          <w:rPr>
            <w:rStyle w:val="OurLinksChar"/>
          </w:rPr>
          <w:instrText xml:space="preserve"> \* MERGEFORMAT </w:instrText>
        </w:r>
        <w:r w:rsidR="004C15C0" w:rsidRPr="004C15C0">
          <w:rPr>
            <w:rStyle w:val="OurLinksChar"/>
          </w:rPr>
        </w:r>
        <w:r w:rsidR="004C15C0" w:rsidRPr="004C15C0">
          <w:rPr>
            <w:rStyle w:val="OurLinksChar"/>
          </w:rPr>
          <w:fldChar w:fldCharType="separate"/>
        </w:r>
        <w:r w:rsidR="004C15C0" w:rsidRPr="004C15C0">
          <w:rPr>
            <w:rStyle w:val="OurLinksChar"/>
          </w:rPr>
          <w:t>Local Preferences</w:t>
        </w:r>
        <w:r w:rsidR="004C15C0" w:rsidRPr="004C15C0">
          <w:rPr>
            <w:rStyle w:val="OurLinksChar"/>
          </w:rPr>
          <w:fldChar w:fldCharType="end"/>
        </w:r>
      </w:hyperlink>
      <w:r w:rsidRPr="00DC7C3D">
        <w:rPr>
          <w:rFonts w:eastAsia="Arial" w:cs="Arial"/>
          <w:kern w:val="0"/>
          <w:lang w:bidi="en-US"/>
          <w14:ligatures w14:val="none"/>
        </w:rPr>
        <w:t>.</w:t>
      </w:r>
    </w:p>
    <w:p w14:paraId="6546B215" w14:textId="77777777" w:rsidR="00342DCB" w:rsidRPr="00765546" w:rsidRDefault="00342DCB" w:rsidP="00BB64BD">
      <w:pPr>
        <w:pStyle w:val="Heading2"/>
      </w:pPr>
      <w:bookmarkStart w:id="1457" w:name="_Toc516735463"/>
      <w:bookmarkStart w:id="1458" w:name="_Toc527019462"/>
      <w:bookmarkStart w:id="1459" w:name="_Toc534707000"/>
      <w:bookmarkStart w:id="1460" w:name="_Toc534707678"/>
      <w:bookmarkStart w:id="1461" w:name="_Toc534708486"/>
      <w:bookmarkStart w:id="1462" w:name="_Toc118116071"/>
      <w:bookmarkStart w:id="1463" w:name="_Toc148010421"/>
      <w:bookmarkStart w:id="1464" w:name="_Toc173222701"/>
      <w:bookmarkStart w:id="1465" w:name="_Toc200375654"/>
      <w:bookmarkStart w:id="1466" w:name="_Toc200376967"/>
      <w:bookmarkEnd w:id="1456"/>
      <w:r w:rsidRPr="00117188">
        <w:t>Verification</w:t>
      </w:r>
      <w:r w:rsidRPr="00765546">
        <w:t xml:space="preserve"> </w:t>
      </w:r>
      <w:r>
        <w:t>o</w:t>
      </w:r>
      <w:r w:rsidRPr="00765546">
        <w:t>f Income</w:t>
      </w:r>
      <w:bookmarkEnd w:id="1457"/>
      <w:bookmarkEnd w:id="1458"/>
      <w:bookmarkEnd w:id="1459"/>
      <w:bookmarkEnd w:id="1460"/>
      <w:bookmarkEnd w:id="1461"/>
      <w:bookmarkEnd w:id="1462"/>
      <w:bookmarkEnd w:id="1463"/>
      <w:bookmarkEnd w:id="1464"/>
      <w:bookmarkEnd w:id="1465"/>
      <w:bookmarkEnd w:id="1466"/>
    </w:p>
    <w:p w14:paraId="642AAF3C" w14:textId="77777777" w:rsidR="00342DCB" w:rsidRDefault="00342DCB" w:rsidP="00342DCB">
      <w:pPr>
        <w:rPr>
          <w:rFonts w:cs="Arial"/>
          <w:szCs w:val="20"/>
        </w:rPr>
      </w:pPr>
      <w:r>
        <w:rPr>
          <w:rFonts w:cs="Arial"/>
          <w:szCs w:val="20"/>
        </w:rPr>
        <w:t>HHA</w:t>
      </w:r>
      <w:r w:rsidRPr="00765546">
        <w:rPr>
          <w:rFonts w:cs="Arial"/>
          <w:szCs w:val="20"/>
        </w:rPr>
        <w:t xml:space="preserve"> will verify income using applicable regulatory and </w:t>
      </w:r>
      <w:r>
        <w:rPr>
          <w:rFonts w:cs="Arial"/>
          <w:szCs w:val="20"/>
        </w:rPr>
        <w:t>HHA</w:t>
      </w:r>
      <w:r w:rsidRPr="00765546">
        <w:rPr>
          <w:rFonts w:cs="Arial"/>
          <w:szCs w:val="20"/>
        </w:rPr>
        <w:t xml:space="preserve"> policies and procedures.</w:t>
      </w:r>
      <w:r>
        <w:rPr>
          <w:rFonts w:cs="Arial"/>
          <w:szCs w:val="20"/>
        </w:rPr>
        <w:t xml:space="preserve"> Applicable requirements may differ as noted below:</w:t>
      </w:r>
    </w:p>
    <w:p w14:paraId="5DE18354" w14:textId="77777777" w:rsidR="00CF738F" w:rsidRDefault="00CF738F" w:rsidP="00CB52D8">
      <w:pPr>
        <w:pStyle w:val="ListParagraph"/>
        <w:numPr>
          <w:ilvl w:val="0"/>
          <w:numId w:val="73"/>
        </w:numPr>
        <w:spacing w:after="120"/>
        <w:contextualSpacing w:val="0"/>
        <w:rPr>
          <w:b/>
          <w:bCs/>
        </w:rPr>
      </w:pPr>
      <w:r>
        <w:rPr>
          <w:b/>
          <w:bCs/>
        </w:rPr>
        <w:t>MTW Tiered Rent Households:</w:t>
      </w:r>
    </w:p>
    <w:p w14:paraId="5491884E" w14:textId="528F489D" w:rsidR="00342DCB" w:rsidRDefault="00342DCB" w:rsidP="00CF738F">
      <w:pPr>
        <w:pStyle w:val="ListParagraph"/>
        <w:numPr>
          <w:ilvl w:val="1"/>
          <w:numId w:val="73"/>
        </w:numPr>
        <w:spacing w:after="120"/>
        <w:contextualSpacing w:val="0"/>
        <w:rPr>
          <w:b/>
          <w:bCs/>
        </w:rPr>
      </w:pPr>
      <w:r w:rsidRPr="00DD3F36">
        <w:rPr>
          <w:b/>
          <w:bCs/>
        </w:rPr>
        <w:t>At Admissio</w:t>
      </w:r>
      <w:r w:rsidR="00F4187F">
        <w:rPr>
          <w:b/>
          <w:bCs/>
        </w:rPr>
        <w:t>n</w:t>
      </w:r>
      <w:r w:rsidR="00CC0F60">
        <w:rPr>
          <w:b/>
          <w:bCs/>
        </w:rPr>
        <w:t xml:space="preserve"> and Interims</w:t>
      </w:r>
      <w:r w:rsidR="00F4187F">
        <w:rPr>
          <w:b/>
          <w:bCs/>
        </w:rPr>
        <w:t>, Prospective Income</w:t>
      </w:r>
      <w:r w:rsidRPr="00DD3F36">
        <w:rPr>
          <w:b/>
          <w:bCs/>
        </w:rPr>
        <w:t xml:space="preserve"> </w:t>
      </w:r>
    </w:p>
    <w:p w14:paraId="6E270DAC" w14:textId="77777777" w:rsidR="00342DCB" w:rsidRPr="00403A07" w:rsidRDefault="00342DCB" w:rsidP="00342DCB">
      <w:pPr>
        <w:pStyle w:val="ListParagraph"/>
        <w:spacing w:after="120"/>
        <w:contextualSpacing w:val="0"/>
        <w:rPr>
          <w:b/>
          <w:bCs/>
        </w:rPr>
      </w:pPr>
      <w:r w:rsidRPr="00403A07">
        <w:rPr>
          <w:rFonts w:cs="Arial"/>
          <w:szCs w:val="20"/>
        </w:rPr>
        <w:t>When verifying and calculating annual income for a household at initial eligibility screening and admission to the program, HHA will collect and verify current/anticipated</w:t>
      </w:r>
      <w:r w:rsidR="00605E83">
        <w:rPr>
          <w:rFonts w:cs="Arial"/>
          <w:szCs w:val="20"/>
        </w:rPr>
        <w:t xml:space="preserve"> </w:t>
      </w:r>
      <w:r w:rsidRPr="00403A07">
        <w:rPr>
          <w:rFonts w:cs="Arial"/>
          <w:szCs w:val="20"/>
        </w:rPr>
        <w:t xml:space="preserve">income. Generally, anticipated income is calculated by annualizing the income in the last two months of the retrospective period. </w:t>
      </w:r>
    </w:p>
    <w:p w14:paraId="6B446A8E" w14:textId="081B2FD3" w:rsidR="00342DCB" w:rsidRPr="00DD3F36" w:rsidRDefault="00342DCB" w:rsidP="00CF738F">
      <w:pPr>
        <w:pStyle w:val="ListParagraph"/>
        <w:numPr>
          <w:ilvl w:val="1"/>
          <w:numId w:val="73"/>
        </w:numPr>
        <w:spacing w:after="120"/>
        <w:contextualSpacing w:val="0"/>
        <w:rPr>
          <w:b/>
          <w:bCs/>
        </w:rPr>
      </w:pPr>
      <w:r w:rsidRPr="00DD3F36">
        <w:rPr>
          <w:b/>
          <w:bCs/>
        </w:rPr>
        <w:t>Recertifying Households</w:t>
      </w:r>
      <w:r w:rsidR="00F4187F">
        <w:rPr>
          <w:b/>
          <w:bCs/>
        </w:rPr>
        <w:t>, Retrospective Income</w:t>
      </w:r>
      <w:r w:rsidRPr="00DD3F36">
        <w:rPr>
          <w:b/>
          <w:bCs/>
        </w:rPr>
        <w:t xml:space="preserve"> </w:t>
      </w:r>
    </w:p>
    <w:p w14:paraId="3AB8B928" w14:textId="13EAA091" w:rsidR="00342DCB" w:rsidRDefault="0087260A" w:rsidP="00342DCB">
      <w:pPr>
        <w:pStyle w:val="ListParagraph"/>
        <w:spacing w:after="120"/>
        <w:contextualSpacing w:val="0"/>
        <w:rPr>
          <w:rFonts w:cs="Arial"/>
          <w:szCs w:val="20"/>
        </w:rPr>
      </w:pPr>
      <w:r>
        <w:rPr>
          <w:rFonts w:cs="Arial"/>
          <w:szCs w:val="20"/>
        </w:rPr>
        <w:t>W</w:t>
      </w:r>
      <w:r w:rsidR="00342DCB" w:rsidRPr="00403A07">
        <w:rPr>
          <w:rFonts w:cs="Arial"/>
          <w:szCs w:val="20"/>
        </w:rPr>
        <w:t>hen verifying and calculating annual income for a household at the time of a regular reexamination, HHA will review and calculate the family’s income from the preceding 12-month period, taking into consideration any interims or changes that have taken place during that period. If HHA determines that the family’s prior-year income does not reflect the family’s current income, it may adjust the calculation of annual income as needed.</w:t>
      </w:r>
    </w:p>
    <w:p w14:paraId="2E825F12" w14:textId="77777777" w:rsidR="000123A7" w:rsidRDefault="000123A7" w:rsidP="000123A7">
      <w:pPr>
        <w:pStyle w:val="ListParagraph"/>
        <w:numPr>
          <w:ilvl w:val="0"/>
          <w:numId w:val="73"/>
        </w:numPr>
        <w:spacing w:after="120"/>
        <w:contextualSpacing w:val="0"/>
        <w:rPr>
          <w:b/>
          <w:bCs/>
        </w:rPr>
      </w:pPr>
      <w:r>
        <w:rPr>
          <w:b/>
          <w:bCs/>
        </w:rPr>
        <w:t>All Other Households:</w:t>
      </w:r>
    </w:p>
    <w:p w14:paraId="5A85EEB5" w14:textId="77777777" w:rsidR="000123A7" w:rsidRPr="00B446FD" w:rsidRDefault="000123A7" w:rsidP="000123A7">
      <w:pPr>
        <w:pStyle w:val="ListParagraph"/>
        <w:numPr>
          <w:ilvl w:val="1"/>
          <w:numId w:val="73"/>
        </w:numPr>
        <w:spacing w:after="120"/>
        <w:contextualSpacing w:val="0"/>
        <w:rPr>
          <w:b/>
          <w:bCs/>
        </w:rPr>
      </w:pPr>
      <w:r w:rsidRPr="00B446FD">
        <w:rPr>
          <w:b/>
          <w:bCs/>
        </w:rPr>
        <w:t xml:space="preserve">Prior to implementation of the HOTMA Final Rule (Sections 102 and 104): </w:t>
      </w:r>
    </w:p>
    <w:p w14:paraId="5F23864B" w14:textId="77777777" w:rsidR="000123A7" w:rsidRPr="00B446FD" w:rsidRDefault="000123A7" w:rsidP="000123A7">
      <w:pPr>
        <w:pStyle w:val="ListParagraph"/>
        <w:numPr>
          <w:ilvl w:val="2"/>
          <w:numId w:val="73"/>
        </w:numPr>
        <w:spacing w:after="120"/>
        <w:contextualSpacing w:val="0"/>
        <w:rPr>
          <w:b/>
          <w:bCs/>
        </w:rPr>
      </w:pPr>
      <w:r w:rsidRPr="00B446FD">
        <w:rPr>
          <w:b/>
          <w:bCs/>
        </w:rPr>
        <w:t xml:space="preserve">Prospective Income: </w:t>
      </w:r>
      <w:r w:rsidRPr="00C4049D">
        <w:t>When verifying and calculating annual income for a household, H</w:t>
      </w:r>
      <w:r>
        <w:t>HA</w:t>
      </w:r>
      <w:r w:rsidRPr="00C4049D">
        <w:t xml:space="preserve"> will generally collect and verify current/anticipated income. Generally, anticipated income is calculated by annualizing the income within the last two months of the retrospective period.</w:t>
      </w:r>
    </w:p>
    <w:p w14:paraId="70E3E4B4" w14:textId="77777777" w:rsidR="000123A7" w:rsidRPr="00B446FD" w:rsidRDefault="000123A7" w:rsidP="000123A7">
      <w:pPr>
        <w:pStyle w:val="ListParagraph"/>
        <w:numPr>
          <w:ilvl w:val="1"/>
          <w:numId w:val="73"/>
        </w:numPr>
        <w:spacing w:after="120"/>
        <w:contextualSpacing w:val="0"/>
        <w:rPr>
          <w:b/>
          <w:bCs/>
        </w:rPr>
      </w:pPr>
      <w:r w:rsidRPr="00B446FD">
        <w:rPr>
          <w:b/>
          <w:bCs/>
        </w:rPr>
        <w:t>Upon implementation of the HOTMA Final Rule (Sections 102 and 104)</w:t>
      </w:r>
      <w:r>
        <w:rPr>
          <w:b/>
          <w:bCs/>
        </w:rPr>
        <w:t>:</w:t>
      </w:r>
    </w:p>
    <w:p w14:paraId="71C9B816" w14:textId="77777777" w:rsidR="000123A7" w:rsidRPr="00C4049D" w:rsidRDefault="000123A7" w:rsidP="000123A7">
      <w:pPr>
        <w:pBdr>
          <w:top w:val="single" w:sz="4" w:space="1" w:color="auto"/>
          <w:left w:val="single" w:sz="4" w:space="4" w:color="auto"/>
          <w:bottom w:val="single" w:sz="4" w:space="1" w:color="auto"/>
          <w:right w:val="single" w:sz="4" w:space="4" w:color="auto"/>
        </w:pBdr>
        <w:spacing w:after="120"/>
        <w:ind w:left="720"/>
        <w:rPr>
          <w:b/>
          <w:bCs/>
          <w:i/>
          <w:iCs/>
        </w:rPr>
      </w:pPr>
      <w:r w:rsidRPr="00C4049D">
        <w:rPr>
          <w:b/>
          <w:bCs/>
          <w:i/>
          <w:iCs/>
        </w:rPr>
        <w:t>Note: the following two bullet points are only applicable upon implementation of the HOTMA Final Rule (Sections 102 and 104). Prior to implementation, the following does not apply.</w:t>
      </w:r>
    </w:p>
    <w:p w14:paraId="62A81701" w14:textId="77777777" w:rsidR="000123A7" w:rsidRPr="00B446FD" w:rsidRDefault="000123A7" w:rsidP="00682E9E">
      <w:pPr>
        <w:pStyle w:val="ListParagraph"/>
        <w:numPr>
          <w:ilvl w:val="2"/>
          <w:numId w:val="73"/>
        </w:numPr>
        <w:spacing w:after="120"/>
        <w:contextualSpacing w:val="0"/>
        <w:rPr>
          <w:b/>
          <w:bCs/>
        </w:rPr>
      </w:pPr>
      <w:r w:rsidRPr="00B446FD">
        <w:rPr>
          <w:b/>
          <w:bCs/>
        </w:rPr>
        <w:t xml:space="preserve">At Admission, Prospective Income: </w:t>
      </w:r>
      <w:r w:rsidRPr="00C4049D">
        <w:t>When verifying and calculating annual income for a household at initial eligibility screening and admission to the program, H</w:t>
      </w:r>
      <w:r>
        <w:t>HA</w:t>
      </w:r>
      <w:r w:rsidRPr="00C4049D">
        <w:t xml:space="preserve"> will collect and verify current/anticipated income. Generally, anticipated income is calculated by annualizing the income in the last two months of the retrospective period.</w:t>
      </w:r>
      <w:r w:rsidRPr="00B446FD">
        <w:rPr>
          <w:b/>
          <w:bCs/>
        </w:rPr>
        <w:t xml:space="preserve"> </w:t>
      </w:r>
    </w:p>
    <w:p w14:paraId="65877AAC" w14:textId="77777777" w:rsidR="000123A7" w:rsidRPr="00B446FD" w:rsidRDefault="000123A7" w:rsidP="00682E9E">
      <w:pPr>
        <w:pStyle w:val="ListParagraph"/>
        <w:numPr>
          <w:ilvl w:val="2"/>
          <w:numId w:val="73"/>
        </w:numPr>
        <w:spacing w:after="120"/>
        <w:contextualSpacing w:val="0"/>
        <w:rPr>
          <w:b/>
          <w:bCs/>
        </w:rPr>
      </w:pPr>
      <w:r w:rsidRPr="00B446FD">
        <w:rPr>
          <w:b/>
          <w:bCs/>
        </w:rPr>
        <w:t xml:space="preserve">Recertifying Households, Retrospective Income: </w:t>
      </w:r>
      <w:r w:rsidRPr="00C4049D">
        <w:t>when verifying and calculating annual income for a household at the time of a regular reexamination, H</w:t>
      </w:r>
      <w:r>
        <w:t>HA</w:t>
      </w:r>
      <w:r w:rsidRPr="00C4049D">
        <w:t xml:space="preserve"> will review and calculate the family’s income from the preceding 12-month period, taking into consideration any interims or changes that have taken place during that period. If H</w:t>
      </w:r>
      <w:r>
        <w:t xml:space="preserve">HA </w:t>
      </w:r>
      <w:r w:rsidRPr="00C4049D">
        <w:t>determines that the family’s prior-year income does not reflect the family’s current income, it may adjust the calculation of annual income as needed.</w:t>
      </w:r>
    </w:p>
    <w:p w14:paraId="5BA3F8D7" w14:textId="7F2FE854" w:rsidR="00342DCB" w:rsidRPr="003C0158" w:rsidRDefault="00342DCB" w:rsidP="00342DCB">
      <w:r w:rsidRPr="00554ED8">
        <w:rPr>
          <w:rFonts w:cs="Arial"/>
          <w:szCs w:val="20"/>
        </w:rPr>
        <w:t>See</w:t>
      </w:r>
      <w:r w:rsidR="0094694F">
        <w:rPr>
          <w:rFonts w:cs="Arial"/>
          <w:szCs w:val="20"/>
        </w:rPr>
        <w:t xml:space="preserve"> </w:t>
      </w:r>
      <w:r w:rsidR="0094694F" w:rsidRPr="0094694F">
        <w:rPr>
          <w:rFonts w:cs="Arial"/>
          <w:b/>
          <w:bCs/>
          <w:color w:val="0070C0"/>
          <w:szCs w:val="20"/>
        </w:rPr>
        <w:fldChar w:fldCharType="begin"/>
      </w:r>
      <w:r w:rsidR="0094694F" w:rsidRPr="0094694F">
        <w:rPr>
          <w:rFonts w:cs="Arial"/>
          <w:b/>
          <w:bCs/>
          <w:color w:val="0070C0"/>
          <w:szCs w:val="20"/>
        </w:rPr>
        <w:instrText xml:space="preserve"> REF _Ref162869156 \h  \* MERGEFORMAT </w:instrText>
      </w:r>
      <w:r w:rsidR="0094694F" w:rsidRPr="0094694F">
        <w:rPr>
          <w:rFonts w:cs="Arial"/>
          <w:b/>
          <w:bCs/>
          <w:color w:val="0070C0"/>
          <w:szCs w:val="20"/>
        </w:rPr>
      </w:r>
      <w:r w:rsidR="0094694F" w:rsidRPr="0094694F">
        <w:rPr>
          <w:rFonts w:cs="Arial"/>
          <w:b/>
          <w:bCs/>
          <w:color w:val="0070C0"/>
          <w:szCs w:val="20"/>
        </w:rPr>
        <w:fldChar w:fldCharType="separate"/>
      </w:r>
      <w:r w:rsidR="0094694F" w:rsidRPr="0094694F">
        <w:rPr>
          <w:b/>
          <w:bCs/>
          <w:color w:val="0070C0"/>
        </w:rPr>
        <w:t>Anticipating Annual Income</w:t>
      </w:r>
      <w:r w:rsidR="0094694F" w:rsidRPr="0094694F">
        <w:rPr>
          <w:rFonts w:cs="Arial"/>
          <w:b/>
          <w:bCs/>
          <w:color w:val="0070C0"/>
          <w:szCs w:val="20"/>
        </w:rPr>
        <w:fldChar w:fldCharType="end"/>
      </w:r>
      <w:r w:rsidR="0094694F">
        <w:rPr>
          <w:rFonts w:cs="Arial"/>
          <w:szCs w:val="20"/>
        </w:rPr>
        <w:t xml:space="preserve"> in the</w:t>
      </w:r>
      <w:r w:rsidRPr="00554ED8">
        <w:rPr>
          <w:rFonts w:cs="Arial"/>
          <w:szCs w:val="20"/>
        </w:rPr>
        <w:t xml:space="preserve"> </w:t>
      </w:r>
      <w:r w:rsidR="00554ED8" w:rsidRPr="00554ED8">
        <w:rPr>
          <w:rFonts w:cs="Arial"/>
          <w:b/>
          <w:bCs/>
          <w:color w:val="0070C0"/>
          <w:szCs w:val="20"/>
        </w:rPr>
        <w:fldChar w:fldCharType="begin"/>
      </w:r>
      <w:r w:rsidR="00554ED8" w:rsidRPr="00554ED8">
        <w:rPr>
          <w:rFonts w:cs="Arial"/>
          <w:b/>
          <w:bCs/>
          <w:color w:val="0070C0"/>
          <w:szCs w:val="20"/>
        </w:rPr>
        <w:instrText xml:space="preserve"> REF _Ref154582892 \h  \* MERGEFORMAT </w:instrText>
      </w:r>
      <w:r w:rsidR="00554ED8" w:rsidRPr="00554ED8">
        <w:rPr>
          <w:rFonts w:cs="Arial"/>
          <w:b/>
          <w:bCs/>
          <w:color w:val="0070C0"/>
          <w:szCs w:val="20"/>
        </w:rPr>
      </w:r>
      <w:r w:rsidR="00554ED8" w:rsidRPr="00554ED8">
        <w:rPr>
          <w:rFonts w:cs="Arial"/>
          <w:b/>
          <w:bCs/>
          <w:color w:val="0070C0"/>
          <w:szCs w:val="20"/>
        </w:rPr>
        <w:fldChar w:fldCharType="separate"/>
      </w:r>
      <w:r w:rsidR="00554ED8" w:rsidRPr="00554ED8">
        <w:rPr>
          <w:b/>
          <w:bCs/>
          <w:color w:val="0070C0"/>
        </w:rPr>
        <w:t>INCOME AND ADJUSTED INCOME</w:t>
      </w:r>
      <w:r w:rsidR="00554ED8" w:rsidRPr="00554ED8">
        <w:rPr>
          <w:rFonts w:cs="Arial"/>
          <w:b/>
          <w:bCs/>
          <w:color w:val="0070C0"/>
          <w:szCs w:val="20"/>
        </w:rPr>
        <w:fldChar w:fldCharType="end"/>
      </w:r>
      <w:r w:rsidRPr="00554ED8">
        <w:rPr>
          <w:rFonts w:cs="Arial"/>
          <w:szCs w:val="20"/>
        </w:rPr>
        <w:t xml:space="preserve"> </w:t>
      </w:r>
      <w:r w:rsidR="0094694F">
        <w:rPr>
          <w:rFonts w:cs="Arial"/>
          <w:szCs w:val="20"/>
        </w:rPr>
        <w:t xml:space="preserve">chapter </w:t>
      </w:r>
      <w:r w:rsidRPr="00554ED8">
        <w:rPr>
          <w:rFonts w:cs="Arial"/>
          <w:szCs w:val="20"/>
        </w:rPr>
        <w:t>for more information on calculating income from various sources.</w:t>
      </w:r>
    </w:p>
    <w:p w14:paraId="3C8E2A9F" w14:textId="77777777" w:rsidR="00342DCB" w:rsidRPr="00765546" w:rsidRDefault="00342DCB" w:rsidP="00677451">
      <w:pPr>
        <w:pStyle w:val="Heading3"/>
      </w:pPr>
      <w:bookmarkStart w:id="1467" w:name="_Toc516735464"/>
      <w:bookmarkStart w:id="1468" w:name="_Toc527019463"/>
      <w:bookmarkStart w:id="1469" w:name="_Toc534707001"/>
      <w:bookmarkStart w:id="1470" w:name="_Toc534707679"/>
      <w:bookmarkStart w:id="1471" w:name="_Toc534708487"/>
      <w:bookmarkStart w:id="1472" w:name="_Toc118116072"/>
      <w:bookmarkStart w:id="1473" w:name="_Toc200375655"/>
      <w:r w:rsidRPr="00765546">
        <w:t>Employment Income</w:t>
      </w:r>
      <w:bookmarkEnd w:id="1467"/>
      <w:bookmarkEnd w:id="1468"/>
      <w:bookmarkEnd w:id="1469"/>
      <w:bookmarkEnd w:id="1470"/>
      <w:bookmarkEnd w:id="1471"/>
      <w:bookmarkEnd w:id="1472"/>
      <w:bookmarkEnd w:id="1473"/>
    </w:p>
    <w:p w14:paraId="3505D96C" w14:textId="3F938EC9" w:rsidR="00342DCB" w:rsidRDefault="00342DCB" w:rsidP="00342DCB">
      <w:pPr>
        <w:autoSpaceDE w:val="0"/>
        <w:autoSpaceDN w:val="0"/>
        <w:adjustRightInd w:val="0"/>
        <w:rPr>
          <w:rFonts w:cs="Arial"/>
          <w:szCs w:val="20"/>
        </w:rPr>
      </w:pPr>
      <w:r>
        <w:rPr>
          <w:rFonts w:cs="Arial"/>
          <w:szCs w:val="20"/>
        </w:rPr>
        <w:t xml:space="preserve">Employment income will be verified according to the </w:t>
      </w:r>
      <w:hyperlink w:anchor="_Alternative_Verification_Hierarchy" w:history="1">
        <w:r w:rsidR="006F3F0B" w:rsidRPr="006F3F0B">
          <w:rPr>
            <w:rStyle w:val="OurLinksChar"/>
          </w:rPr>
          <w:fldChar w:fldCharType="begin"/>
        </w:r>
        <w:r w:rsidR="006F3F0B" w:rsidRPr="006F3F0B">
          <w:rPr>
            <w:rStyle w:val="OurLinksChar"/>
          </w:rPr>
          <w:instrText xml:space="preserve"> REF _Ref148098638 \h </w:instrText>
        </w:r>
        <w:r w:rsidR="006F3F0B">
          <w:rPr>
            <w:rStyle w:val="OurLinksChar"/>
          </w:rPr>
          <w:instrText xml:space="preserve"> \* MERGEFORMAT </w:instrText>
        </w:r>
        <w:r w:rsidR="006F3F0B" w:rsidRPr="006F3F0B">
          <w:rPr>
            <w:rStyle w:val="OurLinksChar"/>
          </w:rPr>
        </w:r>
        <w:r w:rsidR="006F3F0B" w:rsidRPr="006F3F0B">
          <w:rPr>
            <w:rStyle w:val="OurLinksChar"/>
          </w:rPr>
          <w:fldChar w:fldCharType="separate"/>
        </w:r>
        <w:r w:rsidR="006F3F0B" w:rsidRPr="006F3F0B">
          <w:rPr>
            <w:rStyle w:val="OurLinksChar"/>
          </w:rPr>
          <w:t>Alternative Verification Hierarchy – MTW</w:t>
        </w:r>
        <w:r w:rsidR="006F3F0B" w:rsidRPr="006F3F0B">
          <w:rPr>
            <w:rStyle w:val="OurLinksChar"/>
          </w:rPr>
          <w:fldChar w:fldCharType="end"/>
        </w:r>
      </w:hyperlink>
      <w:r>
        <w:rPr>
          <w:rFonts w:cs="Arial"/>
          <w:szCs w:val="20"/>
        </w:rPr>
        <w:t>. This may include UIV (such as the Work Number), written third-party verification (such as pay</w:t>
      </w:r>
      <w:r w:rsidR="003E1626">
        <w:rPr>
          <w:rFonts w:cs="Arial"/>
          <w:szCs w:val="20"/>
        </w:rPr>
        <w:t xml:space="preserve"> </w:t>
      </w:r>
      <w:r>
        <w:rPr>
          <w:rFonts w:cs="Arial"/>
          <w:szCs w:val="20"/>
        </w:rPr>
        <w:t>stubs</w:t>
      </w:r>
      <w:r w:rsidR="00D329CB">
        <w:rPr>
          <w:rFonts w:cs="Arial"/>
          <w:szCs w:val="20"/>
        </w:rPr>
        <w:t xml:space="preserve"> </w:t>
      </w:r>
      <w:r>
        <w:rPr>
          <w:rFonts w:cs="Arial"/>
          <w:szCs w:val="20"/>
        </w:rPr>
        <w:t xml:space="preserve">and/or written or oral third-party verification from the employer. </w:t>
      </w:r>
    </w:p>
    <w:p w14:paraId="3C72DEE6" w14:textId="77777777" w:rsidR="00D8462F" w:rsidRDefault="00342DCB" w:rsidP="00D329CB">
      <w:pPr>
        <w:autoSpaceDE w:val="0"/>
        <w:autoSpaceDN w:val="0"/>
        <w:adjustRightInd w:val="0"/>
        <w:rPr>
          <w:rFonts w:cs="Arial"/>
          <w:szCs w:val="20"/>
        </w:rPr>
      </w:pPr>
      <w:r>
        <w:rPr>
          <w:rFonts w:cs="Arial"/>
          <w:szCs w:val="20"/>
        </w:rPr>
        <w:t xml:space="preserve">Self-certification of employment income may be </w:t>
      </w:r>
      <w:r w:rsidRPr="00765546">
        <w:rPr>
          <w:rFonts w:cs="Arial"/>
          <w:szCs w:val="20"/>
        </w:rPr>
        <w:t xml:space="preserve">used as a last resort when </w:t>
      </w:r>
      <w:r>
        <w:rPr>
          <w:rFonts w:cs="Arial"/>
          <w:szCs w:val="20"/>
        </w:rPr>
        <w:t>HHA</w:t>
      </w:r>
      <w:r w:rsidRPr="00765546">
        <w:rPr>
          <w:rFonts w:cs="Arial"/>
          <w:szCs w:val="20"/>
        </w:rPr>
        <w:t xml:space="preserve"> is unable to obtain third-party verification</w:t>
      </w:r>
      <w:r>
        <w:rPr>
          <w:rFonts w:cs="Arial"/>
          <w:szCs w:val="20"/>
        </w:rPr>
        <w:t xml:space="preserve">. </w:t>
      </w:r>
      <w:bookmarkStart w:id="1474" w:name="_Toc516735465"/>
      <w:bookmarkStart w:id="1475" w:name="_Toc527019464"/>
      <w:bookmarkStart w:id="1476" w:name="_Toc534707002"/>
      <w:bookmarkStart w:id="1477" w:name="_Toc534707680"/>
      <w:bookmarkStart w:id="1478" w:name="_Toc534708488"/>
      <w:bookmarkStart w:id="1479" w:name="_Toc118116073"/>
    </w:p>
    <w:p w14:paraId="1DDDEF27" w14:textId="77777777" w:rsidR="00342DCB" w:rsidRPr="00765546" w:rsidRDefault="00342DCB" w:rsidP="00677451">
      <w:pPr>
        <w:pStyle w:val="Heading3"/>
      </w:pPr>
      <w:bookmarkStart w:id="1480" w:name="_Toc200375656"/>
      <w:r w:rsidRPr="00765546">
        <w:t>Business and Self-Employment Income</w:t>
      </w:r>
      <w:bookmarkEnd w:id="1474"/>
      <w:bookmarkEnd w:id="1475"/>
      <w:bookmarkEnd w:id="1476"/>
      <w:bookmarkEnd w:id="1477"/>
      <w:bookmarkEnd w:id="1478"/>
      <w:bookmarkEnd w:id="1479"/>
      <w:bookmarkEnd w:id="1480"/>
    </w:p>
    <w:p w14:paraId="662C7D96" w14:textId="77777777" w:rsidR="00522AB3" w:rsidRDefault="00342DCB" w:rsidP="00342DCB">
      <w:pPr>
        <w:autoSpaceDE w:val="0"/>
        <w:autoSpaceDN w:val="0"/>
        <w:adjustRightInd w:val="0"/>
        <w:rPr>
          <w:rFonts w:cs="Arial"/>
          <w:szCs w:val="20"/>
        </w:rPr>
      </w:pPr>
      <w:r w:rsidRPr="00765546">
        <w:rPr>
          <w:rFonts w:cs="Arial"/>
          <w:color w:val="000000"/>
          <w:szCs w:val="20"/>
        </w:rPr>
        <w:t xml:space="preserve">Business owners and self-employed persons will be required to provide </w:t>
      </w:r>
      <w:r w:rsidR="002C1530">
        <w:rPr>
          <w:rFonts w:cs="Arial"/>
          <w:color w:val="000000"/>
          <w:szCs w:val="20"/>
        </w:rPr>
        <w:t>i</w:t>
      </w:r>
      <w:r w:rsidR="006D2836">
        <w:rPr>
          <w:rFonts w:cs="Arial"/>
          <w:szCs w:val="20"/>
        </w:rPr>
        <w:t>ncome tax returns for the most recent year with corresponding official tax forms and</w:t>
      </w:r>
      <w:r w:rsidR="006D2836" w:rsidRPr="00FC5F94">
        <w:rPr>
          <w:rFonts w:cs="Arial"/>
          <w:szCs w:val="20"/>
        </w:rPr>
        <w:t xml:space="preserve"> schedules </w:t>
      </w:r>
      <w:r w:rsidR="006D2836">
        <w:rPr>
          <w:rFonts w:cs="Arial"/>
          <w:szCs w:val="20"/>
        </w:rPr>
        <w:t>attached</w:t>
      </w:r>
      <w:r w:rsidR="006D2836" w:rsidRPr="00FC5F94">
        <w:rPr>
          <w:rFonts w:cs="Arial"/>
          <w:szCs w:val="20"/>
        </w:rPr>
        <w:t>. If accelerated depreciation was used on the tax return or financial statement, an accountant's calculation of depreciation expense, computed using straight-line depreciation rules.</w:t>
      </w:r>
      <w:r w:rsidR="00FF43D5">
        <w:rPr>
          <w:rFonts w:cs="Arial"/>
          <w:szCs w:val="20"/>
        </w:rPr>
        <w:t xml:space="preserve"> For those</w:t>
      </w:r>
      <w:r w:rsidR="00D83EB0">
        <w:rPr>
          <w:rFonts w:cs="Arial"/>
          <w:szCs w:val="20"/>
        </w:rPr>
        <w:t xml:space="preserve"> in “gig employment” situations, HHA may opt to accept monthly or weekly statements from the</w:t>
      </w:r>
      <w:r w:rsidR="00A17CF1">
        <w:rPr>
          <w:rFonts w:cs="Arial"/>
          <w:szCs w:val="20"/>
        </w:rPr>
        <w:t xml:space="preserve"> applicable app in addition to </w:t>
      </w:r>
      <w:r w:rsidR="001B4BB6">
        <w:rPr>
          <w:rFonts w:cs="Arial"/>
          <w:szCs w:val="20"/>
        </w:rPr>
        <w:t xml:space="preserve">the person’s Schedule C and form IRS 1099 </w:t>
      </w:r>
      <w:r w:rsidR="009531FA">
        <w:rPr>
          <w:rFonts w:cs="Arial"/>
          <w:szCs w:val="20"/>
        </w:rPr>
        <w:t>or 1099k.</w:t>
      </w:r>
    </w:p>
    <w:p w14:paraId="53DADC33" w14:textId="77777777" w:rsidR="00342DCB" w:rsidRPr="00522AB3" w:rsidRDefault="006D2836" w:rsidP="00342DCB">
      <w:pPr>
        <w:autoSpaceDE w:val="0"/>
        <w:autoSpaceDN w:val="0"/>
        <w:adjustRightInd w:val="0"/>
        <w:rPr>
          <w:rFonts w:cs="Arial"/>
          <w:szCs w:val="20"/>
        </w:rPr>
      </w:pPr>
      <w:r>
        <w:rPr>
          <w:rFonts w:cs="Arial"/>
          <w:color w:val="000000"/>
          <w:szCs w:val="20"/>
        </w:rPr>
        <w:t>HHA</w:t>
      </w:r>
      <w:r w:rsidRPr="00765546">
        <w:rPr>
          <w:rFonts w:cs="Arial"/>
          <w:color w:val="000000"/>
          <w:szCs w:val="20"/>
        </w:rPr>
        <w:t xml:space="preserve"> will provide a format for any person who is unable to provide such a statement to record income and expenses for the coming year. The business owner/self-employed person will be required to submit the information requested and to certify to its accuracy at all future reexaminations.</w:t>
      </w:r>
      <w:r w:rsidR="00E01D04">
        <w:rPr>
          <w:rFonts w:cs="Arial"/>
          <w:color w:val="000000"/>
          <w:szCs w:val="20"/>
        </w:rPr>
        <w:t xml:space="preserve"> </w:t>
      </w:r>
      <w:r w:rsidR="00342DCB" w:rsidRPr="00765546">
        <w:rPr>
          <w:rFonts w:cs="Arial"/>
          <w:color w:val="000000"/>
          <w:szCs w:val="20"/>
        </w:rPr>
        <w:t>At any reexamination</w:t>
      </w:r>
      <w:r w:rsidR="00136CF8">
        <w:rPr>
          <w:rFonts w:cs="Arial"/>
          <w:color w:val="000000"/>
          <w:szCs w:val="20"/>
        </w:rPr>
        <w:t>,</w:t>
      </w:r>
      <w:r w:rsidR="00342DCB" w:rsidRPr="00765546">
        <w:rPr>
          <w:rFonts w:cs="Arial"/>
          <w:color w:val="000000"/>
          <w:szCs w:val="20"/>
        </w:rPr>
        <w:t xml:space="preserve"> </w:t>
      </w:r>
      <w:r w:rsidR="00342DCB">
        <w:rPr>
          <w:rFonts w:cs="Arial"/>
          <w:color w:val="000000"/>
          <w:szCs w:val="20"/>
        </w:rPr>
        <w:t>HHA</w:t>
      </w:r>
      <w:r w:rsidR="00342DCB" w:rsidRPr="00765546">
        <w:rPr>
          <w:rFonts w:cs="Arial"/>
          <w:color w:val="000000"/>
          <w:szCs w:val="20"/>
        </w:rPr>
        <w:t xml:space="preserve"> may request documents that support submitted financial statements such as manifests, appointment books, cash books, or bank statements.</w:t>
      </w:r>
    </w:p>
    <w:p w14:paraId="0E3E8246" w14:textId="77777777" w:rsidR="00342DCB" w:rsidRPr="00765546" w:rsidRDefault="00342DCB" w:rsidP="00342DCB">
      <w:pPr>
        <w:autoSpaceDE w:val="0"/>
        <w:autoSpaceDN w:val="0"/>
        <w:adjustRightInd w:val="0"/>
        <w:rPr>
          <w:rFonts w:cs="Arial"/>
          <w:color w:val="000000"/>
          <w:szCs w:val="20"/>
        </w:rPr>
      </w:pPr>
      <w:r w:rsidRPr="00765546">
        <w:rPr>
          <w:rFonts w:cs="Arial"/>
          <w:color w:val="000000"/>
          <w:szCs w:val="20"/>
        </w:rPr>
        <w:t>If a family member has been self-employed for less than three</w:t>
      </w:r>
      <w:r w:rsidR="00E01D04">
        <w:rPr>
          <w:rFonts w:cs="Arial"/>
          <w:color w:val="000000"/>
          <w:szCs w:val="20"/>
        </w:rPr>
        <w:t xml:space="preserve"> (3)</w:t>
      </w:r>
      <w:r w:rsidRPr="00765546">
        <w:rPr>
          <w:rFonts w:cs="Arial"/>
          <w:color w:val="000000"/>
          <w:szCs w:val="20"/>
        </w:rPr>
        <w:t xml:space="preserve"> months, </w:t>
      </w:r>
      <w:r>
        <w:rPr>
          <w:rFonts w:cs="Arial"/>
          <w:color w:val="000000"/>
          <w:szCs w:val="20"/>
        </w:rPr>
        <w:t>HHA</w:t>
      </w:r>
      <w:r w:rsidRPr="00765546">
        <w:rPr>
          <w:rFonts w:cs="Arial"/>
          <w:szCs w:val="20"/>
        </w:rPr>
        <w:t xml:space="preserve"> </w:t>
      </w:r>
      <w:r w:rsidRPr="00765546">
        <w:rPr>
          <w:rFonts w:cs="Arial"/>
          <w:color w:val="000000"/>
          <w:szCs w:val="20"/>
        </w:rPr>
        <w:t>will accept the family member’s certified estimate of income and schedule an interim reexamination in three</w:t>
      </w:r>
      <w:r w:rsidR="00E01D04">
        <w:rPr>
          <w:rFonts w:cs="Arial"/>
          <w:color w:val="000000"/>
          <w:szCs w:val="20"/>
        </w:rPr>
        <w:t xml:space="preserve"> (3)</w:t>
      </w:r>
      <w:r w:rsidRPr="00765546">
        <w:rPr>
          <w:rFonts w:cs="Arial"/>
          <w:color w:val="000000"/>
          <w:szCs w:val="20"/>
        </w:rPr>
        <w:t xml:space="preserve"> months.</w:t>
      </w:r>
    </w:p>
    <w:p w14:paraId="0F186092" w14:textId="77777777" w:rsidR="00342DCB" w:rsidRPr="00765546" w:rsidRDefault="00342DCB" w:rsidP="00342DCB">
      <w:pPr>
        <w:autoSpaceDE w:val="0"/>
        <w:autoSpaceDN w:val="0"/>
        <w:adjustRightInd w:val="0"/>
        <w:rPr>
          <w:rFonts w:cs="Arial"/>
          <w:color w:val="000000"/>
          <w:szCs w:val="20"/>
        </w:rPr>
      </w:pPr>
      <w:r w:rsidRPr="00765546">
        <w:rPr>
          <w:rFonts w:cs="Arial"/>
          <w:color w:val="000000"/>
          <w:szCs w:val="20"/>
        </w:rPr>
        <w:t>If the family member has been self-employed for only three</w:t>
      </w:r>
      <w:r w:rsidR="00D54F1F">
        <w:rPr>
          <w:rFonts w:cs="Arial"/>
          <w:color w:val="000000"/>
          <w:szCs w:val="20"/>
        </w:rPr>
        <w:t xml:space="preserve"> (3)</w:t>
      </w:r>
      <w:r w:rsidRPr="00765546">
        <w:rPr>
          <w:rFonts w:cs="Arial"/>
          <w:color w:val="000000"/>
          <w:szCs w:val="20"/>
        </w:rPr>
        <w:t xml:space="preserve"> to twelve </w:t>
      </w:r>
      <w:r w:rsidR="00D54F1F">
        <w:rPr>
          <w:rFonts w:cs="Arial"/>
          <w:color w:val="000000"/>
          <w:szCs w:val="20"/>
        </w:rPr>
        <w:t xml:space="preserve">(12) </w:t>
      </w:r>
      <w:r w:rsidRPr="00765546">
        <w:rPr>
          <w:rFonts w:cs="Arial"/>
          <w:color w:val="000000"/>
          <w:szCs w:val="20"/>
        </w:rPr>
        <w:t xml:space="preserve">months, </w:t>
      </w:r>
      <w:r>
        <w:rPr>
          <w:rFonts w:cs="Arial"/>
          <w:color w:val="000000"/>
          <w:szCs w:val="20"/>
        </w:rPr>
        <w:t>HHA</w:t>
      </w:r>
      <w:r w:rsidRPr="00765546">
        <w:rPr>
          <w:rFonts w:cs="Arial"/>
          <w:szCs w:val="20"/>
        </w:rPr>
        <w:t xml:space="preserve"> </w:t>
      </w:r>
      <w:r w:rsidRPr="00765546">
        <w:rPr>
          <w:rFonts w:cs="Arial"/>
          <w:color w:val="000000"/>
          <w:szCs w:val="20"/>
        </w:rPr>
        <w:t>will require the family to provide documentation of income and expenses for this period and use that information to project income.</w:t>
      </w:r>
    </w:p>
    <w:p w14:paraId="353D69CD" w14:textId="77777777" w:rsidR="00342DCB" w:rsidRPr="00765546" w:rsidRDefault="00342DCB" w:rsidP="00342DCB">
      <w:pPr>
        <w:pStyle w:val="Heading4"/>
      </w:pPr>
      <w:r w:rsidRPr="00765546">
        <w:t>Net Income from Rental Property</w:t>
      </w:r>
    </w:p>
    <w:p w14:paraId="1010B01F" w14:textId="77777777" w:rsidR="00342DCB" w:rsidRPr="00FC5F94" w:rsidRDefault="00342DCB" w:rsidP="00342DCB">
      <w:pPr>
        <w:autoSpaceDE w:val="0"/>
        <w:autoSpaceDN w:val="0"/>
        <w:adjustRightInd w:val="0"/>
        <w:rPr>
          <w:rFonts w:cs="Arial"/>
          <w:color w:val="000000"/>
          <w:szCs w:val="20"/>
        </w:rPr>
      </w:pPr>
      <w:r w:rsidRPr="00FC5F94">
        <w:rPr>
          <w:rFonts w:cs="Arial"/>
          <w:color w:val="000000"/>
          <w:szCs w:val="20"/>
        </w:rPr>
        <w:t>If the family reports income from rental property, the family must provide:</w:t>
      </w:r>
    </w:p>
    <w:p w14:paraId="6B415626" w14:textId="77777777" w:rsidR="00342DCB" w:rsidRPr="00FC5F94" w:rsidRDefault="00342DCB" w:rsidP="00CB52D8">
      <w:pPr>
        <w:pStyle w:val="ListParagraph"/>
        <w:numPr>
          <w:ilvl w:val="0"/>
          <w:numId w:val="70"/>
        </w:numPr>
        <w:spacing w:after="120"/>
        <w:contextualSpacing w:val="0"/>
        <w:rPr>
          <w:rFonts w:cs="Arial"/>
          <w:szCs w:val="20"/>
        </w:rPr>
      </w:pPr>
      <w:r w:rsidRPr="00FC5F94">
        <w:rPr>
          <w:rFonts w:cs="Arial"/>
          <w:szCs w:val="20"/>
        </w:rPr>
        <w:t>A current executed lease for the property that shows the rental amount or certification from the current tenant; and</w:t>
      </w:r>
    </w:p>
    <w:p w14:paraId="4492D52F" w14:textId="77777777" w:rsidR="00342DCB" w:rsidRDefault="00342DCB" w:rsidP="00CB52D8">
      <w:pPr>
        <w:pStyle w:val="ListParagraph"/>
        <w:numPr>
          <w:ilvl w:val="0"/>
          <w:numId w:val="70"/>
        </w:numPr>
        <w:spacing w:after="120"/>
        <w:contextualSpacing w:val="0"/>
        <w:rPr>
          <w:rFonts w:cs="Arial"/>
          <w:szCs w:val="20"/>
        </w:rPr>
      </w:pPr>
      <w:r w:rsidRPr="00765546">
        <w:rPr>
          <w:rFonts w:cs="Arial"/>
          <w:szCs w:val="20"/>
        </w:rPr>
        <w:t xml:space="preserve">A self-certification from the family members engaged in the rental of property providing an estimate of expenses for the coming year and the most recent IRS Form 1040 with Schedule E (Rental Income). If Schedule E was not prepared, </w:t>
      </w:r>
      <w:r>
        <w:rPr>
          <w:rFonts w:cs="Arial"/>
          <w:szCs w:val="20"/>
        </w:rPr>
        <w:t>HHA</w:t>
      </w:r>
      <w:r w:rsidRPr="00765546">
        <w:rPr>
          <w:rFonts w:cs="Arial"/>
          <w:szCs w:val="20"/>
        </w:rPr>
        <w:t xml:space="preserve"> will require the family members involved in the rental of property to provide a self-certification of income and expenses for the previous year and may request documentation to support the statement including: tax statements, insurance invoices, bills for reasonable maintenance and utilities, and bank statements or amortization schedules showing monthly interest expense.</w:t>
      </w:r>
    </w:p>
    <w:p w14:paraId="50093CC5" w14:textId="77777777" w:rsidR="00A27B05" w:rsidRPr="00A27B05" w:rsidRDefault="00A27B05" w:rsidP="00A27B05">
      <w:pPr>
        <w:spacing w:after="120"/>
        <w:rPr>
          <w:rFonts w:cs="Arial"/>
          <w:szCs w:val="20"/>
        </w:rPr>
      </w:pPr>
      <w:r>
        <w:rPr>
          <w:rFonts w:cs="Arial"/>
          <w:szCs w:val="20"/>
        </w:rPr>
        <w:t>However, under HOTMA</w:t>
      </w:r>
      <w:r w:rsidR="00CC2140">
        <w:rPr>
          <w:rFonts w:cs="Arial"/>
          <w:szCs w:val="20"/>
        </w:rPr>
        <w:t xml:space="preserve">, if the </w:t>
      </w:r>
      <w:r w:rsidR="00087673">
        <w:t xml:space="preserve">family has a present ownership interest in such real property, a legal right to reside in it, the effective legal authority to sell it, and it is considered suitable for their occupancy as a residence, that ownership interest </w:t>
      </w:r>
      <w:r w:rsidR="00061040">
        <w:t>may</w:t>
      </w:r>
      <w:r w:rsidR="00087673">
        <w:t xml:space="preserve"> be disqualifying; however there may be circumstances where the family does not have the effective legal authority to sell the real property due to the structure of their business.</w:t>
      </w:r>
      <w:r w:rsidR="00490461">
        <w:t xml:space="preserve"> See </w:t>
      </w:r>
      <w:r w:rsidR="00490461" w:rsidRPr="00490461">
        <w:rPr>
          <w:b/>
          <w:bCs/>
          <w:color w:val="0070C0"/>
        </w:rPr>
        <w:fldChar w:fldCharType="begin"/>
      </w:r>
      <w:r w:rsidR="00490461" w:rsidRPr="00490461">
        <w:rPr>
          <w:b/>
          <w:bCs/>
          <w:color w:val="0070C0"/>
        </w:rPr>
        <w:instrText xml:space="preserve"> REF _Ref154645264 \h  \* MERGEFORMAT </w:instrText>
      </w:r>
      <w:r w:rsidR="00490461" w:rsidRPr="00490461">
        <w:rPr>
          <w:b/>
          <w:bCs/>
          <w:color w:val="0070C0"/>
        </w:rPr>
      </w:r>
      <w:r w:rsidR="00490461" w:rsidRPr="00490461">
        <w:rPr>
          <w:b/>
          <w:bCs/>
          <w:color w:val="0070C0"/>
        </w:rPr>
        <w:fldChar w:fldCharType="separate"/>
      </w:r>
      <w:r w:rsidR="00490461" w:rsidRPr="00490461">
        <w:rPr>
          <w:b/>
          <w:bCs/>
          <w:color w:val="0070C0"/>
        </w:rPr>
        <w:t>Real Property Ownership</w:t>
      </w:r>
      <w:r w:rsidR="00490461" w:rsidRPr="00490461">
        <w:rPr>
          <w:b/>
          <w:bCs/>
          <w:color w:val="0070C0"/>
        </w:rPr>
        <w:fldChar w:fldCharType="end"/>
      </w:r>
      <w:r w:rsidR="00054317">
        <w:t xml:space="preserve"> a</w:t>
      </w:r>
      <w:r w:rsidR="005D0181">
        <w:t xml:space="preserve">nd </w:t>
      </w:r>
      <w:r w:rsidR="00054317" w:rsidRPr="00054317">
        <w:rPr>
          <w:b/>
          <w:bCs/>
          <w:color w:val="0070C0"/>
        </w:rPr>
        <w:fldChar w:fldCharType="begin"/>
      </w:r>
      <w:r w:rsidR="00054317" w:rsidRPr="00054317">
        <w:rPr>
          <w:b/>
          <w:bCs/>
          <w:color w:val="0070C0"/>
        </w:rPr>
        <w:instrText xml:space="preserve"> REF _Ref144892635 \h </w:instrText>
      </w:r>
      <w:r w:rsidR="00054317">
        <w:rPr>
          <w:b/>
          <w:bCs/>
          <w:color w:val="0070C0"/>
        </w:rPr>
        <w:instrText xml:space="preserve"> \* MERGEFORMAT </w:instrText>
      </w:r>
      <w:r w:rsidR="00054317" w:rsidRPr="00054317">
        <w:rPr>
          <w:b/>
          <w:bCs/>
          <w:color w:val="0070C0"/>
        </w:rPr>
      </w:r>
      <w:r w:rsidR="00054317" w:rsidRPr="00054317">
        <w:rPr>
          <w:b/>
          <w:bCs/>
          <w:color w:val="0070C0"/>
        </w:rPr>
        <w:fldChar w:fldCharType="separate"/>
      </w:r>
      <w:r w:rsidR="00054317" w:rsidRPr="00054317">
        <w:rPr>
          <w:b/>
          <w:bCs/>
          <w:color w:val="0070C0"/>
        </w:rPr>
        <w:t>Asset Restrictions</w:t>
      </w:r>
      <w:r w:rsidR="00054317" w:rsidRPr="00054317">
        <w:rPr>
          <w:b/>
          <w:bCs/>
          <w:color w:val="0070C0"/>
        </w:rPr>
        <w:fldChar w:fldCharType="end"/>
      </w:r>
      <w:r w:rsidR="00054317">
        <w:t>.</w:t>
      </w:r>
    </w:p>
    <w:p w14:paraId="0D6D4376" w14:textId="77777777" w:rsidR="00342DCB" w:rsidRPr="00765546" w:rsidRDefault="00342DCB" w:rsidP="00677451">
      <w:pPr>
        <w:pStyle w:val="Heading3"/>
      </w:pPr>
      <w:bookmarkStart w:id="1481" w:name="_Toc516735467"/>
      <w:bookmarkStart w:id="1482" w:name="_Toc527019465"/>
      <w:bookmarkStart w:id="1483" w:name="_Toc534707003"/>
      <w:bookmarkStart w:id="1484" w:name="_Toc534707681"/>
      <w:bookmarkStart w:id="1485" w:name="_Toc534708489"/>
      <w:bookmarkStart w:id="1486" w:name="_Toc118116074"/>
      <w:bookmarkStart w:id="1487" w:name="_Toc200375657"/>
      <w:r w:rsidRPr="00117188">
        <w:t>Verification</w:t>
      </w:r>
      <w:r w:rsidRPr="00765546">
        <w:t xml:space="preserve"> of Social Security and SSI Benefits</w:t>
      </w:r>
      <w:bookmarkEnd w:id="1481"/>
      <w:bookmarkEnd w:id="1482"/>
      <w:bookmarkEnd w:id="1483"/>
      <w:bookmarkEnd w:id="1484"/>
      <w:bookmarkEnd w:id="1485"/>
      <w:bookmarkEnd w:id="1486"/>
      <w:bookmarkEnd w:id="1487"/>
    </w:p>
    <w:p w14:paraId="33C1BCF1" w14:textId="77777777" w:rsidR="00342DCB" w:rsidRDefault="00342DCB" w:rsidP="00342DCB">
      <w:pPr>
        <w:pStyle w:val="Heading4"/>
      </w:pPr>
      <w:r>
        <w:t>Applicants</w:t>
      </w:r>
    </w:p>
    <w:p w14:paraId="2A7A306F" w14:textId="77777777" w:rsidR="00342DCB" w:rsidRDefault="00342DCB" w:rsidP="00342DCB">
      <w:r w:rsidRPr="00765546">
        <w:t xml:space="preserve">To verify the Social Security and SSI benefits of applicants, </w:t>
      </w:r>
      <w:r>
        <w:t>HHA</w:t>
      </w:r>
      <w:r w:rsidRPr="00765546">
        <w:t xml:space="preserve"> will request a current </w:t>
      </w:r>
      <w:r>
        <w:t>SSA</w:t>
      </w:r>
      <w:r w:rsidRPr="00765546">
        <w:t xml:space="preserve"> benefit verification letter from each family member that receives Social Security benefits. If the family is unable to provide the document(s), </w:t>
      </w:r>
      <w:r>
        <w:t>HHA</w:t>
      </w:r>
      <w:r w:rsidRPr="00765546">
        <w:t xml:space="preserve"> will </w:t>
      </w:r>
      <w:hyperlink r:id="rId14" w:history="1">
        <w:r w:rsidRPr="00765546">
          <w:t>help</w:t>
        </w:r>
      </w:hyperlink>
      <w:r w:rsidRPr="00765546">
        <w:t xml:space="preserve"> the applicant request a benefit verification letter from SSA’s website at </w:t>
      </w:r>
      <w:hyperlink r:id="rId15" w:history="1">
        <w:r w:rsidRPr="00765546">
          <w:rPr>
            <w:rStyle w:val="Hyperlink"/>
          </w:rPr>
          <w:t>www.ssa.gov</w:t>
        </w:r>
      </w:hyperlink>
      <w:r w:rsidRPr="00765546">
        <w:t xml:space="preserve"> or ask the family to request one from the SSA</w:t>
      </w:r>
      <w:r w:rsidR="008A5B1A">
        <w:t xml:space="preserve"> (s</w:t>
      </w:r>
      <w:r w:rsidR="00983751">
        <w:t xml:space="preserve">ee </w:t>
      </w:r>
      <w:r w:rsidR="008A5B1A" w:rsidRPr="008A5B1A">
        <w:rPr>
          <w:b/>
          <w:bCs/>
          <w:color w:val="0070C0"/>
        </w:rPr>
        <w:fldChar w:fldCharType="begin"/>
      </w:r>
      <w:r w:rsidR="008A5B1A" w:rsidRPr="008A5B1A">
        <w:rPr>
          <w:b/>
          <w:bCs/>
          <w:color w:val="0070C0"/>
        </w:rPr>
        <w:instrText xml:space="preserve"> REF _Ref154585211 \h </w:instrText>
      </w:r>
      <w:r w:rsidR="008A5B1A">
        <w:rPr>
          <w:b/>
          <w:bCs/>
          <w:color w:val="0070C0"/>
        </w:rPr>
        <w:instrText xml:space="preserve"> \* MERGEFORMAT </w:instrText>
      </w:r>
      <w:r w:rsidR="008A5B1A" w:rsidRPr="008A5B1A">
        <w:rPr>
          <w:b/>
          <w:bCs/>
          <w:color w:val="0070C0"/>
        </w:rPr>
      </w:r>
      <w:r w:rsidR="008A5B1A" w:rsidRPr="008A5B1A">
        <w:rPr>
          <w:b/>
          <w:bCs/>
          <w:color w:val="0070C0"/>
        </w:rPr>
        <w:fldChar w:fldCharType="separate"/>
      </w:r>
      <w:r w:rsidR="008A5B1A" w:rsidRPr="008A5B1A">
        <w:rPr>
          <w:b/>
          <w:bCs/>
          <w:color w:val="0070C0"/>
        </w:rPr>
        <w:t>Income from Fixed Sources</w:t>
      </w:r>
      <w:r w:rsidR="008A5B1A" w:rsidRPr="008A5B1A">
        <w:rPr>
          <w:b/>
          <w:bCs/>
          <w:color w:val="0070C0"/>
        </w:rPr>
        <w:fldChar w:fldCharType="end"/>
      </w:r>
      <w:r w:rsidR="008A5B1A">
        <w:t>).</w:t>
      </w:r>
    </w:p>
    <w:p w14:paraId="2CA0E5B9" w14:textId="77777777" w:rsidR="00342DCB" w:rsidRPr="00765546" w:rsidRDefault="00E00795" w:rsidP="00342DCB">
      <w:pPr>
        <w:pStyle w:val="Heading4"/>
      </w:pPr>
      <w:r>
        <w:t>Residents</w:t>
      </w:r>
    </w:p>
    <w:p w14:paraId="3399A40E" w14:textId="77777777" w:rsidR="008A5B1A" w:rsidRDefault="00342DCB" w:rsidP="008A5B1A">
      <w:r w:rsidRPr="00765546">
        <w:t xml:space="preserve">To verify the SS/SSI benefits of </w:t>
      </w:r>
      <w:r w:rsidR="00E00795">
        <w:t>resident</w:t>
      </w:r>
      <w:r w:rsidR="009D0543">
        <w:t>s</w:t>
      </w:r>
      <w:r w:rsidRPr="00765546">
        <w:t xml:space="preserve">, </w:t>
      </w:r>
      <w:r>
        <w:t>HHA</w:t>
      </w:r>
      <w:r w:rsidRPr="00765546">
        <w:t xml:space="preserve"> will obtain information about Social Security/SSI benefits through the HUD EIV System, and confirm with the participant(s) that the current listed benefit amount is correct. If the participant disputes the EIV-reported benefit amount, or if benefit information is not available in HUD systems, </w:t>
      </w:r>
      <w:r>
        <w:t>HHA</w:t>
      </w:r>
      <w:r w:rsidRPr="00765546">
        <w:t xml:space="preserve"> will request a current SSA benefit verification letter from each family member that receives SSA benefits. If the family is unable to provide the document(s) </w:t>
      </w:r>
      <w:r>
        <w:t>HHA</w:t>
      </w:r>
      <w:r w:rsidRPr="00765546">
        <w:t xml:space="preserve"> will </w:t>
      </w:r>
      <w:hyperlink r:id="rId16" w:history="1">
        <w:r w:rsidRPr="00765546">
          <w:t>help</w:t>
        </w:r>
      </w:hyperlink>
      <w:r w:rsidRPr="00765546">
        <w:t xml:space="preserve"> the participant request a benefit verification letter from SSA’s website at </w:t>
      </w:r>
      <w:hyperlink r:id="rId17" w:history="1">
        <w:r w:rsidRPr="00765546">
          <w:rPr>
            <w:rStyle w:val="Hyperlink"/>
          </w:rPr>
          <w:t>www.ssa.gov</w:t>
        </w:r>
      </w:hyperlink>
      <w:r w:rsidRPr="00765546">
        <w:t xml:space="preserve"> or ask the family to request one from the </w:t>
      </w:r>
      <w:r w:rsidR="008A5B1A" w:rsidRPr="00765546">
        <w:t>SSA</w:t>
      </w:r>
      <w:r w:rsidR="008A5B1A">
        <w:t xml:space="preserve"> (see </w:t>
      </w:r>
      <w:r w:rsidR="008A5B1A" w:rsidRPr="008A5B1A">
        <w:rPr>
          <w:b/>
          <w:bCs/>
          <w:color w:val="0070C0"/>
        </w:rPr>
        <w:fldChar w:fldCharType="begin"/>
      </w:r>
      <w:r w:rsidR="008A5B1A" w:rsidRPr="008A5B1A">
        <w:rPr>
          <w:b/>
          <w:bCs/>
          <w:color w:val="0070C0"/>
        </w:rPr>
        <w:instrText xml:space="preserve"> REF _Ref154585211 \h </w:instrText>
      </w:r>
      <w:r w:rsidR="008A5B1A">
        <w:rPr>
          <w:b/>
          <w:bCs/>
          <w:color w:val="0070C0"/>
        </w:rPr>
        <w:instrText xml:space="preserve"> \* MERGEFORMAT </w:instrText>
      </w:r>
      <w:r w:rsidR="008A5B1A" w:rsidRPr="008A5B1A">
        <w:rPr>
          <w:b/>
          <w:bCs/>
          <w:color w:val="0070C0"/>
        </w:rPr>
      </w:r>
      <w:r w:rsidR="008A5B1A" w:rsidRPr="008A5B1A">
        <w:rPr>
          <w:b/>
          <w:bCs/>
          <w:color w:val="0070C0"/>
        </w:rPr>
        <w:fldChar w:fldCharType="separate"/>
      </w:r>
      <w:r w:rsidR="008A5B1A" w:rsidRPr="008A5B1A">
        <w:rPr>
          <w:b/>
          <w:bCs/>
          <w:color w:val="0070C0"/>
        </w:rPr>
        <w:t>Income from Fixed Sources</w:t>
      </w:r>
      <w:r w:rsidR="008A5B1A" w:rsidRPr="008A5B1A">
        <w:rPr>
          <w:b/>
          <w:bCs/>
          <w:color w:val="0070C0"/>
        </w:rPr>
        <w:fldChar w:fldCharType="end"/>
      </w:r>
      <w:r w:rsidR="008A5B1A">
        <w:t>).</w:t>
      </w:r>
    </w:p>
    <w:p w14:paraId="28376941" w14:textId="77777777" w:rsidR="00020F8F" w:rsidRDefault="00020F8F" w:rsidP="00B32006">
      <w:pPr>
        <w:pStyle w:val="Heading3"/>
      </w:pPr>
      <w:bookmarkStart w:id="1488" w:name="_Ref154584993"/>
      <w:bookmarkStart w:id="1489" w:name="_Ref154585211"/>
      <w:bookmarkStart w:id="1490" w:name="_Toc200375658"/>
      <w:r>
        <w:t>Income from Fixed Sources</w:t>
      </w:r>
      <w:bookmarkEnd w:id="1488"/>
      <w:bookmarkEnd w:id="1489"/>
      <w:bookmarkEnd w:id="1490"/>
    </w:p>
    <w:p w14:paraId="70CDB6FB" w14:textId="77777777" w:rsidR="00020F8F" w:rsidRDefault="00020F8F" w:rsidP="00020F8F">
      <w:pPr>
        <w:rPr>
          <w:bCs/>
          <w:color w:val="000000"/>
          <w:kern w:val="0"/>
        </w:rPr>
      </w:pPr>
      <w:r>
        <w:t xml:space="preserve">For MTW households, </w:t>
      </w:r>
      <w:r>
        <w:rPr>
          <w:bCs/>
          <w:color w:val="000000"/>
          <w:kern w:val="0"/>
        </w:rPr>
        <w:t>v</w:t>
      </w:r>
      <w:r w:rsidRPr="00243B57">
        <w:rPr>
          <w:bCs/>
          <w:color w:val="000000"/>
          <w:kern w:val="0"/>
        </w:rPr>
        <w:t>erification documents for fixed income sources will be valid for the full calendar year in which the income is effective</w:t>
      </w:r>
      <w:r>
        <w:rPr>
          <w:bCs/>
          <w:color w:val="000000"/>
          <w:kern w:val="0"/>
        </w:rPr>
        <w:t xml:space="preserve"> (see </w:t>
      </w:r>
      <w:r w:rsidR="0069165B" w:rsidRPr="0069165B">
        <w:rPr>
          <w:b/>
          <w:color w:val="0070C0"/>
          <w:kern w:val="0"/>
        </w:rPr>
        <w:fldChar w:fldCharType="begin"/>
      </w:r>
      <w:r w:rsidR="0069165B" w:rsidRPr="0069165B">
        <w:rPr>
          <w:b/>
          <w:color w:val="0070C0"/>
          <w:kern w:val="0"/>
        </w:rPr>
        <w:instrText xml:space="preserve"> REF _Ref154585118 \h  \* MERGEFORMAT </w:instrText>
      </w:r>
      <w:r w:rsidR="0069165B" w:rsidRPr="0069165B">
        <w:rPr>
          <w:b/>
          <w:color w:val="0070C0"/>
          <w:kern w:val="0"/>
        </w:rPr>
      </w:r>
      <w:r w:rsidR="0069165B" w:rsidRPr="0069165B">
        <w:rPr>
          <w:b/>
          <w:color w:val="0070C0"/>
          <w:kern w:val="0"/>
        </w:rPr>
        <w:fldChar w:fldCharType="separate"/>
      </w:r>
      <w:r w:rsidR="0069165B" w:rsidRPr="0069165B">
        <w:rPr>
          <w:b/>
          <w:color w:val="0070C0"/>
        </w:rPr>
        <w:t>Alternative Verification Requirements</w:t>
      </w:r>
      <w:r w:rsidR="0069165B" w:rsidRPr="0069165B">
        <w:rPr>
          <w:b/>
          <w:color w:val="0070C0"/>
          <w:kern w:val="0"/>
        </w:rPr>
        <w:fldChar w:fldCharType="end"/>
      </w:r>
      <w:r>
        <w:rPr>
          <w:bCs/>
          <w:color w:val="000000"/>
          <w:kern w:val="0"/>
        </w:rPr>
        <w:t>)</w:t>
      </w:r>
      <w:r w:rsidRPr="00243B57">
        <w:rPr>
          <w:bCs/>
          <w:color w:val="000000"/>
          <w:kern w:val="0"/>
        </w:rPr>
        <w:t>.</w:t>
      </w:r>
    </w:p>
    <w:p w14:paraId="1EF1A941" w14:textId="77777777" w:rsidR="00342DCB" w:rsidRPr="00765546" w:rsidRDefault="00342DCB" w:rsidP="00677451">
      <w:pPr>
        <w:pStyle w:val="Heading3"/>
      </w:pPr>
      <w:bookmarkStart w:id="1491" w:name="_Toc516735468"/>
      <w:bookmarkStart w:id="1492" w:name="_Toc527019466"/>
      <w:bookmarkStart w:id="1493" w:name="_Toc534707004"/>
      <w:bookmarkStart w:id="1494" w:name="_Toc534707682"/>
      <w:bookmarkStart w:id="1495" w:name="_Toc534708490"/>
      <w:bookmarkStart w:id="1496" w:name="_Toc118116075"/>
      <w:bookmarkStart w:id="1497" w:name="_Toc200375659"/>
      <w:r w:rsidRPr="00765546">
        <w:t>Child Support</w:t>
      </w:r>
      <w:bookmarkEnd w:id="1491"/>
      <w:bookmarkEnd w:id="1492"/>
      <w:bookmarkEnd w:id="1493"/>
      <w:bookmarkEnd w:id="1494"/>
      <w:bookmarkEnd w:id="1495"/>
      <w:bookmarkEnd w:id="1496"/>
      <w:r w:rsidR="003E4B1A">
        <w:t xml:space="preserve"> and Alimony</w:t>
      </w:r>
      <w:bookmarkEnd w:id="1497"/>
    </w:p>
    <w:p w14:paraId="37F6F602" w14:textId="77777777" w:rsidR="00342DCB" w:rsidRDefault="00342DCB" w:rsidP="00342DCB">
      <w:pPr>
        <w:autoSpaceDE w:val="0"/>
        <w:autoSpaceDN w:val="0"/>
        <w:adjustRightInd w:val="0"/>
        <w:rPr>
          <w:rFonts w:cs="Arial"/>
          <w:color w:val="000000"/>
          <w:szCs w:val="20"/>
        </w:rPr>
      </w:pPr>
      <w:bookmarkStart w:id="1498" w:name="_Hlk113360594"/>
      <w:r w:rsidRPr="00765546">
        <w:rPr>
          <w:rFonts w:cs="Arial"/>
          <w:color w:val="000000"/>
          <w:szCs w:val="20"/>
        </w:rPr>
        <w:t xml:space="preserve">If the family declares that </w:t>
      </w:r>
      <w:r w:rsidRPr="001B5213">
        <w:rPr>
          <w:rFonts w:cs="Arial"/>
          <w:color w:val="000000"/>
          <w:szCs w:val="20"/>
        </w:rPr>
        <w:t>it receives child support</w:t>
      </w:r>
      <w:r w:rsidR="00E001FD">
        <w:rPr>
          <w:rFonts w:cs="Arial"/>
          <w:color w:val="000000"/>
          <w:szCs w:val="20"/>
        </w:rPr>
        <w:t xml:space="preserve"> or alimony payments</w:t>
      </w:r>
      <w:r w:rsidRPr="00765546">
        <w:rPr>
          <w:rFonts w:cs="Arial"/>
          <w:color w:val="000000"/>
          <w:szCs w:val="20"/>
        </w:rPr>
        <w:t>,</w:t>
      </w:r>
      <w:r>
        <w:rPr>
          <w:rFonts w:cs="Arial"/>
          <w:color w:val="000000"/>
          <w:szCs w:val="20"/>
        </w:rPr>
        <w:t xml:space="preserve"> whether regular or irregular, HHA</w:t>
      </w:r>
      <w:r w:rsidRPr="00765546">
        <w:rPr>
          <w:rFonts w:cs="Arial"/>
          <w:color w:val="000000"/>
          <w:szCs w:val="20"/>
        </w:rPr>
        <w:t xml:space="preserve"> will </w:t>
      </w:r>
      <w:r w:rsidR="008E2C87">
        <w:rPr>
          <w:rFonts w:cs="Arial"/>
          <w:color w:val="000000"/>
          <w:szCs w:val="20"/>
        </w:rPr>
        <w:t>request</w:t>
      </w:r>
      <w:r>
        <w:rPr>
          <w:rFonts w:cs="Arial"/>
          <w:color w:val="000000"/>
          <w:szCs w:val="20"/>
        </w:rPr>
        <w:t xml:space="preserve"> third</w:t>
      </w:r>
      <w:r w:rsidR="000B39AF">
        <w:rPr>
          <w:rFonts w:cs="Arial"/>
          <w:color w:val="000000"/>
          <w:szCs w:val="20"/>
        </w:rPr>
        <w:t>-</w:t>
      </w:r>
      <w:r>
        <w:rPr>
          <w:rFonts w:cs="Arial"/>
          <w:color w:val="000000"/>
          <w:szCs w:val="20"/>
        </w:rPr>
        <w:t>party verification</w:t>
      </w:r>
      <w:r w:rsidRPr="00765546">
        <w:rPr>
          <w:rFonts w:cs="Arial"/>
          <w:color w:val="000000"/>
          <w:szCs w:val="20"/>
        </w:rPr>
        <w:t xml:space="preserve"> </w:t>
      </w:r>
      <w:r>
        <w:rPr>
          <w:rFonts w:cs="Arial"/>
          <w:color w:val="000000"/>
          <w:szCs w:val="20"/>
        </w:rPr>
        <w:t>from</w:t>
      </w:r>
      <w:r w:rsidRPr="00765546">
        <w:rPr>
          <w:rFonts w:cs="Arial"/>
          <w:color w:val="000000"/>
          <w:szCs w:val="20"/>
        </w:rPr>
        <w:t xml:space="preserve"> </w:t>
      </w:r>
      <w:bookmarkStart w:id="1499" w:name="_Hlk113361434"/>
      <w:r w:rsidRPr="00765546">
        <w:rPr>
          <w:rFonts w:cs="Arial"/>
          <w:color w:val="000000"/>
          <w:szCs w:val="20"/>
        </w:rPr>
        <w:t>the enforcement agency</w:t>
      </w:r>
      <w:r>
        <w:rPr>
          <w:rFonts w:cs="Arial"/>
          <w:color w:val="000000"/>
          <w:szCs w:val="20"/>
        </w:rPr>
        <w:t xml:space="preserve"> or support provider.</w:t>
      </w:r>
      <w:bookmarkEnd w:id="1499"/>
    </w:p>
    <w:p w14:paraId="18488AF0" w14:textId="77777777" w:rsidR="009E58BD" w:rsidRDefault="009E58BD" w:rsidP="00677451">
      <w:pPr>
        <w:pStyle w:val="Heading3"/>
      </w:pPr>
      <w:bookmarkStart w:id="1500" w:name="_Toc200375660"/>
      <w:r>
        <w:t>Income</w:t>
      </w:r>
      <w:r w:rsidR="007946C9">
        <w:t xml:space="preserve"> from Retirement Accounts</w:t>
      </w:r>
      <w:bookmarkEnd w:id="1500"/>
    </w:p>
    <w:p w14:paraId="3206D55B" w14:textId="77777777" w:rsidR="009E58BD" w:rsidRDefault="004B7214" w:rsidP="00342DCB">
      <w:pPr>
        <w:autoSpaceDE w:val="0"/>
        <w:autoSpaceDN w:val="0"/>
        <w:adjustRightInd w:val="0"/>
        <w:rPr>
          <w:rFonts w:cs="Arial"/>
          <w:color w:val="000000"/>
          <w:szCs w:val="20"/>
        </w:rPr>
      </w:pPr>
      <w:r>
        <w:rPr>
          <w:rFonts w:cs="Arial"/>
          <w:color w:val="000000"/>
          <w:szCs w:val="20"/>
        </w:rPr>
        <w:t>HHA will accept a document from the entity holding the account dated no earlier than 12 months before that reflects any distributions of the account balance, any lump sums take</w:t>
      </w:r>
      <w:r w:rsidR="00D758F7">
        <w:rPr>
          <w:rFonts w:cs="Arial"/>
          <w:color w:val="000000"/>
          <w:szCs w:val="20"/>
        </w:rPr>
        <w:t>n</w:t>
      </w:r>
      <w:r>
        <w:rPr>
          <w:rFonts w:cs="Arial"/>
          <w:color w:val="000000"/>
          <w:szCs w:val="20"/>
        </w:rPr>
        <w:t>, and any regular payments.</w:t>
      </w:r>
    </w:p>
    <w:p w14:paraId="46E66271" w14:textId="77777777" w:rsidR="00D06BE2" w:rsidRDefault="00D06BE2" w:rsidP="00EC3AD8">
      <w:pPr>
        <w:pStyle w:val="Heading3"/>
      </w:pPr>
      <w:bookmarkStart w:id="1501" w:name="_Toc200375661"/>
      <w:r>
        <w:t>Student Financial</w:t>
      </w:r>
      <w:r w:rsidR="00E57F52">
        <w:t xml:space="preserve"> Assistance</w:t>
      </w:r>
      <w:bookmarkEnd w:id="1501"/>
    </w:p>
    <w:p w14:paraId="0F5B624B" w14:textId="77777777" w:rsidR="00B8643B" w:rsidRPr="006D5285" w:rsidRDefault="00A33468" w:rsidP="00171CF1">
      <w:pPr>
        <w:pStyle w:val="00Normal"/>
        <w:spacing w:after="160" w:line="259" w:lineRule="auto"/>
        <w:jc w:val="both"/>
        <w:rPr>
          <w:sz w:val="22"/>
          <w:szCs w:val="22"/>
        </w:rPr>
      </w:pPr>
      <w:r w:rsidRPr="006D5285">
        <w:rPr>
          <w:sz w:val="22"/>
          <w:szCs w:val="22"/>
        </w:rPr>
        <w:t xml:space="preserve">See </w:t>
      </w:r>
      <w:r w:rsidR="00171CF1" w:rsidRPr="006D5285">
        <w:rPr>
          <w:b/>
          <w:bCs/>
          <w:color w:val="0070C0"/>
          <w:sz w:val="22"/>
          <w:szCs w:val="22"/>
        </w:rPr>
        <w:fldChar w:fldCharType="begin"/>
      </w:r>
      <w:r w:rsidR="00171CF1" w:rsidRPr="006D5285">
        <w:rPr>
          <w:b/>
          <w:bCs/>
          <w:color w:val="0070C0"/>
          <w:sz w:val="22"/>
          <w:szCs w:val="22"/>
        </w:rPr>
        <w:instrText xml:space="preserve"> REF _Ref155179307 \h  \* MERGEFORMAT </w:instrText>
      </w:r>
      <w:r w:rsidR="00171CF1" w:rsidRPr="006D5285">
        <w:rPr>
          <w:b/>
          <w:bCs/>
          <w:color w:val="0070C0"/>
          <w:sz w:val="22"/>
          <w:szCs w:val="22"/>
        </w:rPr>
      </w:r>
      <w:r w:rsidR="00171CF1" w:rsidRPr="006D5285">
        <w:rPr>
          <w:b/>
          <w:bCs/>
          <w:color w:val="0070C0"/>
          <w:sz w:val="22"/>
          <w:szCs w:val="22"/>
        </w:rPr>
        <w:fldChar w:fldCharType="separate"/>
      </w:r>
      <w:r w:rsidR="00171CF1" w:rsidRPr="006D5285">
        <w:rPr>
          <w:b/>
          <w:bCs/>
          <w:color w:val="0070C0"/>
          <w:sz w:val="22"/>
          <w:szCs w:val="22"/>
        </w:rPr>
        <w:t>Verification of Student Financial Assistance and Fees</w:t>
      </w:r>
      <w:r w:rsidR="00171CF1" w:rsidRPr="006D5285">
        <w:rPr>
          <w:b/>
          <w:bCs/>
          <w:color w:val="0070C0"/>
          <w:sz w:val="22"/>
          <w:szCs w:val="22"/>
        </w:rPr>
        <w:fldChar w:fldCharType="end"/>
      </w:r>
      <w:r w:rsidR="00171CF1" w:rsidRPr="006D5285">
        <w:rPr>
          <w:sz w:val="22"/>
          <w:szCs w:val="22"/>
        </w:rPr>
        <w:t xml:space="preserve"> in the section under </w:t>
      </w:r>
      <w:r w:rsidR="00171CF1" w:rsidRPr="006D5285">
        <w:rPr>
          <w:b/>
          <w:bCs/>
          <w:color w:val="0070C0"/>
          <w:sz w:val="22"/>
          <w:szCs w:val="22"/>
        </w:rPr>
        <w:fldChar w:fldCharType="begin"/>
      </w:r>
      <w:r w:rsidR="00171CF1" w:rsidRPr="006D5285">
        <w:rPr>
          <w:b/>
          <w:bCs/>
          <w:color w:val="0070C0"/>
          <w:sz w:val="22"/>
          <w:szCs w:val="22"/>
        </w:rPr>
        <w:instrText xml:space="preserve"> REF _Ref158904087 \h  \* MERGEFORMAT </w:instrText>
      </w:r>
      <w:r w:rsidR="00171CF1" w:rsidRPr="006D5285">
        <w:rPr>
          <w:b/>
          <w:bCs/>
          <w:color w:val="0070C0"/>
          <w:sz w:val="22"/>
          <w:szCs w:val="22"/>
        </w:rPr>
      </w:r>
      <w:r w:rsidR="00171CF1" w:rsidRPr="006D5285">
        <w:rPr>
          <w:b/>
          <w:bCs/>
          <w:color w:val="0070C0"/>
          <w:sz w:val="22"/>
          <w:szCs w:val="22"/>
        </w:rPr>
        <w:fldChar w:fldCharType="separate"/>
      </w:r>
      <w:r w:rsidR="00171CF1" w:rsidRPr="006D5285">
        <w:rPr>
          <w:b/>
          <w:bCs/>
          <w:color w:val="0070C0"/>
          <w:sz w:val="22"/>
          <w:szCs w:val="22"/>
        </w:rPr>
        <w:t>Student Status Verification</w:t>
      </w:r>
      <w:r w:rsidR="00171CF1" w:rsidRPr="006D5285">
        <w:rPr>
          <w:b/>
          <w:bCs/>
          <w:color w:val="0070C0"/>
          <w:sz w:val="22"/>
          <w:szCs w:val="22"/>
        </w:rPr>
        <w:fldChar w:fldCharType="end"/>
      </w:r>
      <w:r w:rsidR="00171CF1" w:rsidRPr="006D5285">
        <w:rPr>
          <w:sz w:val="22"/>
          <w:szCs w:val="22"/>
        </w:rPr>
        <w:t>.</w:t>
      </w:r>
    </w:p>
    <w:p w14:paraId="3FD69789" w14:textId="77777777" w:rsidR="007777B6" w:rsidRDefault="007777B6" w:rsidP="00677451">
      <w:pPr>
        <w:pStyle w:val="Heading3"/>
      </w:pPr>
      <w:bookmarkStart w:id="1502" w:name="_Toc200375662"/>
      <w:r>
        <w:t>Non-Recurring Income</w:t>
      </w:r>
      <w:bookmarkEnd w:id="1502"/>
    </w:p>
    <w:p w14:paraId="268036C4" w14:textId="77777777" w:rsidR="00D64EB7" w:rsidRPr="00D64EB7" w:rsidRDefault="00E14008" w:rsidP="00D64EB7">
      <w:pPr>
        <w:autoSpaceDE w:val="0"/>
        <w:autoSpaceDN w:val="0"/>
        <w:adjustRightInd w:val="0"/>
        <w:rPr>
          <w:rFonts w:cs="Arial"/>
          <w:color w:val="000000"/>
          <w:szCs w:val="20"/>
        </w:rPr>
      </w:pPr>
      <w:r w:rsidRPr="00D64EB7">
        <w:rPr>
          <w:rFonts w:cs="Arial"/>
          <w:color w:val="000000"/>
          <w:szCs w:val="20"/>
        </w:rPr>
        <w:t xml:space="preserve">Income that will not be repeated beyond the coming year (i.e., the 12 months following the effective date of the certification), based on information provided by the family, is considered nonrecurring income and is excluded from annual income. </w:t>
      </w:r>
      <w:r w:rsidR="00D64EB7">
        <w:rPr>
          <w:rFonts w:cs="Arial"/>
          <w:color w:val="000000"/>
          <w:szCs w:val="20"/>
        </w:rPr>
        <w:t>HHA</w:t>
      </w:r>
      <w:r w:rsidRPr="00D64EB7">
        <w:rPr>
          <w:rFonts w:cs="Arial"/>
          <w:color w:val="000000"/>
          <w:szCs w:val="20"/>
        </w:rPr>
        <w:t xml:space="preserve"> may accept a self-certification from the family stating that the income will not be repeated in the coming year.</w:t>
      </w:r>
      <w:r w:rsidR="00D64EB7" w:rsidRPr="00D64EB7">
        <w:rPr>
          <w:rFonts w:cs="Arial"/>
          <w:color w:val="000000"/>
          <w:szCs w:val="20"/>
        </w:rPr>
        <w:t xml:space="preserve"> However, </w:t>
      </w:r>
      <w:r w:rsidR="00D64EB7">
        <w:rPr>
          <w:rFonts w:cs="Arial"/>
          <w:color w:val="000000"/>
          <w:szCs w:val="20"/>
        </w:rPr>
        <w:t>HHA</w:t>
      </w:r>
      <w:r w:rsidR="00D64EB7" w:rsidRPr="00D64EB7">
        <w:rPr>
          <w:rFonts w:cs="Arial"/>
          <w:color w:val="000000"/>
          <w:szCs w:val="20"/>
        </w:rPr>
        <w:t xml:space="preserve"> may choose, on a case-by-case basis, to require third-party verification that income sources will not be repeated in the coming year.</w:t>
      </w:r>
    </w:p>
    <w:p w14:paraId="1FC1C86F" w14:textId="77777777" w:rsidR="00342DCB" w:rsidRPr="00117188" w:rsidRDefault="00342DCB" w:rsidP="00677451">
      <w:pPr>
        <w:pStyle w:val="Heading3"/>
      </w:pPr>
      <w:bookmarkStart w:id="1503" w:name="_Toc516735470"/>
      <w:bookmarkStart w:id="1504" w:name="_Toc527019468"/>
      <w:bookmarkStart w:id="1505" w:name="_Toc534707006"/>
      <w:bookmarkStart w:id="1506" w:name="_Toc534707684"/>
      <w:bookmarkStart w:id="1507" w:name="_Toc534708492"/>
      <w:bookmarkStart w:id="1508" w:name="_Toc118116077"/>
      <w:bookmarkStart w:id="1509" w:name="_Ref148100750"/>
      <w:bookmarkStart w:id="1510" w:name="_Toc200375663"/>
      <w:bookmarkEnd w:id="1498"/>
      <w:r w:rsidRPr="00765546">
        <w:t xml:space="preserve">Income from </w:t>
      </w:r>
      <w:r w:rsidRPr="00117188">
        <w:t>Excluded</w:t>
      </w:r>
      <w:r w:rsidRPr="00765546">
        <w:t xml:space="preserve"> Sources</w:t>
      </w:r>
      <w:bookmarkEnd w:id="1503"/>
      <w:bookmarkEnd w:id="1504"/>
      <w:bookmarkEnd w:id="1505"/>
      <w:bookmarkEnd w:id="1506"/>
      <w:bookmarkEnd w:id="1507"/>
      <w:bookmarkEnd w:id="1508"/>
      <w:bookmarkEnd w:id="1509"/>
      <w:bookmarkEnd w:id="1510"/>
    </w:p>
    <w:p w14:paraId="68330BE2" w14:textId="77777777" w:rsidR="004A24DA" w:rsidRPr="00765546" w:rsidRDefault="004A24DA" w:rsidP="004A24DA">
      <w:pPr>
        <w:autoSpaceDE w:val="0"/>
        <w:autoSpaceDN w:val="0"/>
        <w:adjustRightInd w:val="0"/>
        <w:rPr>
          <w:rFonts w:cs="Arial"/>
          <w:color w:val="000000"/>
          <w:szCs w:val="20"/>
        </w:rPr>
      </w:pPr>
      <w:r w:rsidRPr="00765546">
        <w:rPr>
          <w:rFonts w:cs="Arial"/>
          <w:color w:val="000000"/>
          <w:szCs w:val="20"/>
        </w:rPr>
        <w:t xml:space="preserve">For </w:t>
      </w:r>
      <w:r w:rsidRPr="00117188">
        <w:rPr>
          <w:rFonts w:cs="Arial"/>
          <w:color w:val="000000"/>
          <w:szCs w:val="20"/>
        </w:rPr>
        <w:t>fully excluded income</w:t>
      </w:r>
      <w:r w:rsidR="00941697">
        <w:rPr>
          <w:rFonts w:cs="Arial"/>
          <w:color w:val="000000"/>
          <w:szCs w:val="20"/>
        </w:rPr>
        <w:t xml:space="preserve"> (see </w:t>
      </w:r>
      <w:r w:rsidR="00941697" w:rsidRPr="00941697">
        <w:rPr>
          <w:rFonts w:cs="Arial"/>
          <w:b/>
          <w:bCs/>
          <w:color w:val="0070C0"/>
          <w:szCs w:val="20"/>
        </w:rPr>
        <w:fldChar w:fldCharType="begin"/>
      </w:r>
      <w:r w:rsidR="00941697" w:rsidRPr="00941697">
        <w:rPr>
          <w:rFonts w:cs="Arial"/>
          <w:b/>
          <w:bCs/>
          <w:color w:val="0070C0"/>
          <w:szCs w:val="20"/>
        </w:rPr>
        <w:instrText xml:space="preserve"> REF _Ref148682977 \h  \* MERGEFORMAT </w:instrText>
      </w:r>
      <w:r w:rsidR="00941697" w:rsidRPr="00941697">
        <w:rPr>
          <w:rFonts w:cs="Arial"/>
          <w:b/>
          <w:bCs/>
          <w:color w:val="0070C0"/>
          <w:szCs w:val="20"/>
        </w:rPr>
      </w:r>
      <w:r w:rsidR="00941697" w:rsidRPr="00941697">
        <w:rPr>
          <w:rFonts w:cs="Arial"/>
          <w:b/>
          <w:bCs/>
          <w:color w:val="0070C0"/>
          <w:szCs w:val="20"/>
        </w:rPr>
        <w:fldChar w:fldCharType="separate"/>
      </w:r>
      <w:r w:rsidR="00941697" w:rsidRPr="00941697">
        <w:rPr>
          <w:b/>
          <w:bCs/>
          <w:color w:val="0070C0"/>
        </w:rPr>
        <w:t>Annual Income Exclusions</w:t>
      </w:r>
      <w:r w:rsidR="00941697" w:rsidRPr="00941697">
        <w:rPr>
          <w:rFonts w:cs="Arial"/>
          <w:b/>
          <w:bCs/>
          <w:color w:val="0070C0"/>
          <w:szCs w:val="20"/>
        </w:rPr>
        <w:fldChar w:fldCharType="end"/>
      </w:r>
      <w:r w:rsidR="00941697">
        <w:rPr>
          <w:rFonts w:cs="Arial"/>
          <w:color w:val="000000"/>
          <w:szCs w:val="20"/>
        </w:rPr>
        <w:t>)</w:t>
      </w:r>
      <w:r w:rsidRPr="00765546">
        <w:rPr>
          <w:rFonts w:cs="Arial"/>
          <w:color w:val="000000"/>
          <w:szCs w:val="20"/>
        </w:rPr>
        <w:t xml:space="preserve">, </w:t>
      </w:r>
      <w:r>
        <w:rPr>
          <w:rFonts w:cs="Arial"/>
          <w:color w:val="000000"/>
          <w:szCs w:val="20"/>
        </w:rPr>
        <w:t>HHA</w:t>
      </w:r>
      <w:r w:rsidRPr="00765546">
        <w:rPr>
          <w:rFonts w:cs="Arial"/>
          <w:color w:val="000000"/>
          <w:szCs w:val="20"/>
        </w:rPr>
        <w:t xml:space="preserve"> is </w:t>
      </w:r>
      <w:r w:rsidRPr="00117188">
        <w:rPr>
          <w:rFonts w:cs="Arial"/>
          <w:color w:val="000000"/>
          <w:szCs w:val="20"/>
        </w:rPr>
        <w:t xml:space="preserve">not </w:t>
      </w:r>
      <w:r w:rsidRPr="00765546">
        <w:rPr>
          <w:rFonts w:cs="Arial"/>
          <w:color w:val="000000"/>
          <w:szCs w:val="20"/>
        </w:rPr>
        <w:t xml:space="preserve">required to follow the verification hierarchy, document why third-party verification is not available, or report the income on the 50058. </w:t>
      </w:r>
      <w:r>
        <w:rPr>
          <w:rFonts w:cs="Arial"/>
          <w:color w:val="000000"/>
          <w:szCs w:val="20"/>
        </w:rPr>
        <w:t>HHA</w:t>
      </w:r>
      <w:r w:rsidRPr="00765546">
        <w:rPr>
          <w:rFonts w:cs="Arial"/>
          <w:color w:val="000000"/>
          <w:szCs w:val="20"/>
        </w:rPr>
        <w:t xml:space="preserve"> will accept the family’s self-certification as verification of fully excluded income. </w:t>
      </w:r>
      <w:r>
        <w:rPr>
          <w:rFonts w:cs="Arial"/>
          <w:color w:val="000000"/>
          <w:szCs w:val="20"/>
        </w:rPr>
        <w:t>HHA</w:t>
      </w:r>
      <w:r w:rsidRPr="00117188">
        <w:rPr>
          <w:rFonts w:cs="Arial"/>
          <w:color w:val="000000"/>
          <w:szCs w:val="20"/>
        </w:rPr>
        <w:t xml:space="preserve"> </w:t>
      </w:r>
      <w:r w:rsidRPr="00765546">
        <w:rPr>
          <w:rFonts w:cs="Arial"/>
          <w:color w:val="000000"/>
          <w:szCs w:val="20"/>
        </w:rPr>
        <w:t>may request additional documentation if necessary to document the income source.</w:t>
      </w:r>
    </w:p>
    <w:p w14:paraId="095BDAD6" w14:textId="77777777" w:rsidR="00EB6A48" w:rsidRDefault="00EB6A48" w:rsidP="00EB6A48">
      <w:pPr>
        <w:autoSpaceDE w:val="0"/>
        <w:autoSpaceDN w:val="0"/>
        <w:adjustRightInd w:val="0"/>
        <w:rPr>
          <w:rFonts w:cs="Arial"/>
          <w:color w:val="000000"/>
          <w:szCs w:val="20"/>
        </w:rPr>
      </w:pPr>
      <w:r w:rsidRPr="00685D5D">
        <w:rPr>
          <w:rFonts w:cs="Arial"/>
          <w:color w:val="000000"/>
          <w:szCs w:val="20"/>
        </w:rPr>
        <w:t xml:space="preserve">However, if the family is claiming exemption from </w:t>
      </w:r>
      <w:r w:rsidRPr="00F4424D">
        <w:rPr>
          <w:rFonts w:cs="Arial"/>
          <w:color w:val="000000"/>
          <w:szCs w:val="20"/>
        </w:rPr>
        <w:t xml:space="preserve">the </w:t>
      </w:r>
      <w:r w:rsidR="006866DA" w:rsidRPr="00F4424D">
        <w:rPr>
          <w:rFonts w:cs="Arial"/>
          <w:b/>
          <w:bCs/>
          <w:color w:val="0070C0"/>
          <w:szCs w:val="20"/>
        </w:rPr>
        <w:fldChar w:fldCharType="begin"/>
      </w:r>
      <w:r w:rsidR="006866DA" w:rsidRPr="00F4424D">
        <w:rPr>
          <w:rFonts w:cs="Arial"/>
          <w:b/>
          <w:bCs/>
          <w:color w:val="0070C0"/>
          <w:szCs w:val="20"/>
        </w:rPr>
        <w:instrText xml:space="preserve"> REF _Ref150424972 \h  \* MERGEFORMAT </w:instrText>
      </w:r>
      <w:r w:rsidR="006866DA" w:rsidRPr="00F4424D">
        <w:rPr>
          <w:rFonts w:cs="Arial"/>
          <w:b/>
          <w:bCs/>
          <w:color w:val="0070C0"/>
          <w:szCs w:val="20"/>
        </w:rPr>
      </w:r>
      <w:r w:rsidR="006866DA" w:rsidRPr="00F4424D">
        <w:rPr>
          <w:rFonts w:cs="Arial"/>
          <w:b/>
          <w:bCs/>
          <w:color w:val="0070C0"/>
          <w:szCs w:val="20"/>
        </w:rPr>
        <w:fldChar w:fldCharType="separate"/>
      </w:r>
      <w:r w:rsidR="006866DA" w:rsidRPr="00F4424D">
        <w:rPr>
          <w:b/>
          <w:bCs/>
          <w:color w:val="0070C0"/>
        </w:rPr>
        <w:t>COMMUNITY SERVICE</w:t>
      </w:r>
      <w:r w:rsidR="006866DA" w:rsidRPr="00F4424D">
        <w:rPr>
          <w:rFonts w:cs="Arial"/>
          <w:b/>
          <w:bCs/>
          <w:color w:val="0070C0"/>
          <w:szCs w:val="20"/>
        </w:rPr>
        <w:fldChar w:fldCharType="end"/>
      </w:r>
      <w:r w:rsidRPr="00F4424D">
        <w:rPr>
          <w:rFonts w:cs="Arial"/>
          <w:color w:val="000000"/>
          <w:szCs w:val="20"/>
        </w:rPr>
        <w:t xml:space="preserve"> requirement</w:t>
      </w:r>
      <w:r w:rsidRPr="00685D5D">
        <w:rPr>
          <w:rFonts w:cs="Arial"/>
          <w:color w:val="000000"/>
          <w:szCs w:val="20"/>
        </w:rPr>
        <w:t xml:space="preserve"> based on receipt of food stamps, third-party verification of Supplemental Nutrition Assistance Payments (SNAP), or food stamps, dated within the prior </w:t>
      </w:r>
      <w:r w:rsidR="00DB549A">
        <w:rPr>
          <w:rFonts w:cs="Arial"/>
          <w:color w:val="000000"/>
          <w:szCs w:val="20"/>
        </w:rPr>
        <w:t>180</w:t>
      </w:r>
      <w:r w:rsidRPr="00685D5D">
        <w:rPr>
          <w:rFonts w:cs="Arial"/>
          <w:color w:val="000000"/>
          <w:szCs w:val="20"/>
        </w:rPr>
        <w:t xml:space="preserve"> days is required.</w:t>
      </w:r>
    </w:p>
    <w:p w14:paraId="23E6EF47" w14:textId="77777777" w:rsidR="00940194" w:rsidRPr="00122C89" w:rsidRDefault="00940194" w:rsidP="00EB6A48">
      <w:pPr>
        <w:autoSpaceDE w:val="0"/>
        <w:autoSpaceDN w:val="0"/>
        <w:adjustRightInd w:val="0"/>
        <w:rPr>
          <w:rFonts w:cs="Arial"/>
          <w:color w:val="000000"/>
          <w:szCs w:val="20"/>
        </w:rPr>
      </w:pPr>
      <w:r>
        <w:rPr>
          <w:rFonts w:cs="Arial"/>
          <w:color w:val="000000"/>
          <w:szCs w:val="20"/>
        </w:rPr>
        <w:t xml:space="preserve">Also, HHA may require verification </w:t>
      </w:r>
      <w:r w:rsidR="008C632F">
        <w:rPr>
          <w:rFonts w:cs="Arial"/>
          <w:color w:val="000000"/>
          <w:szCs w:val="20"/>
        </w:rPr>
        <w:t>where there is a doubt that a source of income qualifies for full exclusion.</w:t>
      </w:r>
    </w:p>
    <w:p w14:paraId="6D763EB9" w14:textId="77777777" w:rsidR="00342DCB" w:rsidRPr="00117188" w:rsidRDefault="00342DCB" w:rsidP="00342DCB">
      <w:pPr>
        <w:autoSpaceDE w:val="0"/>
        <w:autoSpaceDN w:val="0"/>
        <w:adjustRightInd w:val="0"/>
        <w:rPr>
          <w:rFonts w:cs="Arial"/>
          <w:color w:val="000000"/>
          <w:szCs w:val="20"/>
        </w:rPr>
      </w:pPr>
      <w:r w:rsidRPr="00117188">
        <w:rPr>
          <w:rFonts w:cs="Arial"/>
          <w:color w:val="000000"/>
          <w:szCs w:val="20"/>
        </w:rPr>
        <w:t xml:space="preserve">Partially excluded income is defined as income where only a certain portion of what is reported by the family qualifies to be excluded and the remainder is included in annual income (for example, the income of an adult full-time student, or income excluded under the earned income disallowance). HHA will verify the source and amount of partially excluded income. </w:t>
      </w:r>
    </w:p>
    <w:p w14:paraId="6C51276E" w14:textId="77777777" w:rsidR="00342DCB" w:rsidRPr="00765546" w:rsidRDefault="00342DCB" w:rsidP="00677451">
      <w:pPr>
        <w:pStyle w:val="Heading3"/>
      </w:pPr>
      <w:bookmarkStart w:id="1511" w:name="_Toc516735471"/>
      <w:bookmarkStart w:id="1512" w:name="_Ref525127509"/>
      <w:bookmarkStart w:id="1513" w:name="_Ref526754258"/>
      <w:bookmarkStart w:id="1514" w:name="_Toc527019469"/>
      <w:bookmarkStart w:id="1515" w:name="_Toc534707007"/>
      <w:bookmarkStart w:id="1516" w:name="_Toc534707685"/>
      <w:bookmarkStart w:id="1517" w:name="_Toc534708493"/>
      <w:bookmarkStart w:id="1518" w:name="_Toc118116078"/>
      <w:bookmarkStart w:id="1519" w:name="_Toc200375664"/>
      <w:r w:rsidRPr="00765546">
        <w:t>Zero Income Household</w:t>
      </w:r>
      <w:bookmarkEnd w:id="1511"/>
      <w:bookmarkEnd w:id="1512"/>
      <w:bookmarkEnd w:id="1513"/>
      <w:bookmarkEnd w:id="1514"/>
      <w:bookmarkEnd w:id="1515"/>
      <w:bookmarkEnd w:id="1516"/>
      <w:bookmarkEnd w:id="1517"/>
      <w:bookmarkEnd w:id="1518"/>
      <w:bookmarkEnd w:id="1519"/>
    </w:p>
    <w:p w14:paraId="00629A48" w14:textId="77777777" w:rsidR="00342DCB" w:rsidRPr="00765546" w:rsidRDefault="00342DCB" w:rsidP="00342DCB">
      <w:r w:rsidRPr="00765546">
        <w:t>Families claiming no annual income will be required to execute verification forms to determine that certain forms of income outside the realm of EIV are not being received by the household. Receipt of Supplemental Nutrition Assistance Program (SNAP)/food stamp benefits is not considered income for the purposes of zero income verification; families receiving SNAP with no other income will be required to verify zero income status as described in this section.</w:t>
      </w:r>
    </w:p>
    <w:p w14:paraId="61C55E3F" w14:textId="77777777" w:rsidR="00342DCB" w:rsidRPr="006F5CEA" w:rsidRDefault="00342DCB" w:rsidP="00342DCB">
      <w:r w:rsidRPr="00765546">
        <w:t xml:space="preserve">Any payments paid on behalf of the family and other cash or non-cash contributions provided on a recurring basis may </w:t>
      </w:r>
      <w:r w:rsidRPr="006F5CEA">
        <w:t>be counted as income depending on the duration and circumstances.</w:t>
      </w:r>
    </w:p>
    <w:p w14:paraId="6BBD8987" w14:textId="77777777" w:rsidR="00342DCB" w:rsidRPr="006F5CEA" w:rsidRDefault="00342DCB" w:rsidP="00342DCB">
      <w:pPr>
        <w:rPr>
          <w:rFonts w:cs="Arial"/>
          <w:szCs w:val="20"/>
        </w:rPr>
      </w:pPr>
      <w:r w:rsidRPr="006F5CEA">
        <w:rPr>
          <w:rFonts w:cs="Arial"/>
          <w:szCs w:val="20"/>
        </w:rPr>
        <w:t xml:space="preserve">See </w:t>
      </w:r>
      <w:r w:rsidRPr="006F5CEA">
        <w:rPr>
          <w:rFonts w:cs="Arial"/>
          <w:b/>
          <w:color w:val="0070C0"/>
          <w:szCs w:val="20"/>
        </w:rPr>
        <w:fldChar w:fldCharType="begin"/>
      </w:r>
      <w:r w:rsidRPr="006F5CEA">
        <w:rPr>
          <w:rFonts w:cs="Arial"/>
          <w:b/>
          <w:color w:val="0070C0"/>
          <w:szCs w:val="20"/>
        </w:rPr>
        <w:instrText xml:space="preserve"> REF _Ref1569068 \h  \* MERGEFORMAT </w:instrText>
      </w:r>
      <w:r w:rsidRPr="006F5CEA">
        <w:rPr>
          <w:rFonts w:cs="Arial"/>
          <w:b/>
          <w:color w:val="0070C0"/>
          <w:szCs w:val="20"/>
        </w:rPr>
      </w:r>
      <w:r w:rsidRPr="006F5CEA">
        <w:rPr>
          <w:rFonts w:cs="Arial"/>
          <w:b/>
          <w:color w:val="0070C0"/>
          <w:szCs w:val="20"/>
        </w:rPr>
        <w:fldChar w:fldCharType="separate"/>
      </w:r>
      <w:r w:rsidRPr="006F5CEA">
        <w:rPr>
          <w:b/>
          <w:color w:val="0070C0"/>
        </w:rPr>
        <w:t>Zero Income/Minimum Rent</w:t>
      </w:r>
      <w:r w:rsidRPr="006F5CEA">
        <w:t xml:space="preserve"> Interim Reexamination</w:t>
      </w:r>
      <w:r w:rsidRPr="006F5CEA">
        <w:rPr>
          <w:rFonts w:cs="Arial"/>
          <w:b/>
          <w:color w:val="0070C0"/>
          <w:szCs w:val="20"/>
        </w:rPr>
        <w:fldChar w:fldCharType="end"/>
      </w:r>
      <w:r w:rsidRPr="006F5CEA">
        <w:rPr>
          <w:rFonts w:cs="Arial"/>
          <w:color w:val="0070C0"/>
          <w:szCs w:val="20"/>
        </w:rPr>
        <w:t xml:space="preserve"> </w:t>
      </w:r>
      <w:r w:rsidRPr="006F5CEA">
        <w:rPr>
          <w:rFonts w:cs="Arial"/>
          <w:szCs w:val="20"/>
        </w:rPr>
        <w:t xml:space="preserve">for zero income policy on reexamination frequency requirements for zero income households.  </w:t>
      </w:r>
    </w:p>
    <w:p w14:paraId="6151E4D2" w14:textId="77777777" w:rsidR="00342DCB" w:rsidRPr="00765546" w:rsidRDefault="00342DCB" w:rsidP="00342DCB">
      <w:pPr>
        <w:pStyle w:val="Heading4"/>
      </w:pPr>
      <w:bookmarkStart w:id="1520" w:name="_Toc425397312"/>
      <w:r w:rsidRPr="006F5CEA">
        <w:t>Zero Income Verification Requirements</w:t>
      </w:r>
      <w:bookmarkEnd w:id="1520"/>
    </w:p>
    <w:p w14:paraId="1DC431F8" w14:textId="77777777" w:rsidR="00342DCB" w:rsidRPr="00117188" w:rsidRDefault="00342DCB" w:rsidP="00342DCB">
      <w:r w:rsidRPr="001B5213">
        <w:t xml:space="preserve">HHA </w:t>
      </w:r>
      <w:r w:rsidR="0080538B">
        <w:t>may</w:t>
      </w:r>
      <w:r w:rsidRPr="001B5213">
        <w:t xml:space="preserve"> check</w:t>
      </w:r>
      <w:r w:rsidR="002E3F04">
        <w:t xml:space="preserve"> EIV,</w:t>
      </w:r>
      <w:r w:rsidRPr="001B5213">
        <w:t xml:space="preserve"> UIV sources and/or request information from third-party sources to verify that certain </w:t>
      </w:r>
      <w:r w:rsidRPr="00117188">
        <w:t>forms of income such as unemployment benefits, TANF, Social Security, SSI, and earnings are not being received by families claiming to have zero annual income.</w:t>
      </w:r>
    </w:p>
    <w:p w14:paraId="0ABDBD3B" w14:textId="77777777" w:rsidR="00342DCB" w:rsidRPr="00117188" w:rsidRDefault="00342DCB" w:rsidP="00342DCB">
      <w:r>
        <w:t>HHA</w:t>
      </w:r>
      <w:r w:rsidRPr="00765546">
        <w:t xml:space="preserve"> will also require the head of household to complete an Affidavit of Zero Income form.</w:t>
      </w:r>
    </w:p>
    <w:p w14:paraId="2C113483" w14:textId="77777777" w:rsidR="00342DCB" w:rsidRDefault="00342DCB" w:rsidP="00BB64BD">
      <w:pPr>
        <w:pStyle w:val="Heading2"/>
      </w:pPr>
      <w:bookmarkStart w:id="1521" w:name="_Verification_of_Assets"/>
      <w:bookmarkStart w:id="1522" w:name="_Toc148010422"/>
      <w:bookmarkStart w:id="1523" w:name="_Ref148536431"/>
      <w:bookmarkStart w:id="1524" w:name="_Ref148537182"/>
      <w:bookmarkStart w:id="1525" w:name="_Ref165032102"/>
      <w:bookmarkStart w:id="1526" w:name="_Toc173222702"/>
      <w:bookmarkStart w:id="1527" w:name="_Toc200375665"/>
      <w:bookmarkStart w:id="1528" w:name="_Toc200376968"/>
      <w:bookmarkStart w:id="1529" w:name="_Toc516735472"/>
      <w:bookmarkStart w:id="1530" w:name="_Toc527019470"/>
      <w:bookmarkStart w:id="1531" w:name="_Toc534707008"/>
      <w:bookmarkStart w:id="1532" w:name="_Toc534707686"/>
      <w:bookmarkStart w:id="1533" w:name="_Toc534708494"/>
      <w:bookmarkStart w:id="1534" w:name="_Toc118116079"/>
      <w:bookmarkEnd w:id="1521"/>
      <w:r>
        <w:t>Verification of Assets</w:t>
      </w:r>
      <w:bookmarkEnd w:id="1522"/>
      <w:bookmarkEnd w:id="1523"/>
      <w:bookmarkEnd w:id="1524"/>
      <w:bookmarkEnd w:id="1525"/>
      <w:bookmarkEnd w:id="1526"/>
      <w:bookmarkEnd w:id="1527"/>
      <w:bookmarkEnd w:id="1528"/>
    </w:p>
    <w:p w14:paraId="2B184249" w14:textId="77777777" w:rsidR="00342DCB" w:rsidRDefault="00342DCB" w:rsidP="00342DCB">
      <w:bookmarkStart w:id="1535" w:name="_Hlk147415987"/>
      <w:r>
        <w:t xml:space="preserve">See the </w:t>
      </w:r>
      <w:r w:rsidRPr="00C123D7">
        <w:t xml:space="preserve">definition of </w:t>
      </w:r>
      <w:r w:rsidR="006C7218" w:rsidRPr="00C123D7">
        <w:rPr>
          <w:color w:val="0070C0"/>
        </w:rPr>
        <w:fldChar w:fldCharType="begin"/>
      </w:r>
      <w:r w:rsidR="006C7218" w:rsidRPr="00C123D7">
        <w:rPr>
          <w:color w:val="0070C0"/>
        </w:rPr>
        <w:instrText xml:space="preserve"> REF NetFamilyAssets \h </w:instrText>
      </w:r>
      <w:r w:rsidR="00C123D7">
        <w:rPr>
          <w:color w:val="0070C0"/>
        </w:rPr>
        <w:instrText xml:space="preserve"> \* MERGEFORMAT </w:instrText>
      </w:r>
      <w:r w:rsidR="006C7218" w:rsidRPr="00C123D7">
        <w:rPr>
          <w:color w:val="0070C0"/>
        </w:rPr>
      </w:r>
      <w:r w:rsidR="006C7218" w:rsidRPr="00C123D7">
        <w:rPr>
          <w:color w:val="0070C0"/>
        </w:rPr>
        <w:fldChar w:fldCharType="separate"/>
      </w:r>
      <w:r w:rsidR="006C7218" w:rsidRPr="00C123D7">
        <w:rPr>
          <w:b/>
          <w:bCs/>
          <w:i/>
          <w:iCs/>
          <w:color w:val="0070C0"/>
        </w:rPr>
        <w:t>Net family assets</w:t>
      </w:r>
      <w:r w:rsidR="006C7218" w:rsidRPr="00C123D7">
        <w:rPr>
          <w:color w:val="0070C0"/>
        </w:rPr>
        <w:fldChar w:fldCharType="end"/>
      </w:r>
      <w:r w:rsidR="00C123D7" w:rsidRPr="00C123D7">
        <w:t xml:space="preserve"> </w:t>
      </w:r>
      <w:r w:rsidRPr="00C123D7">
        <w:t xml:space="preserve">in </w:t>
      </w:r>
      <w:r w:rsidR="0040732C" w:rsidRPr="00873B06">
        <w:rPr>
          <w:b/>
          <w:bCs/>
          <w:color w:val="0070C0"/>
        </w:rPr>
        <w:fldChar w:fldCharType="begin"/>
      </w:r>
      <w:r w:rsidR="0040732C" w:rsidRPr="00873B06">
        <w:rPr>
          <w:b/>
          <w:bCs/>
          <w:color w:val="0070C0"/>
        </w:rPr>
        <w:instrText xml:space="preserve"> REF _Ref144994107 \h </w:instrText>
      </w:r>
      <w:r w:rsidR="00873B06" w:rsidRPr="00873B06">
        <w:rPr>
          <w:b/>
          <w:bCs/>
          <w:color w:val="0070C0"/>
        </w:rPr>
        <w:instrText xml:space="preserve"> \* MERGEFORMAT </w:instrText>
      </w:r>
      <w:r w:rsidR="0040732C" w:rsidRPr="00873B06">
        <w:rPr>
          <w:b/>
          <w:bCs/>
          <w:color w:val="0070C0"/>
        </w:rPr>
      </w:r>
      <w:r w:rsidR="0040732C" w:rsidRPr="00873B06">
        <w:rPr>
          <w:b/>
          <w:bCs/>
          <w:color w:val="0070C0"/>
        </w:rPr>
        <w:fldChar w:fldCharType="separate"/>
      </w:r>
      <w:r w:rsidR="0040732C" w:rsidRPr="00873B06">
        <w:rPr>
          <w:b/>
          <w:bCs/>
          <w:color w:val="0070C0"/>
        </w:rPr>
        <w:t>GLOSSARY OF TERMS AND DEFINITIONS</w:t>
      </w:r>
      <w:r w:rsidR="0040732C" w:rsidRPr="00873B06">
        <w:rPr>
          <w:b/>
          <w:bCs/>
          <w:color w:val="0070C0"/>
        </w:rPr>
        <w:fldChar w:fldCharType="end"/>
      </w:r>
      <w:r w:rsidR="00C123D7" w:rsidRPr="00C123D7">
        <w:t>.</w:t>
      </w:r>
      <w:r>
        <w:t xml:space="preserve"> </w:t>
      </w:r>
      <w:r w:rsidR="00D15DE5">
        <w:t xml:space="preserve"> </w:t>
      </w:r>
    </w:p>
    <w:p w14:paraId="5CB3A2F0" w14:textId="77777777" w:rsidR="00FB68A1" w:rsidRDefault="00FB68A1" w:rsidP="00FB68A1">
      <w:r>
        <w:t xml:space="preserve">See </w:t>
      </w:r>
      <w:hyperlink w:anchor="_Asset_Restrictions" w:history="1">
        <w:r w:rsidRPr="00626151">
          <w:rPr>
            <w:rStyle w:val="OurLinksChar"/>
          </w:rPr>
          <w:fldChar w:fldCharType="begin"/>
        </w:r>
        <w:r w:rsidRPr="00626151">
          <w:rPr>
            <w:rStyle w:val="OurLinksChar"/>
          </w:rPr>
          <w:instrText xml:space="preserve"> REF _Ref144892635 \h </w:instrText>
        </w:r>
        <w:r>
          <w:rPr>
            <w:rStyle w:val="OurLinksChar"/>
          </w:rPr>
          <w:instrText xml:space="preserve"> \* MERGEFORMAT </w:instrText>
        </w:r>
        <w:r w:rsidRPr="00626151">
          <w:rPr>
            <w:rStyle w:val="OurLinksChar"/>
          </w:rPr>
        </w:r>
        <w:r w:rsidRPr="00626151">
          <w:rPr>
            <w:rStyle w:val="OurLinksChar"/>
          </w:rPr>
          <w:fldChar w:fldCharType="separate"/>
        </w:r>
        <w:r w:rsidRPr="00626151">
          <w:rPr>
            <w:rStyle w:val="OurLinksChar"/>
          </w:rPr>
          <w:t>Asset Restrictions</w:t>
        </w:r>
        <w:r w:rsidRPr="00626151">
          <w:rPr>
            <w:rStyle w:val="OurLinksChar"/>
          </w:rPr>
          <w:fldChar w:fldCharType="end"/>
        </w:r>
      </w:hyperlink>
      <w:r>
        <w:t xml:space="preserve"> for policies under which a household may be disqualified from admission or continued occupancy due to assets.</w:t>
      </w:r>
    </w:p>
    <w:p w14:paraId="727EC8C5" w14:textId="77777777" w:rsidR="00342DCB" w:rsidRDefault="00342DCB" w:rsidP="00342DCB">
      <w:pPr>
        <w:pStyle w:val="MTWBox"/>
        <w:rPr>
          <w:b w:val="0"/>
          <w:bCs/>
          <w:i w:val="0"/>
          <w:iCs w:val="0"/>
          <w:u w:val="single"/>
        </w:rPr>
      </w:pPr>
      <w:r>
        <w:t>MTW Policy</w:t>
      </w:r>
    </w:p>
    <w:p w14:paraId="04E929E0" w14:textId="77777777" w:rsidR="00342DCB" w:rsidRPr="009C5DDB" w:rsidRDefault="00342DCB" w:rsidP="00342DCB">
      <w:pPr>
        <w:pStyle w:val="MTWBox"/>
        <w:rPr>
          <w:b w:val="0"/>
          <w:bCs/>
          <w:i w:val="0"/>
          <w:iCs w:val="0"/>
        </w:rPr>
      </w:pPr>
      <w:r w:rsidRPr="00741C94">
        <w:rPr>
          <w:i w:val="0"/>
          <w:iCs w:val="0"/>
        </w:rPr>
        <w:t>MTW Waiver</w:t>
      </w:r>
      <w:r w:rsidRPr="009C5DDB">
        <w:rPr>
          <w:b w:val="0"/>
          <w:bCs/>
          <w:i w:val="0"/>
          <w:iCs w:val="0"/>
        </w:rPr>
        <w:t>:</w:t>
      </w:r>
      <w:r>
        <w:rPr>
          <w:b w:val="0"/>
          <w:bCs/>
          <w:i w:val="0"/>
          <w:iCs w:val="0"/>
        </w:rPr>
        <w:t xml:space="preserve"> 3.d. – Self-Certification of Assets</w:t>
      </w:r>
    </w:p>
    <w:p w14:paraId="7FF83709" w14:textId="77777777" w:rsidR="00342DCB" w:rsidRDefault="00342DCB" w:rsidP="00342DCB">
      <w:pPr>
        <w:pStyle w:val="MTWBox"/>
        <w:rPr>
          <w:b w:val="0"/>
          <w:bCs/>
          <w:i w:val="0"/>
          <w:iCs w:val="0"/>
        </w:rPr>
      </w:pPr>
      <w:r w:rsidRPr="00741C94">
        <w:rPr>
          <w:i w:val="0"/>
          <w:iCs w:val="0"/>
        </w:rPr>
        <w:t>Approval Date</w:t>
      </w:r>
      <w:r>
        <w:rPr>
          <w:b w:val="0"/>
          <w:bCs/>
          <w:i w:val="0"/>
          <w:iCs w:val="0"/>
        </w:rPr>
        <w:t xml:space="preserve">: FY 2022 </w:t>
      </w:r>
    </w:p>
    <w:p w14:paraId="70644B1A" w14:textId="434811ED" w:rsidR="00342DCB" w:rsidRPr="00EF6F8F" w:rsidRDefault="00342DCB" w:rsidP="00342DCB">
      <w:pPr>
        <w:pStyle w:val="MTWBox"/>
        <w:rPr>
          <w:b w:val="0"/>
          <w:bCs/>
          <w:i w:val="0"/>
          <w:iCs w:val="0"/>
        </w:rPr>
      </w:pPr>
      <w:r w:rsidRPr="00741C94">
        <w:rPr>
          <w:i w:val="0"/>
          <w:iCs w:val="0"/>
        </w:rPr>
        <w:t>Applicable to</w:t>
      </w:r>
      <w:r w:rsidRPr="00EF6F8F">
        <w:rPr>
          <w:b w:val="0"/>
          <w:bCs/>
          <w:i w:val="0"/>
          <w:iCs w:val="0"/>
        </w:rPr>
        <w:t>:</w:t>
      </w:r>
      <w:r>
        <w:rPr>
          <w:b w:val="0"/>
          <w:bCs/>
          <w:i w:val="0"/>
          <w:iCs w:val="0"/>
        </w:rPr>
        <w:t xml:space="preserve"> All</w:t>
      </w:r>
      <w:r w:rsidR="00682E9E">
        <w:rPr>
          <w:b w:val="0"/>
          <w:bCs/>
          <w:i w:val="0"/>
          <w:iCs w:val="0"/>
        </w:rPr>
        <w:t xml:space="preserve"> MTW-assisted households</w:t>
      </w:r>
    </w:p>
    <w:p w14:paraId="52A227F2" w14:textId="77777777" w:rsidR="00342DCB" w:rsidRPr="00EF6F8F" w:rsidRDefault="00342DCB" w:rsidP="00342DCB">
      <w:pPr>
        <w:pStyle w:val="MTWBox"/>
      </w:pPr>
      <w:r w:rsidRPr="00741C94">
        <w:rPr>
          <w:i w:val="0"/>
          <w:iCs w:val="0"/>
        </w:rPr>
        <w:t>Description</w:t>
      </w:r>
      <w:r>
        <w:rPr>
          <w:b w:val="0"/>
          <w:bCs/>
          <w:i w:val="0"/>
          <w:iCs w:val="0"/>
        </w:rPr>
        <w:t>:</w:t>
      </w:r>
      <w:r>
        <w:t xml:space="preserve"> </w:t>
      </w:r>
      <w:r w:rsidRPr="00055F8B">
        <w:rPr>
          <w:b w:val="0"/>
          <w:bCs/>
          <w:i w:val="0"/>
          <w:iCs w:val="0"/>
        </w:rPr>
        <w:t xml:space="preserve">Applicants and existing participants may self-certify asset value and income when the market value of the household’s assets is $50,000 or below.  </w:t>
      </w:r>
    </w:p>
    <w:p w14:paraId="31E3405D" w14:textId="77777777" w:rsidR="00342DCB" w:rsidRPr="00055F8B" w:rsidRDefault="00342DCB" w:rsidP="00342DCB">
      <w:pPr>
        <w:pStyle w:val="MTWBox"/>
        <w:rPr>
          <w:b w:val="0"/>
          <w:bCs/>
          <w:i w:val="0"/>
          <w:iCs w:val="0"/>
        </w:rPr>
      </w:pPr>
      <w:r w:rsidRPr="00055F8B">
        <w:rPr>
          <w:b w:val="0"/>
          <w:bCs/>
          <w:i w:val="0"/>
          <w:iCs w:val="0"/>
        </w:rPr>
        <w:t xml:space="preserve">When the market value of the asset is greater than $50,000, HHA will verify the market value of the asset using the verification hierarchy. Each household will be required to complete one asset self-certification at admission and at each regular recertification. Third-party verification of assets every </w:t>
      </w:r>
      <w:r w:rsidR="00626151">
        <w:rPr>
          <w:b w:val="0"/>
          <w:bCs/>
          <w:i w:val="0"/>
          <w:iCs w:val="0"/>
        </w:rPr>
        <w:t>three</w:t>
      </w:r>
      <w:r w:rsidRPr="00055F8B">
        <w:rPr>
          <w:b w:val="0"/>
          <w:bCs/>
          <w:i w:val="0"/>
          <w:iCs w:val="0"/>
        </w:rPr>
        <w:t xml:space="preserve"> years is not required.</w:t>
      </w:r>
    </w:p>
    <w:p w14:paraId="7628F444" w14:textId="77777777" w:rsidR="0002335A" w:rsidRDefault="0002335A" w:rsidP="0002335A">
      <w:pPr>
        <w:spacing w:after="120"/>
      </w:pPr>
      <w:bookmarkStart w:id="1536" w:name="_Toc148010423"/>
      <w:bookmarkEnd w:id="1535"/>
      <w:r>
        <w:t>When verification of assets is required, HHA will obtain a minimum of one statement that reflects the current balance of banking/financial accounts.</w:t>
      </w:r>
    </w:p>
    <w:p w14:paraId="1C2FD5A8" w14:textId="77777777" w:rsidR="000755F4" w:rsidRDefault="000755F4" w:rsidP="00677451">
      <w:pPr>
        <w:pStyle w:val="Heading3"/>
      </w:pPr>
      <w:bookmarkStart w:id="1537" w:name="_Toc200375666"/>
      <w:bookmarkStart w:id="1538" w:name="_Hlk155343214"/>
      <w:r>
        <w:t>Assets Disposed of for Less than Fair Market Value</w:t>
      </w:r>
      <w:bookmarkEnd w:id="1537"/>
    </w:p>
    <w:p w14:paraId="722458BB" w14:textId="77777777" w:rsidR="000755F4" w:rsidRDefault="000755F4" w:rsidP="000755F4">
      <w:pPr>
        <w:spacing w:after="120"/>
      </w:pPr>
      <w:r>
        <w:t>For assets disposed at less than fair market value in the two years preceding the effective date of admission or the certification, HHA will accept a self-certification from the household including a certification regarding the assets disposed, the date of disposition and the amount received for the asset.</w:t>
      </w:r>
    </w:p>
    <w:p w14:paraId="776D01CE" w14:textId="77777777" w:rsidR="00DA2B79" w:rsidRPr="00FF09E4" w:rsidRDefault="00DA2B79" w:rsidP="00677451">
      <w:pPr>
        <w:pStyle w:val="Heading3"/>
      </w:pPr>
      <w:bookmarkStart w:id="1539" w:name="_Ref154645264"/>
      <w:bookmarkStart w:id="1540" w:name="_Toc200375667"/>
      <w:r w:rsidRPr="00FF09E4">
        <w:t>Real Property Ownership</w:t>
      </w:r>
      <w:bookmarkEnd w:id="1539"/>
      <w:bookmarkEnd w:id="1540"/>
    </w:p>
    <w:p w14:paraId="5F02788A" w14:textId="77777777" w:rsidR="00FF09E4" w:rsidRPr="00FF09E4" w:rsidRDefault="00FF09E4" w:rsidP="00FF09E4">
      <w:pPr>
        <w:pStyle w:val="ListParagraph"/>
        <w:pBdr>
          <w:top w:val="single" w:sz="4" w:space="1" w:color="auto"/>
          <w:left w:val="single" w:sz="4" w:space="4" w:color="auto"/>
          <w:bottom w:val="single" w:sz="4" w:space="1" w:color="auto"/>
          <w:right w:val="single" w:sz="4" w:space="4" w:color="auto"/>
        </w:pBdr>
        <w:ind w:left="90"/>
        <w:rPr>
          <w:b/>
          <w:bCs/>
          <w:i/>
          <w:iCs/>
          <w:u w:val="single"/>
        </w:rPr>
      </w:pPr>
      <w:bookmarkStart w:id="1541" w:name="_Hlk142987877"/>
      <w:r w:rsidRPr="00682E9E">
        <w:rPr>
          <w:b/>
          <w:bCs/>
          <w:i/>
          <w:iCs/>
        </w:rPr>
        <w:t>Note: the following is only applicable upon implementation of the HOTMA Final Rule (Sections 102 and 104). Prior to implementation, the following does not apply.</w:t>
      </w:r>
    </w:p>
    <w:p w14:paraId="2BEB300D" w14:textId="77777777" w:rsidR="004D0E1D" w:rsidRPr="00FF09E4" w:rsidRDefault="004D0E1D" w:rsidP="009A032C">
      <w:r w:rsidRPr="00FF09E4">
        <w:t xml:space="preserve">Both at admission and reexam, HHA will accept self-certification from the family that the family does not have any present ownership in any real property. The certification will state that the family does not have any present ownership interest in any real property and must be signed by all family members 18 years of age and older. </w:t>
      </w:r>
      <w:r w:rsidR="004468C7" w:rsidRPr="00FF09E4">
        <w:t>H</w:t>
      </w:r>
      <w:r w:rsidRPr="00FF09E4">
        <w:t xml:space="preserve">HA reserves the right to require additional verification in situations where the accuracy of the declaration is in question. </w:t>
      </w:r>
    </w:p>
    <w:p w14:paraId="789F3212" w14:textId="77777777" w:rsidR="004468C7" w:rsidRPr="00FF09E4" w:rsidRDefault="004D0E1D" w:rsidP="009A032C">
      <w:r w:rsidRPr="00FF09E4">
        <w:t xml:space="preserve">If the family declares they have a present ownership in real property, </w:t>
      </w:r>
      <w:r w:rsidR="004468C7" w:rsidRPr="00FF09E4">
        <w:t>HHA</w:t>
      </w:r>
      <w:r w:rsidRPr="00FF09E4">
        <w:t xml:space="preserve"> will obtain third-party verification of the following factors: </w:t>
      </w:r>
    </w:p>
    <w:p w14:paraId="0E50C418" w14:textId="77777777" w:rsidR="004468C7" w:rsidRPr="00FF09E4" w:rsidRDefault="004468C7" w:rsidP="007F177E">
      <w:pPr>
        <w:pStyle w:val="ListParagraph"/>
        <w:numPr>
          <w:ilvl w:val="0"/>
          <w:numId w:val="163"/>
        </w:numPr>
        <w:spacing w:after="120"/>
        <w:contextualSpacing w:val="0"/>
      </w:pPr>
      <w:r w:rsidRPr="00FF09E4">
        <w:t>W</w:t>
      </w:r>
      <w:r w:rsidR="004D0E1D" w:rsidRPr="00FF09E4">
        <w:t xml:space="preserve">hether the family has the legal right to reside in the property; </w:t>
      </w:r>
    </w:p>
    <w:p w14:paraId="4B7F8165" w14:textId="77777777" w:rsidR="004468C7" w:rsidRPr="00FF09E4" w:rsidRDefault="004468C7" w:rsidP="007F177E">
      <w:pPr>
        <w:pStyle w:val="ListParagraph"/>
        <w:numPr>
          <w:ilvl w:val="0"/>
          <w:numId w:val="163"/>
        </w:numPr>
        <w:spacing w:after="120"/>
        <w:contextualSpacing w:val="0"/>
      </w:pPr>
      <w:r w:rsidRPr="00FF09E4">
        <w:t>W</w:t>
      </w:r>
      <w:r w:rsidR="004D0E1D" w:rsidRPr="00FF09E4">
        <w:t xml:space="preserve">hether the family has effective legal authority to sell the property; and </w:t>
      </w:r>
    </w:p>
    <w:p w14:paraId="7593CDC4" w14:textId="77777777" w:rsidR="004468C7" w:rsidRPr="00FF09E4" w:rsidRDefault="004468C7" w:rsidP="007F177E">
      <w:pPr>
        <w:pStyle w:val="ListParagraph"/>
        <w:numPr>
          <w:ilvl w:val="0"/>
          <w:numId w:val="163"/>
        </w:numPr>
        <w:spacing w:after="120"/>
        <w:contextualSpacing w:val="0"/>
      </w:pPr>
      <w:r w:rsidRPr="00FF09E4">
        <w:t>W</w:t>
      </w:r>
      <w:r w:rsidR="004D0E1D" w:rsidRPr="00FF09E4">
        <w:t xml:space="preserve">hether the property is suitable for occupancy by the family as a residence. </w:t>
      </w:r>
    </w:p>
    <w:p w14:paraId="4249BC62" w14:textId="77777777" w:rsidR="004D0E1D" w:rsidRPr="00FF09E4" w:rsidRDefault="004D0E1D" w:rsidP="009A032C">
      <w:r w:rsidRPr="00FF09E4">
        <w:t xml:space="preserve">However, in cases where a family member is a victim of </w:t>
      </w:r>
      <w:r w:rsidR="00891743" w:rsidRPr="00FF09E4">
        <w:rPr>
          <w:rFonts w:cs="Arial"/>
          <w:spacing w:val="-2"/>
        </w:rPr>
        <w:t>domestic violence, dating violence, sexual assault, stalking and/or human trafficking</w:t>
      </w:r>
      <w:r w:rsidRPr="00FF09E4">
        <w:t xml:space="preserve">, </w:t>
      </w:r>
      <w:r w:rsidR="009A032C" w:rsidRPr="00FF09E4">
        <w:t>H</w:t>
      </w:r>
      <w:r w:rsidRPr="00FF09E4">
        <w:t>HA will comply with confidentiality requirements under 24 CFR 5.2007 and will accept a self-certification.</w:t>
      </w:r>
      <w:bookmarkEnd w:id="1541"/>
    </w:p>
    <w:p w14:paraId="0C0D0C14" w14:textId="77777777" w:rsidR="00F068B6" w:rsidRPr="00FF09E4" w:rsidRDefault="00F068B6" w:rsidP="00097C0C">
      <w:pPr>
        <w:pStyle w:val="Heading3"/>
        <w:numPr>
          <w:ilvl w:val="2"/>
          <w:numId w:val="300"/>
        </w:numPr>
        <w:ind w:left="360"/>
      </w:pPr>
      <w:bookmarkStart w:id="1542" w:name="_Toc200375668"/>
      <w:r w:rsidRPr="00FF09E4">
        <w:t>Federal Tax Refunds or Refundable Tax Credits</w:t>
      </w:r>
      <w:bookmarkEnd w:id="1542"/>
    </w:p>
    <w:p w14:paraId="2077469B" w14:textId="77777777" w:rsidR="00FF09E4" w:rsidRPr="0018067A" w:rsidRDefault="00FF09E4" w:rsidP="00FF09E4">
      <w:pPr>
        <w:pStyle w:val="ListParagraph"/>
        <w:pBdr>
          <w:top w:val="single" w:sz="4" w:space="1" w:color="auto"/>
          <w:left w:val="single" w:sz="4" w:space="4" w:color="auto"/>
          <w:bottom w:val="single" w:sz="4" w:space="1" w:color="auto"/>
          <w:right w:val="single" w:sz="4" w:space="4" w:color="auto"/>
        </w:pBdr>
        <w:ind w:left="90"/>
        <w:rPr>
          <w:b/>
          <w:bCs/>
          <w:i/>
          <w:iCs/>
          <w:u w:val="single"/>
        </w:rPr>
      </w:pPr>
      <w:r w:rsidRPr="00097C0C">
        <w:rPr>
          <w:b/>
          <w:bCs/>
          <w:i/>
          <w:iCs/>
        </w:rPr>
        <w:t>Note: the following is only applicable upon implementation of the HOTMA Final Rule (Sections 102 and 104). Prior to implementation, the following does not apply.</w:t>
      </w:r>
    </w:p>
    <w:p w14:paraId="6B951016" w14:textId="77777777" w:rsidR="00F068B6" w:rsidRDefault="00F068B6" w:rsidP="00F068B6">
      <w:r>
        <w:t>HHA will</w:t>
      </w:r>
      <w:r w:rsidRPr="00493139">
        <w:t xml:space="preserve"> verify the amount of the family’s federal tax refund or refundable tax credits if the family’s net assets are greater than $50,000.</w:t>
      </w:r>
      <w:r>
        <w:t xml:space="preserve"> HHA will accept an original document from the entity holding the account dated no earlier than 12 months before that reflects any distributions of the account balance, any lump sums taken and any regular payments.</w:t>
      </w:r>
    </w:p>
    <w:p w14:paraId="21CCCFE6" w14:textId="77777777" w:rsidR="00342DCB" w:rsidRPr="00765546" w:rsidRDefault="00342DCB" w:rsidP="00BB64BD">
      <w:pPr>
        <w:pStyle w:val="Heading2"/>
      </w:pPr>
      <w:bookmarkStart w:id="1543" w:name="_Toc173222703"/>
      <w:bookmarkStart w:id="1544" w:name="_Toc200375669"/>
      <w:bookmarkStart w:id="1545" w:name="_Toc200376969"/>
      <w:bookmarkEnd w:id="1538"/>
      <w:r w:rsidRPr="00765546">
        <w:t>Veri</w:t>
      </w:r>
      <w:r>
        <w:t>fication of</w:t>
      </w:r>
      <w:r w:rsidRPr="00765546">
        <w:t xml:space="preserve"> Mandatory Deductions</w:t>
      </w:r>
      <w:bookmarkEnd w:id="1529"/>
      <w:bookmarkEnd w:id="1530"/>
      <w:bookmarkEnd w:id="1531"/>
      <w:bookmarkEnd w:id="1532"/>
      <w:bookmarkEnd w:id="1533"/>
      <w:bookmarkEnd w:id="1534"/>
      <w:bookmarkEnd w:id="1536"/>
      <w:bookmarkEnd w:id="1543"/>
      <w:bookmarkEnd w:id="1544"/>
      <w:bookmarkEnd w:id="1545"/>
    </w:p>
    <w:p w14:paraId="49506B4B" w14:textId="2C598B5B" w:rsidR="00342DCB" w:rsidRPr="00765546" w:rsidRDefault="00342DCB" w:rsidP="00342DCB">
      <w:pPr>
        <w:rPr>
          <w:rFonts w:cs="Arial"/>
          <w:szCs w:val="20"/>
        </w:rPr>
      </w:pPr>
      <w:bookmarkStart w:id="1546" w:name="_Hlk155343321"/>
      <w:r w:rsidRPr="00765546">
        <w:rPr>
          <w:rFonts w:cs="Arial"/>
          <w:szCs w:val="20"/>
        </w:rPr>
        <w:t>Policies in this section cover verification of mandatory deductions.</w:t>
      </w:r>
      <w:r>
        <w:rPr>
          <w:rFonts w:cs="Arial"/>
          <w:szCs w:val="20"/>
        </w:rPr>
        <w:t xml:space="preserve"> See </w:t>
      </w:r>
      <w:r w:rsidR="00440421" w:rsidRPr="00F135D2">
        <w:rPr>
          <w:rFonts w:cs="Arial"/>
          <w:b/>
          <w:bCs/>
          <w:color w:val="0070C0"/>
          <w:szCs w:val="20"/>
          <w:highlight w:val="yellow"/>
        </w:rPr>
        <w:fldChar w:fldCharType="begin"/>
      </w:r>
      <w:r w:rsidR="00440421" w:rsidRPr="00F135D2">
        <w:rPr>
          <w:rFonts w:cs="Arial"/>
          <w:b/>
          <w:bCs/>
          <w:color w:val="0070C0"/>
          <w:szCs w:val="20"/>
        </w:rPr>
        <w:instrText xml:space="preserve"> REF _Ref154643904 \h </w:instrText>
      </w:r>
      <w:r w:rsidR="00F135D2" w:rsidRPr="00F135D2">
        <w:rPr>
          <w:rFonts w:cs="Arial"/>
          <w:b/>
          <w:bCs/>
          <w:color w:val="0070C0"/>
          <w:szCs w:val="20"/>
          <w:highlight w:val="yellow"/>
        </w:rPr>
        <w:instrText xml:space="preserve"> \* MERGEFORMAT </w:instrText>
      </w:r>
      <w:r w:rsidR="00440421" w:rsidRPr="00F135D2">
        <w:rPr>
          <w:rFonts w:cs="Arial"/>
          <w:b/>
          <w:bCs/>
          <w:color w:val="0070C0"/>
          <w:szCs w:val="20"/>
          <w:highlight w:val="yellow"/>
        </w:rPr>
      </w:r>
      <w:r w:rsidR="00440421" w:rsidRPr="00F135D2">
        <w:rPr>
          <w:rFonts w:cs="Arial"/>
          <w:b/>
          <w:bCs/>
          <w:color w:val="0070C0"/>
          <w:szCs w:val="20"/>
          <w:highlight w:val="yellow"/>
        </w:rPr>
        <w:fldChar w:fldCharType="separate"/>
      </w:r>
      <w:r w:rsidR="00440421" w:rsidRPr="00F135D2">
        <w:rPr>
          <w:b/>
          <w:bCs/>
          <w:color w:val="0070C0"/>
        </w:rPr>
        <w:t>Adjusted Income</w:t>
      </w:r>
      <w:r w:rsidR="00440421" w:rsidRPr="00F135D2">
        <w:rPr>
          <w:rFonts w:cs="Arial"/>
          <w:b/>
          <w:bCs/>
          <w:color w:val="0070C0"/>
          <w:szCs w:val="20"/>
          <w:highlight w:val="yellow"/>
        </w:rPr>
        <w:fldChar w:fldCharType="end"/>
      </w:r>
      <w:r w:rsidR="00F135D2">
        <w:rPr>
          <w:rFonts w:cs="Arial"/>
          <w:szCs w:val="20"/>
        </w:rPr>
        <w:t xml:space="preserve"> in the chapter on </w:t>
      </w:r>
      <w:r w:rsidR="000045FB" w:rsidRPr="000045FB">
        <w:rPr>
          <w:rFonts w:cs="Arial"/>
          <w:b/>
          <w:bCs/>
          <w:color w:val="0070C0"/>
          <w:szCs w:val="20"/>
        </w:rPr>
        <w:fldChar w:fldCharType="begin"/>
      </w:r>
      <w:r w:rsidR="000045FB" w:rsidRPr="000045FB">
        <w:rPr>
          <w:rFonts w:cs="Arial"/>
          <w:b/>
          <w:bCs/>
          <w:color w:val="0070C0"/>
          <w:szCs w:val="20"/>
        </w:rPr>
        <w:instrText xml:space="preserve"> REF _Ref154565697 \h  \* MERGEFORMAT </w:instrText>
      </w:r>
      <w:r w:rsidR="000045FB" w:rsidRPr="000045FB">
        <w:rPr>
          <w:rFonts w:cs="Arial"/>
          <w:b/>
          <w:bCs/>
          <w:color w:val="0070C0"/>
          <w:szCs w:val="20"/>
        </w:rPr>
      </w:r>
      <w:r w:rsidR="000045FB" w:rsidRPr="000045FB">
        <w:rPr>
          <w:rFonts w:cs="Arial"/>
          <w:b/>
          <w:bCs/>
          <w:color w:val="0070C0"/>
          <w:szCs w:val="20"/>
        </w:rPr>
        <w:fldChar w:fldCharType="separate"/>
      </w:r>
      <w:r w:rsidR="000045FB" w:rsidRPr="000045FB">
        <w:rPr>
          <w:b/>
          <w:bCs/>
          <w:color w:val="0070C0"/>
        </w:rPr>
        <w:t>INCOME AND ADJUSTED INCOME</w:t>
      </w:r>
      <w:r w:rsidR="000045FB" w:rsidRPr="000045FB">
        <w:rPr>
          <w:rFonts w:cs="Arial"/>
          <w:b/>
          <w:bCs/>
          <w:color w:val="0070C0"/>
          <w:szCs w:val="20"/>
        </w:rPr>
        <w:fldChar w:fldCharType="end"/>
      </w:r>
      <w:r w:rsidR="000045FB">
        <w:rPr>
          <w:rFonts w:cs="Arial"/>
          <w:szCs w:val="20"/>
        </w:rPr>
        <w:t xml:space="preserve"> </w:t>
      </w:r>
      <w:r>
        <w:rPr>
          <w:rFonts w:cs="Arial"/>
          <w:szCs w:val="20"/>
        </w:rPr>
        <w:t>for more information on deductions for the purposes of calculating income and rent.</w:t>
      </w:r>
    </w:p>
    <w:p w14:paraId="2D30F3B0" w14:textId="77777777" w:rsidR="00342DCB" w:rsidRPr="00765546" w:rsidRDefault="00342DCB" w:rsidP="00677451">
      <w:pPr>
        <w:pStyle w:val="Heading3"/>
      </w:pPr>
      <w:bookmarkStart w:id="1547" w:name="_Toc516735473"/>
      <w:bookmarkStart w:id="1548" w:name="_Toc527019471"/>
      <w:bookmarkStart w:id="1549" w:name="_Toc534707009"/>
      <w:bookmarkStart w:id="1550" w:name="_Toc534707687"/>
      <w:bookmarkStart w:id="1551" w:name="_Toc534708495"/>
      <w:bookmarkStart w:id="1552" w:name="_Toc118116080"/>
      <w:bookmarkStart w:id="1553" w:name="_Toc200375670"/>
      <w:bookmarkEnd w:id="1546"/>
      <w:r w:rsidRPr="00117188">
        <w:t>Dependent</w:t>
      </w:r>
      <w:r w:rsidRPr="00765546">
        <w:t xml:space="preserve"> and Elderly/Disabled Household Deductions</w:t>
      </w:r>
      <w:bookmarkEnd w:id="1547"/>
      <w:bookmarkEnd w:id="1548"/>
      <w:bookmarkEnd w:id="1549"/>
      <w:bookmarkEnd w:id="1550"/>
      <w:bookmarkEnd w:id="1551"/>
      <w:bookmarkEnd w:id="1552"/>
      <w:bookmarkEnd w:id="1553"/>
    </w:p>
    <w:p w14:paraId="4A017FCD" w14:textId="77777777" w:rsidR="00342DCB" w:rsidRPr="00765546" w:rsidRDefault="00342DCB" w:rsidP="00342DCB">
      <w:pPr>
        <w:autoSpaceDE w:val="0"/>
        <w:autoSpaceDN w:val="0"/>
        <w:adjustRightInd w:val="0"/>
        <w:rPr>
          <w:rFonts w:cs="Arial"/>
          <w:szCs w:val="20"/>
        </w:rPr>
      </w:pPr>
      <w:r>
        <w:rPr>
          <w:rFonts w:cs="Arial"/>
          <w:szCs w:val="20"/>
        </w:rPr>
        <w:t>HHA</w:t>
      </w:r>
      <w:r w:rsidRPr="00765546">
        <w:rPr>
          <w:rFonts w:cs="Arial"/>
          <w:szCs w:val="20"/>
        </w:rPr>
        <w:t xml:space="preserve"> will verify that the family members identified as dependents or elderly/disabled persons meet the statutory definitions. No further verifications are required.</w:t>
      </w:r>
    </w:p>
    <w:p w14:paraId="3690C5A6" w14:textId="77777777" w:rsidR="00342DCB" w:rsidRPr="00765546" w:rsidRDefault="00342DCB" w:rsidP="00677451">
      <w:pPr>
        <w:pStyle w:val="Heading3"/>
      </w:pPr>
      <w:bookmarkStart w:id="1554" w:name="_Toc516735474"/>
      <w:bookmarkStart w:id="1555" w:name="_Toc527019472"/>
      <w:bookmarkStart w:id="1556" w:name="_Toc534707010"/>
      <w:bookmarkStart w:id="1557" w:name="_Toc534707688"/>
      <w:bookmarkStart w:id="1558" w:name="_Toc534708496"/>
      <w:bookmarkStart w:id="1559" w:name="_Toc118116081"/>
      <w:bookmarkStart w:id="1560" w:name="_Toc200375671"/>
      <w:r w:rsidRPr="00765546">
        <w:t>Medical Expenses</w:t>
      </w:r>
      <w:bookmarkEnd w:id="1554"/>
      <w:bookmarkEnd w:id="1555"/>
      <w:bookmarkEnd w:id="1556"/>
      <w:bookmarkEnd w:id="1557"/>
      <w:bookmarkEnd w:id="1558"/>
      <w:bookmarkEnd w:id="1559"/>
      <w:bookmarkEnd w:id="1560"/>
    </w:p>
    <w:p w14:paraId="6AFB338A" w14:textId="77777777" w:rsidR="00342DCB" w:rsidRPr="00765546" w:rsidRDefault="00342DCB" w:rsidP="00342DCB">
      <w:pPr>
        <w:autoSpaceDE w:val="0"/>
        <w:autoSpaceDN w:val="0"/>
        <w:adjustRightInd w:val="0"/>
        <w:rPr>
          <w:rFonts w:cs="Arial"/>
          <w:szCs w:val="20"/>
        </w:rPr>
      </w:pPr>
      <w:r w:rsidRPr="00765546">
        <w:rPr>
          <w:rFonts w:cs="Arial"/>
          <w:szCs w:val="20"/>
        </w:rPr>
        <w:t xml:space="preserve">Unreimbursed medical expenses will be verified through written third-party documents provided by the family, such as pharmacy printouts or receipts, or written third-party forms if the family is unable to provide acceptable documentation. </w:t>
      </w:r>
    </w:p>
    <w:p w14:paraId="41F524DA" w14:textId="77777777" w:rsidR="00342DCB" w:rsidRPr="00765546" w:rsidRDefault="00342DCB" w:rsidP="00342DCB">
      <w:pPr>
        <w:autoSpaceDE w:val="0"/>
        <w:autoSpaceDN w:val="0"/>
        <w:adjustRightInd w:val="0"/>
        <w:rPr>
          <w:rFonts w:cs="Arial"/>
          <w:szCs w:val="20"/>
        </w:rPr>
      </w:pPr>
      <w:r w:rsidRPr="00765546">
        <w:rPr>
          <w:rFonts w:cs="Arial"/>
          <w:szCs w:val="20"/>
        </w:rPr>
        <w:t xml:space="preserve">The </w:t>
      </w:r>
      <w:r>
        <w:rPr>
          <w:rFonts w:cs="Arial"/>
          <w:szCs w:val="20"/>
        </w:rPr>
        <w:t>HHA</w:t>
      </w:r>
      <w:r w:rsidRPr="00765546">
        <w:rPr>
          <w:rFonts w:cs="Arial"/>
          <w:szCs w:val="20"/>
        </w:rPr>
        <w:t xml:space="preserve"> will make a best effort to determine what expenses from the past are likely to continue to occur in the future. The </w:t>
      </w:r>
      <w:r>
        <w:rPr>
          <w:rFonts w:cs="Arial"/>
          <w:szCs w:val="20"/>
        </w:rPr>
        <w:t>HHA</w:t>
      </w:r>
      <w:r w:rsidRPr="00765546">
        <w:rPr>
          <w:rFonts w:cs="Arial"/>
          <w:szCs w:val="20"/>
        </w:rPr>
        <w:t xml:space="preserve"> will also accept evidence of monthly payments or total payments that will be due for medical expenses during the upcoming 12 months.</w:t>
      </w:r>
    </w:p>
    <w:p w14:paraId="74939270" w14:textId="77777777" w:rsidR="00342DCB" w:rsidRPr="00765546" w:rsidRDefault="00342DCB" w:rsidP="00342DCB">
      <w:r w:rsidRPr="00765546">
        <w:t xml:space="preserve">In addition, </w:t>
      </w:r>
      <w:r>
        <w:t>HHA</w:t>
      </w:r>
      <w:r w:rsidRPr="00765546">
        <w:t xml:space="preserve"> will verify that:</w:t>
      </w:r>
    </w:p>
    <w:p w14:paraId="5C65CB52" w14:textId="77777777" w:rsidR="00342DCB" w:rsidRPr="00765546" w:rsidRDefault="00342DCB" w:rsidP="00CB52D8">
      <w:pPr>
        <w:numPr>
          <w:ilvl w:val="0"/>
          <w:numId w:val="59"/>
        </w:numPr>
        <w:tabs>
          <w:tab w:val="clear" w:pos="360"/>
        </w:tabs>
        <w:spacing w:after="120"/>
        <w:ind w:left="720"/>
      </w:pPr>
      <w:r w:rsidRPr="00765546">
        <w:t>The household is eligible for the deduction;</w:t>
      </w:r>
    </w:p>
    <w:p w14:paraId="4835F3B6" w14:textId="77777777" w:rsidR="00342DCB" w:rsidRPr="00765546" w:rsidRDefault="00342DCB" w:rsidP="00CB52D8">
      <w:pPr>
        <w:numPr>
          <w:ilvl w:val="0"/>
          <w:numId w:val="59"/>
        </w:numPr>
        <w:tabs>
          <w:tab w:val="clear" w:pos="360"/>
        </w:tabs>
        <w:spacing w:after="120"/>
        <w:ind w:left="720"/>
      </w:pPr>
      <w:r w:rsidRPr="00765546">
        <w:t>The costs to be deducted are qualified medical expenses;</w:t>
      </w:r>
    </w:p>
    <w:p w14:paraId="58D36EAC" w14:textId="77777777" w:rsidR="00342DCB" w:rsidRPr="00765546" w:rsidRDefault="00342DCB" w:rsidP="00CB52D8">
      <w:pPr>
        <w:numPr>
          <w:ilvl w:val="0"/>
          <w:numId w:val="59"/>
        </w:numPr>
        <w:tabs>
          <w:tab w:val="clear" w:pos="360"/>
        </w:tabs>
        <w:spacing w:after="120"/>
        <w:ind w:left="720"/>
      </w:pPr>
      <w:r w:rsidRPr="00765546">
        <w:t>The expenses are not paid for or reimbursed by any other source; and</w:t>
      </w:r>
    </w:p>
    <w:p w14:paraId="4249A95B" w14:textId="77777777" w:rsidR="00342DCB" w:rsidRPr="00765546" w:rsidRDefault="00342DCB" w:rsidP="00CB52D8">
      <w:pPr>
        <w:numPr>
          <w:ilvl w:val="0"/>
          <w:numId w:val="59"/>
        </w:numPr>
        <w:tabs>
          <w:tab w:val="clear" w:pos="360"/>
        </w:tabs>
        <w:spacing w:after="120"/>
        <w:ind w:left="720"/>
      </w:pPr>
      <w:r w:rsidRPr="00765546">
        <w:t>Costs incurred in past years are counted only once.</w:t>
      </w:r>
    </w:p>
    <w:p w14:paraId="1EF2DEFA" w14:textId="77777777" w:rsidR="00342DCB" w:rsidRPr="00D02C27" w:rsidRDefault="00342DCB" w:rsidP="00342DCB">
      <w:pPr>
        <w:autoSpaceDE w:val="0"/>
        <w:autoSpaceDN w:val="0"/>
        <w:adjustRightInd w:val="0"/>
        <w:rPr>
          <w:rFonts w:cs="Arial"/>
          <w:strike/>
          <w:szCs w:val="20"/>
        </w:rPr>
      </w:pPr>
      <w:r w:rsidRPr="00765546">
        <w:rPr>
          <w:rFonts w:cs="Arial"/>
          <w:szCs w:val="20"/>
        </w:rPr>
        <w:t xml:space="preserve">The </w:t>
      </w:r>
      <w:r w:rsidRPr="00D02C27">
        <w:rPr>
          <w:rFonts w:cs="Arial"/>
          <w:szCs w:val="20"/>
        </w:rPr>
        <w:t xml:space="preserve">family may be required to certify that the medical expenses are not paid or reimbursed to the family from any source. If expenses are verified through a third party, the third party must certify that the expenses are not paid or reimbursed from any </w:t>
      </w:r>
      <w:r w:rsidRPr="00D02C27">
        <w:t>other source.</w:t>
      </w:r>
    </w:p>
    <w:p w14:paraId="6660EB45" w14:textId="77777777" w:rsidR="00342DCB" w:rsidRPr="00765546" w:rsidRDefault="00342DCB" w:rsidP="00342DCB">
      <w:r w:rsidRPr="00765546">
        <w:t xml:space="preserve">When anticipated costs are related to ongoing payment of medical bills incurred in past years, the </w:t>
      </w:r>
      <w:r>
        <w:t>HHA</w:t>
      </w:r>
      <w:r w:rsidRPr="00765546">
        <w:t xml:space="preserve"> will verify:</w:t>
      </w:r>
    </w:p>
    <w:p w14:paraId="2F2E96BA" w14:textId="77777777" w:rsidR="00342DCB" w:rsidRPr="00765546" w:rsidRDefault="00342DCB" w:rsidP="007F177E">
      <w:pPr>
        <w:numPr>
          <w:ilvl w:val="0"/>
          <w:numId w:val="149"/>
        </w:numPr>
        <w:tabs>
          <w:tab w:val="clear" w:pos="360"/>
        </w:tabs>
        <w:spacing w:after="120"/>
        <w:ind w:left="720"/>
      </w:pPr>
      <w:r w:rsidRPr="00765546">
        <w:t>The anticipated repayment schedule;</w:t>
      </w:r>
    </w:p>
    <w:p w14:paraId="29591D30" w14:textId="77777777" w:rsidR="00342DCB" w:rsidRPr="00765546" w:rsidRDefault="00342DCB" w:rsidP="007F177E">
      <w:pPr>
        <w:numPr>
          <w:ilvl w:val="0"/>
          <w:numId w:val="149"/>
        </w:numPr>
        <w:tabs>
          <w:tab w:val="clear" w:pos="360"/>
        </w:tabs>
        <w:spacing w:after="120"/>
        <w:ind w:left="720"/>
      </w:pPr>
      <w:r w:rsidRPr="00765546">
        <w:t xml:space="preserve">The amounts paid in the past, and </w:t>
      </w:r>
    </w:p>
    <w:p w14:paraId="5AC17614" w14:textId="77777777" w:rsidR="00342DCB" w:rsidRPr="00765546" w:rsidRDefault="00342DCB" w:rsidP="007F177E">
      <w:pPr>
        <w:numPr>
          <w:ilvl w:val="0"/>
          <w:numId w:val="149"/>
        </w:numPr>
        <w:tabs>
          <w:tab w:val="clear" w:pos="360"/>
        </w:tabs>
        <w:spacing w:after="120"/>
        <w:ind w:left="720"/>
      </w:pPr>
      <w:r w:rsidRPr="00765546">
        <w:t>Whether the amounts to be repaid have been deducted from the family’s annual income in past years.</w:t>
      </w:r>
    </w:p>
    <w:p w14:paraId="4ADBCD95" w14:textId="77777777" w:rsidR="00342DCB" w:rsidRPr="00765546" w:rsidRDefault="00342DCB" w:rsidP="00677451">
      <w:pPr>
        <w:pStyle w:val="Heading3"/>
      </w:pPr>
      <w:bookmarkStart w:id="1561" w:name="_Toc516735475"/>
      <w:bookmarkStart w:id="1562" w:name="_Toc527019473"/>
      <w:bookmarkStart w:id="1563" w:name="_Toc534707011"/>
      <w:bookmarkStart w:id="1564" w:name="_Toc534707689"/>
      <w:bookmarkStart w:id="1565" w:name="_Toc534708497"/>
      <w:bookmarkStart w:id="1566" w:name="_Toc118116082"/>
      <w:bookmarkStart w:id="1567" w:name="_Toc200375672"/>
      <w:r w:rsidRPr="00765546">
        <w:t>Disability Assistance Expenses</w:t>
      </w:r>
      <w:bookmarkEnd w:id="1561"/>
      <w:bookmarkEnd w:id="1562"/>
      <w:bookmarkEnd w:id="1563"/>
      <w:bookmarkEnd w:id="1564"/>
      <w:bookmarkEnd w:id="1565"/>
      <w:bookmarkEnd w:id="1566"/>
      <w:bookmarkEnd w:id="1567"/>
    </w:p>
    <w:p w14:paraId="6D6AB1AE" w14:textId="77777777" w:rsidR="00342DCB" w:rsidRPr="00765546" w:rsidRDefault="00342DCB" w:rsidP="00342DCB">
      <w:pPr>
        <w:autoSpaceDE w:val="0"/>
        <w:autoSpaceDN w:val="0"/>
        <w:adjustRightInd w:val="0"/>
        <w:rPr>
          <w:rFonts w:cs="Arial"/>
          <w:szCs w:val="20"/>
        </w:rPr>
      </w:pPr>
      <w:r>
        <w:rPr>
          <w:rFonts w:cs="Arial"/>
          <w:szCs w:val="20"/>
        </w:rPr>
        <w:t>HHA</w:t>
      </w:r>
      <w:r w:rsidRPr="00765546">
        <w:rPr>
          <w:rFonts w:cs="Arial"/>
          <w:szCs w:val="20"/>
        </w:rPr>
        <w:t xml:space="preserve"> will verify that the family is eligible to deduct unreimbursed disability assistance expenses. </w:t>
      </w:r>
      <w:r>
        <w:rPr>
          <w:rFonts w:cs="Arial"/>
          <w:szCs w:val="20"/>
        </w:rPr>
        <w:t>HHA</w:t>
      </w:r>
      <w:r w:rsidRPr="00765546">
        <w:rPr>
          <w:rFonts w:cs="Arial"/>
          <w:szCs w:val="20"/>
        </w:rPr>
        <w:t xml:space="preserve"> will allow a family to deduct unreimbursed disability assistance expenses after verifying that:</w:t>
      </w:r>
    </w:p>
    <w:p w14:paraId="312F5746" w14:textId="77777777" w:rsidR="00342DCB" w:rsidRPr="00296AC1" w:rsidRDefault="00342DCB" w:rsidP="00CB52D8">
      <w:pPr>
        <w:numPr>
          <w:ilvl w:val="0"/>
          <w:numId w:val="71"/>
        </w:numPr>
        <w:spacing w:after="120"/>
        <w:ind w:left="720"/>
      </w:pPr>
      <w:r w:rsidRPr="00296AC1">
        <w:t>The family member for whom the expense is incurred is a person with disabilities;</w:t>
      </w:r>
    </w:p>
    <w:p w14:paraId="0033E409" w14:textId="77777777" w:rsidR="00342DCB" w:rsidRPr="00296AC1" w:rsidRDefault="00342DCB" w:rsidP="00CB52D8">
      <w:pPr>
        <w:numPr>
          <w:ilvl w:val="0"/>
          <w:numId w:val="71"/>
        </w:numPr>
        <w:spacing w:after="120"/>
        <w:ind w:left="720"/>
      </w:pPr>
      <w:r w:rsidRPr="00296AC1">
        <w:t xml:space="preserve">The expense permits a family member, or members, to work; </w:t>
      </w:r>
    </w:p>
    <w:p w14:paraId="61BFEB4F" w14:textId="77777777" w:rsidR="00342DCB" w:rsidRPr="00296AC1" w:rsidRDefault="00342DCB" w:rsidP="00CB52D8">
      <w:pPr>
        <w:numPr>
          <w:ilvl w:val="0"/>
          <w:numId w:val="71"/>
        </w:numPr>
        <w:spacing w:after="120"/>
        <w:ind w:left="720"/>
      </w:pPr>
      <w:r w:rsidRPr="00296AC1">
        <w:t xml:space="preserve">The expense is not reimbursed from another source. </w:t>
      </w:r>
    </w:p>
    <w:p w14:paraId="1AB31ED4" w14:textId="77777777" w:rsidR="00342DCB" w:rsidRPr="00765546" w:rsidRDefault="00342DCB" w:rsidP="00342DCB">
      <w:pPr>
        <w:pStyle w:val="Heading4"/>
      </w:pPr>
      <w:r w:rsidRPr="00765546">
        <w:t>Attendant Care</w:t>
      </w:r>
    </w:p>
    <w:p w14:paraId="64B266CE" w14:textId="77777777" w:rsidR="00342DCB" w:rsidRPr="00765546" w:rsidRDefault="00342DCB" w:rsidP="00342DCB">
      <w:pPr>
        <w:autoSpaceDE w:val="0"/>
        <w:autoSpaceDN w:val="0"/>
        <w:adjustRightInd w:val="0"/>
        <w:rPr>
          <w:rFonts w:cs="Arial"/>
          <w:szCs w:val="20"/>
        </w:rPr>
      </w:pPr>
      <w:r w:rsidRPr="00765546">
        <w:rPr>
          <w:rFonts w:cs="Arial"/>
          <w:szCs w:val="20"/>
        </w:rPr>
        <w:t>Expenses for attendant care will be verified through:</w:t>
      </w:r>
    </w:p>
    <w:p w14:paraId="2B1EEB17" w14:textId="77777777" w:rsidR="00342DCB" w:rsidRPr="00296AC1" w:rsidRDefault="00342DCB" w:rsidP="007F177E">
      <w:pPr>
        <w:numPr>
          <w:ilvl w:val="0"/>
          <w:numId w:val="248"/>
        </w:numPr>
        <w:tabs>
          <w:tab w:val="clear" w:pos="360"/>
        </w:tabs>
        <w:spacing w:after="120"/>
        <w:ind w:left="720"/>
      </w:pPr>
      <w:r w:rsidRPr="00296AC1">
        <w:t>Written third-party documents provided by the family, such as receipts or cancelled checks.</w:t>
      </w:r>
    </w:p>
    <w:p w14:paraId="5C2DADAA" w14:textId="77777777" w:rsidR="00342DCB" w:rsidRPr="00296AC1" w:rsidRDefault="00342DCB" w:rsidP="007F177E">
      <w:pPr>
        <w:numPr>
          <w:ilvl w:val="0"/>
          <w:numId w:val="248"/>
        </w:numPr>
        <w:tabs>
          <w:tab w:val="clear" w:pos="360"/>
        </w:tabs>
        <w:spacing w:after="120"/>
        <w:ind w:left="720"/>
      </w:pPr>
      <w:r w:rsidRPr="00296AC1">
        <w:t>Third-party verification form signed by the provider, if family-provided documents are not available.</w:t>
      </w:r>
    </w:p>
    <w:p w14:paraId="5F6C4A91" w14:textId="77777777" w:rsidR="00342DCB" w:rsidRPr="00296AC1" w:rsidRDefault="00342DCB" w:rsidP="007F177E">
      <w:pPr>
        <w:numPr>
          <w:ilvl w:val="0"/>
          <w:numId w:val="248"/>
        </w:numPr>
        <w:tabs>
          <w:tab w:val="clear" w:pos="360"/>
        </w:tabs>
        <w:spacing w:after="120"/>
        <w:ind w:left="720"/>
      </w:pPr>
      <w:r w:rsidRPr="00296AC1">
        <w:t>If third-party verification is not possible, written family certification as to costs anticipated to be incurred for the upcoming 12 months.</w:t>
      </w:r>
    </w:p>
    <w:p w14:paraId="58758786" w14:textId="77777777" w:rsidR="00342DCB" w:rsidRPr="00765546" w:rsidRDefault="00342DCB" w:rsidP="00342DCB">
      <w:pPr>
        <w:pStyle w:val="Heading4"/>
      </w:pPr>
      <w:r w:rsidRPr="00765546">
        <w:t>Auxiliary Apparatus</w:t>
      </w:r>
    </w:p>
    <w:p w14:paraId="2FDCFA45" w14:textId="77777777" w:rsidR="00342DCB" w:rsidRPr="00765546" w:rsidRDefault="00342DCB" w:rsidP="00342DCB">
      <w:pPr>
        <w:autoSpaceDE w:val="0"/>
        <w:autoSpaceDN w:val="0"/>
        <w:adjustRightInd w:val="0"/>
        <w:rPr>
          <w:rFonts w:cs="Arial"/>
          <w:szCs w:val="20"/>
        </w:rPr>
      </w:pPr>
      <w:r w:rsidRPr="00765546">
        <w:rPr>
          <w:rFonts w:cs="Arial"/>
          <w:szCs w:val="20"/>
        </w:rPr>
        <w:t>Expenses for auxiliary apparatus will be verified through:</w:t>
      </w:r>
    </w:p>
    <w:p w14:paraId="4B79F3B2" w14:textId="77777777" w:rsidR="00342DCB" w:rsidRPr="00296AC1" w:rsidRDefault="00342DCB" w:rsidP="007F177E">
      <w:pPr>
        <w:numPr>
          <w:ilvl w:val="0"/>
          <w:numId w:val="249"/>
        </w:numPr>
        <w:tabs>
          <w:tab w:val="clear" w:pos="360"/>
        </w:tabs>
        <w:spacing w:after="120"/>
        <w:ind w:left="720"/>
      </w:pPr>
      <w:r w:rsidRPr="00296AC1">
        <w:t>Written third-party documents provided by the family, such as billing statements for purchase of auxiliary apparatus, or other evidence of monthly payments or total payments that will be due for the apparatus during the upcoming 12 months.</w:t>
      </w:r>
    </w:p>
    <w:p w14:paraId="2086CA35" w14:textId="77777777" w:rsidR="00342DCB" w:rsidRPr="00296AC1" w:rsidRDefault="00342DCB" w:rsidP="007F177E">
      <w:pPr>
        <w:numPr>
          <w:ilvl w:val="0"/>
          <w:numId w:val="249"/>
        </w:numPr>
        <w:tabs>
          <w:tab w:val="clear" w:pos="360"/>
        </w:tabs>
        <w:spacing w:after="120"/>
        <w:ind w:left="720"/>
      </w:pPr>
      <w:r w:rsidRPr="00296AC1">
        <w:t>Third-party verification form signed by the provider, if family-provided documents are not available.</w:t>
      </w:r>
    </w:p>
    <w:p w14:paraId="6E082539" w14:textId="77777777" w:rsidR="00342DCB" w:rsidRPr="00296AC1" w:rsidRDefault="00342DCB" w:rsidP="007F177E">
      <w:pPr>
        <w:numPr>
          <w:ilvl w:val="0"/>
          <w:numId w:val="249"/>
        </w:numPr>
        <w:tabs>
          <w:tab w:val="clear" w:pos="360"/>
        </w:tabs>
        <w:spacing w:after="120"/>
        <w:ind w:left="720"/>
      </w:pPr>
      <w:r w:rsidRPr="00296AC1">
        <w:t>If third-party or document review is not possible, written family certification of estimated apparatus costs for the upcoming 12 months.</w:t>
      </w:r>
    </w:p>
    <w:p w14:paraId="4988F0F8" w14:textId="77777777" w:rsidR="00342DCB" w:rsidRPr="00765546" w:rsidRDefault="00342DCB" w:rsidP="00677451">
      <w:pPr>
        <w:pStyle w:val="Heading3"/>
      </w:pPr>
      <w:bookmarkStart w:id="1568" w:name="_Toc516735476"/>
      <w:bookmarkStart w:id="1569" w:name="_Toc527019474"/>
      <w:bookmarkStart w:id="1570" w:name="_Toc534707012"/>
      <w:bookmarkStart w:id="1571" w:name="_Toc534707690"/>
      <w:bookmarkStart w:id="1572" w:name="_Toc534708498"/>
      <w:bookmarkStart w:id="1573" w:name="_Toc118116083"/>
      <w:bookmarkStart w:id="1574" w:name="_Toc200375673"/>
      <w:r w:rsidRPr="00117188">
        <w:t>Child</w:t>
      </w:r>
      <w:r w:rsidRPr="00765546">
        <w:t xml:space="preserve"> Care Expenses</w:t>
      </w:r>
      <w:bookmarkEnd w:id="1568"/>
      <w:bookmarkEnd w:id="1569"/>
      <w:bookmarkEnd w:id="1570"/>
      <w:bookmarkEnd w:id="1571"/>
      <w:bookmarkEnd w:id="1572"/>
      <w:bookmarkEnd w:id="1573"/>
      <w:bookmarkEnd w:id="1574"/>
    </w:p>
    <w:p w14:paraId="25913E46" w14:textId="77777777" w:rsidR="00342DCB" w:rsidRPr="00765546" w:rsidRDefault="00342DCB" w:rsidP="00342DCB">
      <w:bookmarkStart w:id="1575" w:name="_Toc516735477"/>
      <w:r w:rsidRPr="00765546">
        <w:t xml:space="preserve">In order to determine whether a household is eligible to deducted unreimbursed childcare expenses </w:t>
      </w:r>
      <w:r>
        <w:t>HHA</w:t>
      </w:r>
      <w:r w:rsidRPr="00765546">
        <w:t xml:space="preserve"> will verify that:</w:t>
      </w:r>
    </w:p>
    <w:p w14:paraId="500ED7A6" w14:textId="77777777" w:rsidR="00342DCB" w:rsidRPr="00765546" w:rsidRDefault="00342DCB" w:rsidP="007F177E">
      <w:pPr>
        <w:numPr>
          <w:ilvl w:val="0"/>
          <w:numId w:val="250"/>
        </w:numPr>
        <w:tabs>
          <w:tab w:val="clear" w:pos="360"/>
        </w:tabs>
        <w:spacing w:after="120"/>
        <w:ind w:left="720"/>
      </w:pPr>
      <w:r w:rsidRPr="00765546">
        <w:t>The child is under 13 years of age;</w:t>
      </w:r>
    </w:p>
    <w:p w14:paraId="6473DB70" w14:textId="77777777" w:rsidR="00342DCB" w:rsidRPr="00765546" w:rsidRDefault="00342DCB" w:rsidP="007F177E">
      <w:pPr>
        <w:numPr>
          <w:ilvl w:val="0"/>
          <w:numId w:val="250"/>
        </w:numPr>
        <w:tabs>
          <w:tab w:val="clear" w:pos="360"/>
        </w:tabs>
        <w:spacing w:after="120"/>
        <w:ind w:left="720"/>
      </w:pPr>
      <w:r w:rsidRPr="00765546">
        <w:t>The costs claimed are not reimbursed;</w:t>
      </w:r>
    </w:p>
    <w:p w14:paraId="4BB63340" w14:textId="77777777" w:rsidR="00342DCB" w:rsidRPr="00765546" w:rsidRDefault="00342DCB" w:rsidP="007F177E">
      <w:pPr>
        <w:numPr>
          <w:ilvl w:val="0"/>
          <w:numId w:val="250"/>
        </w:numPr>
        <w:tabs>
          <w:tab w:val="clear" w:pos="360"/>
        </w:tabs>
        <w:spacing w:after="120"/>
        <w:ind w:left="720"/>
      </w:pPr>
      <w:r w:rsidRPr="00765546">
        <w:t xml:space="preserve">The costs enable a family member to pursue an eligible activity; </w:t>
      </w:r>
    </w:p>
    <w:p w14:paraId="27D8F6BE" w14:textId="77777777" w:rsidR="00342DCB" w:rsidRPr="00765546" w:rsidRDefault="00342DCB" w:rsidP="007F177E">
      <w:pPr>
        <w:numPr>
          <w:ilvl w:val="0"/>
          <w:numId w:val="250"/>
        </w:numPr>
        <w:tabs>
          <w:tab w:val="clear" w:pos="360"/>
        </w:tabs>
        <w:spacing w:after="120"/>
        <w:ind w:left="720"/>
      </w:pPr>
      <w:r w:rsidRPr="00765546">
        <w:t>The costs are for an allowable type of child care</w:t>
      </w:r>
      <w:r w:rsidR="00A6106A">
        <w:t>;</w:t>
      </w:r>
      <w:r w:rsidRPr="00765546">
        <w:t xml:space="preserve"> and </w:t>
      </w:r>
    </w:p>
    <w:p w14:paraId="497E9E5B" w14:textId="77777777" w:rsidR="00342DCB" w:rsidRPr="00765546" w:rsidRDefault="00342DCB" w:rsidP="007F177E">
      <w:pPr>
        <w:numPr>
          <w:ilvl w:val="0"/>
          <w:numId w:val="250"/>
        </w:numPr>
        <w:tabs>
          <w:tab w:val="clear" w:pos="360"/>
        </w:tabs>
        <w:spacing w:after="120"/>
        <w:ind w:left="720"/>
      </w:pPr>
      <w:r w:rsidRPr="00765546">
        <w:t>The costs are reasonable.</w:t>
      </w:r>
      <w:bookmarkStart w:id="1576" w:name="_Toc249261415"/>
    </w:p>
    <w:p w14:paraId="198DDFE7" w14:textId="77777777" w:rsidR="00342DCB" w:rsidRPr="00765546" w:rsidRDefault="00342DCB" w:rsidP="00342DCB">
      <w:pPr>
        <w:pStyle w:val="Heading4"/>
      </w:pPr>
      <w:bookmarkStart w:id="1577" w:name="_Toc425397331"/>
      <w:r w:rsidRPr="00765546">
        <w:t>Eligible Child</w:t>
      </w:r>
      <w:bookmarkEnd w:id="1576"/>
      <w:bookmarkEnd w:id="1577"/>
    </w:p>
    <w:p w14:paraId="72D36866" w14:textId="77777777" w:rsidR="00342DCB" w:rsidRPr="00765546" w:rsidRDefault="00342DCB" w:rsidP="00342DCB">
      <w:r w:rsidRPr="00765546">
        <w:t xml:space="preserve">To be eligible for the child care deduction, the costs must be incurred for the care of a child under the age of 13. </w:t>
      </w:r>
      <w:r>
        <w:t>HHA</w:t>
      </w:r>
      <w:r w:rsidRPr="00765546">
        <w:t xml:space="preserve"> will verify that the child being cared for (including foster children) is under the age</w:t>
      </w:r>
      <w:r w:rsidR="001A124D">
        <w:t xml:space="preserve"> of 13</w:t>
      </w:r>
      <w:r w:rsidRPr="00765546">
        <w:t>.</w:t>
      </w:r>
    </w:p>
    <w:p w14:paraId="3358F5D6" w14:textId="77777777" w:rsidR="00342DCB" w:rsidRPr="00765546" w:rsidRDefault="00342DCB" w:rsidP="00342DCB">
      <w:pPr>
        <w:pStyle w:val="Heading4"/>
      </w:pPr>
      <w:bookmarkStart w:id="1578" w:name="_Toc249261416"/>
      <w:bookmarkStart w:id="1579" w:name="_Toc425397332"/>
      <w:r w:rsidRPr="00765546">
        <w:t>Unreimbursed Expense</w:t>
      </w:r>
      <w:bookmarkEnd w:id="1578"/>
      <w:bookmarkEnd w:id="1579"/>
    </w:p>
    <w:p w14:paraId="76DBD20E" w14:textId="77777777" w:rsidR="00342DCB" w:rsidRPr="00765546" w:rsidRDefault="00342DCB" w:rsidP="00342DCB">
      <w:r w:rsidRPr="00765546">
        <w:t>The family (and/or the care provider) will be required to certify that the child care expenses are not paid by or reimbursed to the family from any source.</w:t>
      </w:r>
      <w:bookmarkStart w:id="1580" w:name="_Toc249261417"/>
    </w:p>
    <w:p w14:paraId="6A164F94" w14:textId="77777777" w:rsidR="00342DCB" w:rsidRPr="00765546" w:rsidRDefault="00342DCB" w:rsidP="00342DCB">
      <w:pPr>
        <w:pStyle w:val="Heading4"/>
      </w:pPr>
      <w:bookmarkStart w:id="1581" w:name="_Toc425397333"/>
      <w:r w:rsidRPr="00765546">
        <w:t>Pursuing an Eligible Activity</w:t>
      </w:r>
      <w:bookmarkEnd w:id="1580"/>
      <w:bookmarkEnd w:id="1581"/>
    </w:p>
    <w:p w14:paraId="74F7E190" w14:textId="77777777" w:rsidR="00342DCB" w:rsidRDefault="00342DCB" w:rsidP="00342DCB">
      <w:r>
        <w:t>HHA</w:t>
      </w:r>
      <w:r w:rsidRPr="00765546">
        <w:t xml:space="preserve"> will verify that the deduction of the unreimbursed child care expenses enable a family member(s) pursue education or be gainfully employed.</w:t>
      </w:r>
    </w:p>
    <w:p w14:paraId="64955ABB" w14:textId="77777777" w:rsidR="00342DCB" w:rsidRPr="00765546" w:rsidRDefault="00342DCB" w:rsidP="00CB52D8">
      <w:pPr>
        <w:numPr>
          <w:ilvl w:val="0"/>
          <w:numId w:val="72"/>
        </w:numPr>
        <w:spacing w:after="120"/>
      </w:pPr>
      <w:r w:rsidRPr="00296AC1">
        <w:t>Furthering Education:</w:t>
      </w:r>
      <w:r w:rsidRPr="00765546">
        <w:t xml:space="preserve"> </w:t>
      </w:r>
      <w:r>
        <w:t>HHA</w:t>
      </w:r>
      <w:r w:rsidRPr="00765546">
        <w:t xml:space="preserve"> will request third-party documentation to verify that the person permitted to further his or her education by the child care is enrolled and provide information about the timing of classes for which the person is registered. The documentation may be provided by the family.</w:t>
      </w:r>
    </w:p>
    <w:p w14:paraId="50C696DE" w14:textId="77777777" w:rsidR="00342DCB" w:rsidRPr="00765546" w:rsidRDefault="00342DCB" w:rsidP="00CB52D8">
      <w:pPr>
        <w:numPr>
          <w:ilvl w:val="0"/>
          <w:numId w:val="72"/>
        </w:numPr>
        <w:spacing w:after="120"/>
      </w:pPr>
      <w:r w:rsidRPr="00296AC1">
        <w:t>Gainful Employment</w:t>
      </w:r>
      <w:r w:rsidRPr="00765546">
        <w:t xml:space="preserve">: </w:t>
      </w:r>
      <w:r w:rsidR="00316BBD">
        <w:t>HHA</w:t>
      </w:r>
      <w:r w:rsidR="00316BBD" w:rsidRPr="00765546">
        <w:t xml:space="preserve"> will </w:t>
      </w:r>
      <w:r w:rsidR="00316BBD">
        <w:t>obtain</w:t>
      </w:r>
      <w:r w:rsidR="00316BBD" w:rsidRPr="00765546">
        <w:t xml:space="preserve"> third-party verification of the </w:t>
      </w:r>
      <w:r w:rsidR="00316BBD">
        <w:t xml:space="preserve">employment </w:t>
      </w:r>
      <w:r w:rsidR="00316BBD" w:rsidRPr="00765546">
        <w:t>of the person who is permitted to work by the child care</w:t>
      </w:r>
      <w:r w:rsidR="00DE2E10">
        <w:t xml:space="preserve"> or (as applicable) their attempts to seek work</w:t>
      </w:r>
      <w:r w:rsidR="00316BBD" w:rsidRPr="00765546">
        <w:t xml:space="preserve">. </w:t>
      </w:r>
      <w:r w:rsidR="00316BBD">
        <w:t>As needed, HHA may require</w:t>
      </w:r>
      <w:r w:rsidR="00402643">
        <w:t xml:space="preserve"> verification of</w:t>
      </w:r>
      <w:r w:rsidR="00316BBD">
        <w:t xml:space="preserve"> the work schedule of the person permitted to work by the child care. </w:t>
      </w:r>
      <w:r w:rsidR="00316BBD" w:rsidRPr="00765546">
        <w:t>The documentation may be provided by the family</w:t>
      </w:r>
      <w:r w:rsidRPr="00765546">
        <w:t>.</w:t>
      </w:r>
    </w:p>
    <w:p w14:paraId="6D96A1CE" w14:textId="77777777" w:rsidR="00342DCB" w:rsidRDefault="00342DCB" w:rsidP="00342DCB">
      <w:pPr>
        <w:spacing w:after="120"/>
      </w:pPr>
      <w:r>
        <w:t>HHA</w:t>
      </w:r>
      <w:r w:rsidRPr="00765546">
        <w:t xml:space="preserve"> will evaluate how the schedule for the claimed activity relates to the hours of care provided and any special needs of the child that might help determine which family member is enabled to pursue an eligible activity.</w:t>
      </w:r>
    </w:p>
    <w:p w14:paraId="46CA4FE6" w14:textId="77777777" w:rsidR="00342DCB" w:rsidRPr="00765546" w:rsidRDefault="00342DCB" w:rsidP="00342DCB">
      <w:pPr>
        <w:pStyle w:val="Heading4"/>
      </w:pPr>
      <w:bookmarkStart w:id="1582" w:name="_Toc249261418"/>
      <w:bookmarkStart w:id="1583" w:name="_Toc425397334"/>
      <w:r w:rsidRPr="00765546">
        <w:t>Allowable Type of Child Care</w:t>
      </w:r>
      <w:bookmarkEnd w:id="1582"/>
      <w:bookmarkEnd w:id="1583"/>
    </w:p>
    <w:p w14:paraId="5A681254" w14:textId="784AAC88" w:rsidR="00342DCB" w:rsidRPr="00765546" w:rsidRDefault="00342DCB" w:rsidP="00342DCB">
      <w:r>
        <w:t>HHA</w:t>
      </w:r>
      <w:r w:rsidRPr="00765546">
        <w:t xml:space="preserve"> will verify that the type of child care selected by the family is allowable</w:t>
      </w:r>
      <w:r w:rsidR="00AE13EB">
        <w:t xml:space="preserve"> (see </w:t>
      </w:r>
      <w:r w:rsidR="00AE13EB" w:rsidRPr="00EF3EBB">
        <w:rPr>
          <w:b/>
          <w:bCs/>
          <w:color w:val="0070C0"/>
        </w:rPr>
        <w:fldChar w:fldCharType="begin"/>
      </w:r>
      <w:r w:rsidR="00AE13EB" w:rsidRPr="00EF3EBB">
        <w:rPr>
          <w:b/>
          <w:bCs/>
          <w:color w:val="0070C0"/>
        </w:rPr>
        <w:instrText xml:space="preserve"> REF _Ref158897536 \h </w:instrText>
      </w:r>
      <w:r w:rsidR="00EF3EBB" w:rsidRPr="00EF3EBB">
        <w:rPr>
          <w:b/>
          <w:bCs/>
          <w:color w:val="0070C0"/>
        </w:rPr>
        <w:instrText xml:space="preserve"> \* MERGEFORMAT </w:instrText>
      </w:r>
      <w:r w:rsidR="00AE13EB" w:rsidRPr="00EF3EBB">
        <w:rPr>
          <w:b/>
          <w:bCs/>
          <w:color w:val="0070C0"/>
        </w:rPr>
      </w:r>
      <w:r w:rsidR="00AE13EB" w:rsidRPr="00EF3EBB">
        <w:rPr>
          <w:b/>
          <w:bCs/>
          <w:color w:val="0070C0"/>
        </w:rPr>
        <w:fldChar w:fldCharType="separate"/>
      </w:r>
      <w:r w:rsidR="00AE13EB" w:rsidRPr="00EF3EBB">
        <w:rPr>
          <w:b/>
          <w:bCs/>
          <w:color w:val="0070C0"/>
        </w:rPr>
        <w:t>Eligible and Ineligible Child Care Expenses</w:t>
      </w:r>
      <w:r w:rsidR="00AE13EB" w:rsidRPr="00EF3EBB">
        <w:rPr>
          <w:b/>
          <w:bCs/>
          <w:color w:val="0070C0"/>
        </w:rPr>
        <w:fldChar w:fldCharType="end"/>
      </w:r>
      <w:r w:rsidR="00AE13EB">
        <w:t xml:space="preserve"> in the chapter on </w:t>
      </w:r>
      <w:r w:rsidR="000045FB" w:rsidRPr="000045FB">
        <w:rPr>
          <w:b/>
          <w:bCs/>
          <w:color w:val="0070C0"/>
        </w:rPr>
        <w:fldChar w:fldCharType="begin"/>
      </w:r>
      <w:r w:rsidR="000045FB" w:rsidRPr="000045FB">
        <w:rPr>
          <w:b/>
          <w:bCs/>
          <w:color w:val="0070C0"/>
        </w:rPr>
        <w:instrText xml:space="preserve"> REF _Ref154565697 \h  \* MERGEFORMAT </w:instrText>
      </w:r>
      <w:r w:rsidR="000045FB" w:rsidRPr="000045FB">
        <w:rPr>
          <w:b/>
          <w:bCs/>
          <w:color w:val="0070C0"/>
        </w:rPr>
      </w:r>
      <w:r w:rsidR="000045FB" w:rsidRPr="000045FB">
        <w:rPr>
          <w:b/>
          <w:bCs/>
          <w:color w:val="0070C0"/>
        </w:rPr>
        <w:fldChar w:fldCharType="separate"/>
      </w:r>
      <w:r w:rsidR="000045FB" w:rsidRPr="000045FB">
        <w:rPr>
          <w:b/>
          <w:bCs/>
          <w:color w:val="0070C0"/>
        </w:rPr>
        <w:t>INCOME AND ADJUSTED INCOME</w:t>
      </w:r>
      <w:r w:rsidR="000045FB" w:rsidRPr="000045FB">
        <w:rPr>
          <w:b/>
          <w:bCs/>
          <w:color w:val="0070C0"/>
        </w:rPr>
        <w:fldChar w:fldCharType="end"/>
      </w:r>
      <w:r w:rsidR="00AE13EB">
        <w:t>)</w:t>
      </w:r>
      <w:r w:rsidRPr="00765546">
        <w:t xml:space="preserve">. </w:t>
      </w:r>
    </w:p>
    <w:p w14:paraId="6594104F" w14:textId="77777777" w:rsidR="00342DCB" w:rsidRPr="00765546" w:rsidRDefault="00342DCB" w:rsidP="00342DCB">
      <w:r>
        <w:t>HHA</w:t>
      </w:r>
      <w:r w:rsidRPr="00765546">
        <w:t xml:space="preserve"> will verify that the fees paid to the child care provider cover only child care costs (e.g., no housekeeping services or personal services) and are paid only for the care of an eligible child (e.g., prorate costs if some of the care is provided for ineligible family members).</w:t>
      </w:r>
    </w:p>
    <w:p w14:paraId="7C4280D6" w14:textId="77777777" w:rsidR="00342DCB" w:rsidRPr="00765546" w:rsidRDefault="00342DCB" w:rsidP="00342DCB">
      <w:r>
        <w:t>HHA</w:t>
      </w:r>
      <w:r w:rsidRPr="00765546">
        <w:t xml:space="preserve"> will verify that the child care provider is not an assisted family member. Verification will be made through the head of household’s declaration of family members who are expected to reside in the unit.</w:t>
      </w:r>
    </w:p>
    <w:p w14:paraId="1E557F4A" w14:textId="77777777" w:rsidR="00342DCB" w:rsidRPr="00765546" w:rsidRDefault="00342DCB" w:rsidP="00342DCB">
      <w:pPr>
        <w:pStyle w:val="Heading4"/>
      </w:pPr>
      <w:bookmarkStart w:id="1584" w:name="_Toc249261419"/>
      <w:bookmarkStart w:id="1585" w:name="_Toc425397335"/>
      <w:r w:rsidRPr="00765546">
        <w:t>Reasonableness of Expenses</w:t>
      </w:r>
      <w:bookmarkEnd w:id="1584"/>
      <w:bookmarkEnd w:id="1585"/>
    </w:p>
    <w:p w14:paraId="510102F0" w14:textId="77777777" w:rsidR="00342DCB" w:rsidRPr="00765546" w:rsidRDefault="00342DCB" w:rsidP="00342DCB">
      <w:r w:rsidRPr="00765546">
        <w:t xml:space="preserve">Only reasonable child care costs can be deducted. The actual costs the family incurs will be evaluated by </w:t>
      </w:r>
      <w:r>
        <w:t>HHA</w:t>
      </w:r>
      <w:r w:rsidRPr="00765546">
        <w:t xml:space="preserve"> for reasonableness to ensure that the costs are allowable.</w:t>
      </w:r>
    </w:p>
    <w:p w14:paraId="2EDA8ED9" w14:textId="77777777" w:rsidR="00342DCB" w:rsidRPr="00765546" w:rsidRDefault="00342DCB" w:rsidP="00342DCB">
      <w:r w:rsidRPr="00765546">
        <w:t xml:space="preserve">If the family presents a justification for costs that exceed typical costs in the area, </w:t>
      </w:r>
      <w:r>
        <w:t>HHA</w:t>
      </w:r>
      <w:r w:rsidRPr="00765546">
        <w:t xml:space="preserve"> will request additional documentation, as required, to support a determination that the higher cost is appropriate.</w:t>
      </w:r>
    </w:p>
    <w:p w14:paraId="11A6F69F" w14:textId="77777777" w:rsidR="00342DCB" w:rsidRPr="00765546" w:rsidRDefault="00342DCB" w:rsidP="00677451">
      <w:pPr>
        <w:pStyle w:val="Heading3"/>
      </w:pPr>
      <w:bookmarkStart w:id="1586" w:name="_Live-In_Aide"/>
      <w:bookmarkStart w:id="1587" w:name="_Ref75357761"/>
      <w:bookmarkStart w:id="1588" w:name="_Toc118116084"/>
      <w:bookmarkStart w:id="1589" w:name="_Toc200375674"/>
      <w:bookmarkEnd w:id="1586"/>
      <w:r w:rsidRPr="00765546">
        <w:t>Live-In Aide</w:t>
      </w:r>
      <w:bookmarkEnd w:id="1587"/>
      <w:bookmarkEnd w:id="1588"/>
      <w:bookmarkEnd w:id="1589"/>
    </w:p>
    <w:p w14:paraId="4D4FF8CB" w14:textId="77777777" w:rsidR="00342DCB" w:rsidRPr="00765546" w:rsidRDefault="00342DCB" w:rsidP="00342DCB">
      <w:pPr>
        <w:autoSpaceDE w:val="0"/>
        <w:autoSpaceDN w:val="0"/>
        <w:adjustRightInd w:val="0"/>
        <w:rPr>
          <w:rFonts w:cs="Arial"/>
          <w:color w:val="000000"/>
          <w:szCs w:val="20"/>
        </w:rPr>
      </w:pPr>
      <w:r w:rsidRPr="00765546">
        <w:rPr>
          <w:rFonts w:cs="Arial"/>
          <w:color w:val="000000"/>
          <w:szCs w:val="20"/>
        </w:rPr>
        <w:t>Written verification will be required from a reliable, knowledgeable professional, such as a doctor, social worker, or case worker, that the live-in aide is essential for the care and well-being of the elderly, near-elderly, or disabled family member. For continued approval, the family must submit a new, written request</w:t>
      </w:r>
      <w:r w:rsidR="00E678BE">
        <w:rPr>
          <w:rFonts w:cs="Arial"/>
          <w:color w:val="000000"/>
          <w:szCs w:val="20"/>
        </w:rPr>
        <w:t>—</w:t>
      </w:r>
      <w:r w:rsidRPr="00765546">
        <w:rPr>
          <w:rFonts w:cs="Arial"/>
          <w:color w:val="000000"/>
          <w:szCs w:val="20"/>
        </w:rPr>
        <w:t xml:space="preserve">subject to </w:t>
      </w:r>
      <w:r>
        <w:rPr>
          <w:rFonts w:cs="Arial"/>
          <w:color w:val="000000"/>
          <w:szCs w:val="20"/>
        </w:rPr>
        <w:t>HHA</w:t>
      </w:r>
      <w:r w:rsidRPr="00765546">
        <w:rPr>
          <w:rFonts w:cs="Arial"/>
          <w:color w:val="000000"/>
          <w:szCs w:val="20"/>
        </w:rPr>
        <w:t xml:space="preserve"> verification</w:t>
      </w:r>
      <w:r w:rsidR="00E678BE">
        <w:rPr>
          <w:rFonts w:cs="Arial"/>
          <w:color w:val="000000"/>
          <w:szCs w:val="20"/>
        </w:rPr>
        <w:t>—</w:t>
      </w:r>
      <w:r w:rsidRPr="00765546">
        <w:rPr>
          <w:rFonts w:cs="Arial"/>
          <w:color w:val="000000"/>
          <w:szCs w:val="20"/>
        </w:rPr>
        <w:t xml:space="preserve">at each </w:t>
      </w:r>
      <w:r>
        <w:rPr>
          <w:rFonts w:cs="Arial"/>
          <w:color w:val="000000"/>
          <w:szCs w:val="20"/>
        </w:rPr>
        <w:t xml:space="preserve">regular </w:t>
      </w:r>
      <w:r w:rsidRPr="00765546">
        <w:rPr>
          <w:rFonts w:cs="Arial"/>
          <w:color w:val="000000"/>
          <w:szCs w:val="20"/>
        </w:rPr>
        <w:t xml:space="preserve">reexamination. </w:t>
      </w:r>
    </w:p>
    <w:p w14:paraId="10086515" w14:textId="77777777" w:rsidR="002C71CE" w:rsidRDefault="002C71CE" w:rsidP="002C71CE">
      <w:pPr>
        <w:rPr>
          <w:rFonts w:cs="Arial"/>
          <w:color w:val="000000"/>
          <w:szCs w:val="20"/>
        </w:rPr>
      </w:pPr>
      <w:r w:rsidRPr="00765546">
        <w:rPr>
          <w:rFonts w:cs="Arial"/>
          <w:color w:val="000000"/>
          <w:szCs w:val="20"/>
        </w:rPr>
        <w:t>In addition, the family and live-in aide will be required to submit a certification stating that the live-in aide is</w:t>
      </w:r>
      <w:r>
        <w:rPr>
          <w:rFonts w:cs="Arial"/>
          <w:color w:val="000000"/>
          <w:szCs w:val="20"/>
        </w:rPr>
        <w:t>:</w:t>
      </w:r>
    </w:p>
    <w:p w14:paraId="2D1A883C" w14:textId="77777777" w:rsidR="004B70A8" w:rsidRPr="004B70A8" w:rsidRDefault="004B70A8" w:rsidP="00CB52D8">
      <w:pPr>
        <w:pStyle w:val="ListParagraph"/>
        <w:numPr>
          <w:ilvl w:val="5"/>
          <w:numId w:val="74"/>
        </w:numPr>
        <w:ind w:left="720"/>
        <w:contextualSpacing w:val="0"/>
        <w:rPr>
          <w:rFonts w:cs="Arial"/>
          <w:szCs w:val="20"/>
        </w:rPr>
      </w:pPr>
      <w:r>
        <w:rPr>
          <w:rFonts w:cs="Arial"/>
          <w:szCs w:val="20"/>
        </w:rPr>
        <w:t>Determined to be essential to the care and well-being of the person</w:t>
      </w:r>
      <w:r w:rsidR="00160F92">
        <w:rPr>
          <w:rFonts w:cs="Arial"/>
          <w:szCs w:val="20"/>
        </w:rPr>
        <w:t>(s) needing the care,</w:t>
      </w:r>
    </w:p>
    <w:p w14:paraId="6DE922B6" w14:textId="77777777" w:rsidR="002C71CE" w:rsidRPr="008D569C" w:rsidRDefault="002C71CE" w:rsidP="00CB52D8">
      <w:pPr>
        <w:pStyle w:val="ListParagraph"/>
        <w:numPr>
          <w:ilvl w:val="5"/>
          <w:numId w:val="74"/>
        </w:numPr>
        <w:ind w:left="720"/>
        <w:contextualSpacing w:val="0"/>
        <w:rPr>
          <w:rFonts w:cs="Arial"/>
          <w:szCs w:val="20"/>
        </w:rPr>
      </w:pPr>
      <w:r>
        <w:rPr>
          <w:rFonts w:cs="Arial"/>
          <w:color w:val="000000"/>
          <w:szCs w:val="20"/>
        </w:rPr>
        <w:t>N</w:t>
      </w:r>
      <w:r w:rsidRPr="008D569C">
        <w:rPr>
          <w:rFonts w:cs="Arial"/>
          <w:color w:val="000000"/>
          <w:szCs w:val="20"/>
        </w:rPr>
        <w:t xml:space="preserve">ot obligated for the support of the person(s) needing the care, and </w:t>
      </w:r>
    </w:p>
    <w:p w14:paraId="23E593CF" w14:textId="77777777" w:rsidR="002C71CE" w:rsidRPr="002C71CE" w:rsidRDefault="002C71CE" w:rsidP="00CB52D8">
      <w:pPr>
        <w:pStyle w:val="ListParagraph"/>
        <w:numPr>
          <w:ilvl w:val="5"/>
          <w:numId w:val="74"/>
        </w:numPr>
        <w:ind w:left="720"/>
        <w:contextualSpacing w:val="0"/>
        <w:rPr>
          <w:rFonts w:cs="Arial"/>
          <w:szCs w:val="20"/>
        </w:rPr>
      </w:pPr>
      <w:r>
        <w:rPr>
          <w:rFonts w:cs="Arial"/>
          <w:color w:val="000000"/>
          <w:szCs w:val="20"/>
        </w:rPr>
        <w:t>W</w:t>
      </w:r>
      <w:r w:rsidRPr="008D569C">
        <w:rPr>
          <w:rFonts w:cs="Arial"/>
          <w:color w:val="000000"/>
          <w:szCs w:val="20"/>
        </w:rPr>
        <w:t>ould not be living in the unit except to provide the necessary supportive services.</w:t>
      </w:r>
    </w:p>
    <w:p w14:paraId="3964310F" w14:textId="77777777" w:rsidR="002C71CE" w:rsidRDefault="002C71CE" w:rsidP="002C71CE">
      <w:pPr>
        <w:rPr>
          <w:rFonts w:cs="Arial"/>
          <w:szCs w:val="20"/>
        </w:rPr>
      </w:pPr>
    </w:p>
    <w:p w14:paraId="53BAE384" w14:textId="77777777" w:rsidR="002C71CE" w:rsidRDefault="002C71CE" w:rsidP="002C71CE">
      <w:pPr>
        <w:rPr>
          <w:rFonts w:cs="Arial"/>
          <w:szCs w:val="20"/>
        </w:rPr>
      </w:pPr>
    </w:p>
    <w:bookmarkEnd w:id="1575"/>
    <w:p w14:paraId="43B71B57" w14:textId="77777777" w:rsidR="000A3FB2" w:rsidRPr="000A3FB2" w:rsidRDefault="000A3FB2" w:rsidP="000A3FB2">
      <w:pPr>
        <w:sectPr w:rsidR="000A3FB2" w:rsidRPr="000A3FB2" w:rsidSect="00EE2233">
          <w:pgSz w:w="12240" w:h="15840"/>
          <w:pgMar w:top="1440" w:right="1440" w:bottom="1440" w:left="1440" w:header="720" w:footer="720" w:gutter="0"/>
          <w:cols w:space="720"/>
          <w:docGrid w:linePitch="360"/>
        </w:sectPr>
      </w:pPr>
    </w:p>
    <w:p w14:paraId="62A0B105" w14:textId="77777777" w:rsidR="00A95B1E" w:rsidRPr="005104DD" w:rsidRDefault="00A6749C" w:rsidP="00BC0DB5">
      <w:pPr>
        <w:pStyle w:val="Heading1"/>
        <w:ind w:left="0" w:firstLine="0"/>
      </w:pPr>
      <w:bookmarkStart w:id="1590" w:name="_Ref154565697"/>
      <w:bookmarkStart w:id="1591" w:name="_Ref154582892"/>
      <w:bookmarkStart w:id="1592" w:name="_Toc173222704"/>
      <w:bookmarkStart w:id="1593" w:name="_Toc200375675"/>
      <w:bookmarkStart w:id="1594" w:name="_Toc200376970"/>
      <w:r w:rsidRPr="005104DD">
        <w:t xml:space="preserve">INCOME </w:t>
      </w:r>
      <w:r w:rsidR="00C7681A" w:rsidRPr="005104DD">
        <w:t>AND ADJUSTED INCOME</w:t>
      </w:r>
      <w:bookmarkEnd w:id="1590"/>
      <w:bookmarkEnd w:id="1591"/>
      <w:bookmarkEnd w:id="1592"/>
      <w:bookmarkEnd w:id="1593"/>
      <w:bookmarkEnd w:id="1594"/>
    </w:p>
    <w:p w14:paraId="49B3F38B" w14:textId="77777777" w:rsidR="00BC0DB5" w:rsidRDefault="00BC0DB5" w:rsidP="00BB64BD">
      <w:pPr>
        <w:pStyle w:val="Heading2"/>
      </w:pPr>
      <w:bookmarkStart w:id="1595" w:name="_Toc173222705"/>
      <w:bookmarkStart w:id="1596" w:name="_Toc200375676"/>
      <w:bookmarkStart w:id="1597" w:name="_Toc200376971"/>
      <w:r>
        <w:t>Overview</w:t>
      </w:r>
      <w:bookmarkEnd w:id="1595"/>
      <w:bookmarkEnd w:id="1596"/>
      <w:bookmarkEnd w:id="1597"/>
    </w:p>
    <w:p w14:paraId="1792F676" w14:textId="77777777" w:rsidR="00BC0DB5" w:rsidRDefault="00BC0DB5" w:rsidP="00BC0DB5">
      <w:r w:rsidRPr="00765546">
        <w:t>A family’s income determines eligibility for assistance and is also used to calculate the family’s rent payment.</w:t>
      </w:r>
      <w:r>
        <w:t xml:space="preserve"> HH</w:t>
      </w:r>
      <w:r w:rsidRPr="00765546">
        <w:t xml:space="preserve">A will use the policies and methods described in this chapter to ensure that only eligible families receive assistance and that no family pays more or less than its obligation under this policy. Once annual income has been established, </w:t>
      </w:r>
      <w:r>
        <w:t>H</w:t>
      </w:r>
      <w:r w:rsidRPr="00765546">
        <w:t>HA will subtract from annual income deductions for which a family qualifies in order to determine adjusted income</w:t>
      </w:r>
      <w:r>
        <w:t xml:space="preserve"> and </w:t>
      </w:r>
      <w:r w:rsidRPr="006B4F5D">
        <w:t>calculat</w:t>
      </w:r>
      <w:r>
        <w:t>e</w:t>
      </w:r>
      <w:r w:rsidRPr="006B4F5D">
        <w:t xml:space="preserve"> total tenant payment (TTP)</w:t>
      </w:r>
      <w:r>
        <w:t>. Then, HHA will consider the utility allowance, approved rent, payment standard, and all other relevant factors for deter</w:t>
      </w:r>
      <w:r w:rsidRPr="006B4F5D">
        <w:t xml:space="preserve">mining </w:t>
      </w:r>
      <w:r>
        <w:t>H</w:t>
      </w:r>
      <w:r w:rsidRPr="006B4F5D">
        <w:t>HA subsidy and required family payment.</w:t>
      </w:r>
    </w:p>
    <w:p w14:paraId="7C05D3F9" w14:textId="77777777" w:rsidR="00BC0DB5" w:rsidRDefault="00BC0DB5" w:rsidP="00BB64BD">
      <w:pPr>
        <w:pStyle w:val="Heading2"/>
      </w:pPr>
      <w:bookmarkStart w:id="1598" w:name="_Toc173222706"/>
      <w:bookmarkStart w:id="1599" w:name="_Toc200375677"/>
      <w:bookmarkStart w:id="1600" w:name="_Toc200376972"/>
      <w:r>
        <w:t>Annual Income</w:t>
      </w:r>
      <w:bookmarkEnd w:id="1598"/>
      <w:bookmarkEnd w:id="1599"/>
      <w:bookmarkEnd w:id="1600"/>
    </w:p>
    <w:p w14:paraId="06A1DFC3" w14:textId="383945E5" w:rsidR="00DF1F75" w:rsidRDefault="006E33FF" w:rsidP="00BC0DB5">
      <w:r>
        <w:t>A</w:t>
      </w:r>
      <w:r w:rsidR="00BC0DB5">
        <w:t>nnual income includes</w:t>
      </w:r>
      <w:r w:rsidR="00DF1F75">
        <w:t>:</w:t>
      </w:r>
    </w:p>
    <w:p w14:paraId="0B11E953" w14:textId="77777777" w:rsidR="00166B8A" w:rsidRDefault="00DF1F75" w:rsidP="007F177E">
      <w:pPr>
        <w:pStyle w:val="ListParagraph"/>
        <w:numPr>
          <w:ilvl w:val="0"/>
          <w:numId w:val="150"/>
        </w:numPr>
        <w:contextualSpacing w:val="0"/>
      </w:pPr>
      <w:r>
        <w:t>A</w:t>
      </w:r>
      <w:r w:rsidR="00BC0DB5">
        <w:t xml:space="preserve">ll amounts, not specifically excluded (as listed in </w:t>
      </w:r>
      <w:hyperlink w:anchor="_Annual_Income_Exclusions" w:history="1">
        <w:r w:rsidR="00AE4F3B" w:rsidRPr="00DF1F75">
          <w:rPr>
            <w:rStyle w:val="Hyperlink"/>
            <w:b w:val="0"/>
            <w:bCs/>
            <w:color w:val="0070C0"/>
          </w:rPr>
          <w:fldChar w:fldCharType="begin"/>
        </w:r>
        <w:r w:rsidR="00AE4F3B" w:rsidRPr="00DF1F75">
          <w:rPr>
            <w:b/>
            <w:bCs/>
            <w:color w:val="0070C0"/>
          </w:rPr>
          <w:instrText xml:space="preserve"> REF _Ref148682977 \h </w:instrText>
        </w:r>
        <w:r w:rsidR="00AE4F3B" w:rsidRPr="00DF1F75">
          <w:rPr>
            <w:rStyle w:val="Hyperlink"/>
            <w:b w:val="0"/>
            <w:bCs/>
            <w:color w:val="0070C0"/>
          </w:rPr>
          <w:instrText xml:space="preserve"> \* MERGEFORMAT </w:instrText>
        </w:r>
        <w:r w:rsidR="00AE4F3B" w:rsidRPr="00DF1F75">
          <w:rPr>
            <w:rStyle w:val="Hyperlink"/>
            <w:b w:val="0"/>
            <w:bCs/>
            <w:color w:val="0070C0"/>
          </w:rPr>
        </w:r>
        <w:r w:rsidR="00AE4F3B" w:rsidRPr="00DF1F75">
          <w:rPr>
            <w:rStyle w:val="Hyperlink"/>
            <w:b w:val="0"/>
            <w:bCs/>
            <w:color w:val="0070C0"/>
          </w:rPr>
          <w:fldChar w:fldCharType="separate"/>
        </w:r>
        <w:r w:rsidR="00AE4F3B" w:rsidRPr="00DF1F75">
          <w:rPr>
            <w:b/>
            <w:bCs/>
            <w:color w:val="0070C0"/>
          </w:rPr>
          <w:t>Annual Income Exclusions</w:t>
        </w:r>
        <w:r w:rsidR="00AE4F3B" w:rsidRPr="00DF1F75">
          <w:rPr>
            <w:rStyle w:val="Hyperlink"/>
            <w:b w:val="0"/>
            <w:bCs/>
            <w:color w:val="0070C0"/>
          </w:rPr>
          <w:fldChar w:fldCharType="end"/>
        </w:r>
      </w:hyperlink>
      <w:r w:rsidR="00BC0DB5">
        <w:t xml:space="preserve"> and, as applicable, </w:t>
      </w:r>
      <w:hyperlink w:anchor="_Excluded_Income_–" w:history="1">
        <w:r w:rsidR="00AE4F3B" w:rsidRPr="00DF1F75">
          <w:rPr>
            <w:rStyle w:val="Hyperlink"/>
            <w:b w:val="0"/>
            <w:bCs/>
            <w:color w:val="0070C0"/>
          </w:rPr>
          <w:fldChar w:fldCharType="begin"/>
        </w:r>
        <w:r w:rsidR="00AE4F3B" w:rsidRPr="00DF1F75">
          <w:rPr>
            <w:b/>
            <w:bCs/>
            <w:color w:val="0070C0"/>
          </w:rPr>
          <w:instrText xml:space="preserve"> REF _Ref148682998 \h </w:instrText>
        </w:r>
        <w:r w:rsidR="00AE4F3B" w:rsidRPr="00DF1F75">
          <w:rPr>
            <w:rStyle w:val="Hyperlink"/>
            <w:b w:val="0"/>
            <w:bCs/>
            <w:color w:val="0070C0"/>
          </w:rPr>
          <w:instrText xml:space="preserve"> \* MERGEFORMAT </w:instrText>
        </w:r>
        <w:r w:rsidR="00AE4F3B" w:rsidRPr="00DF1F75">
          <w:rPr>
            <w:rStyle w:val="Hyperlink"/>
            <w:b w:val="0"/>
            <w:bCs/>
            <w:color w:val="0070C0"/>
          </w:rPr>
        </w:r>
        <w:r w:rsidR="00AE4F3B" w:rsidRPr="00DF1F75">
          <w:rPr>
            <w:rStyle w:val="Hyperlink"/>
            <w:b w:val="0"/>
            <w:bCs/>
            <w:color w:val="0070C0"/>
          </w:rPr>
          <w:fldChar w:fldCharType="separate"/>
        </w:r>
        <w:r w:rsidR="00AE4F3B" w:rsidRPr="00DF1F75">
          <w:rPr>
            <w:b/>
            <w:bCs/>
            <w:color w:val="0070C0"/>
          </w:rPr>
          <w:t>Excluded Income – MTW Policy</w:t>
        </w:r>
        <w:r w:rsidR="00AE4F3B" w:rsidRPr="00DF1F75">
          <w:rPr>
            <w:rStyle w:val="Hyperlink"/>
            <w:b w:val="0"/>
            <w:bCs/>
            <w:color w:val="0070C0"/>
          </w:rPr>
          <w:fldChar w:fldCharType="end"/>
        </w:r>
      </w:hyperlink>
      <w:r w:rsidR="00BC0DB5">
        <w:t>)</w:t>
      </w:r>
      <w:r w:rsidR="00166B8A">
        <w:t>;</w:t>
      </w:r>
    </w:p>
    <w:p w14:paraId="4930D272" w14:textId="77777777" w:rsidR="00166B8A" w:rsidRDefault="00166B8A" w:rsidP="007F177E">
      <w:pPr>
        <w:pStyle w:val="ListParagraph"/>
        <w:numPr>
          <w:ilvl w:val="0"/>
          <w:numId w:val="150"/>
        </w:numPr>
        <w:contextualSpacing w:val="0"/>
      </w:pPr>
      <w:r>
        <w:t xml:space="preserve">All amounts </w:t>
      </w:r>
      <w:r w:rsidR="00BC0DB5">
        <w:t>received from all sources by each member of the family who is 18 years of age or older or is the head of household</w:t>
      </w:r>
      <w:r w:rsidR="00982AC9">
        <w:t>, co-head</w:t>
      </w:r>
      <w:r w:rsidR="00BC0DB5">
        <w:t xml:space="preserve"> or spouse of the head of household</w:t>
      </w:r>
      <w:r>
        <w:t>;</w:t>
      </w:r>
    </w:p>
    <w:p w14:paraId="71062937" w14:textId="77777777" w:rsidR="00BC0DB5" w:rsidRDefault="00166B8A" w:rsidP="007F177E">
      <w:pPr>
        <w:pStyle w:val="ListParagraph"/>
        <w:numPr>
          <w:ilvl w:val="0"/>
          <w:numId w:val="150"/>
        </w:numPr>
        <w:contextualSpacing w:val="0"/>
      </w:pPr>
      <w:r>
        <w:t>U</w:t>
      </w:r>
      <w:r w:rsidR="00BC0DB5">
        <w:t>nearned income by or on behalf of each dependent who is under 18 years of age</w:t>
      </w:r>
      <w:r>
        <w:t>; and</w:t>
      </w:r>
    </w:p>
    <w:p w14:paraId="14681FF7" w14:textId="0D959C4F" w:rsidR="00BC0DB5" w:rsidRDefault="001E0C22" w:rsidP="007F177E">
      <w:pPr>
        <w:pStyle w:val="ListParagraph"/>
        <w:numPr>
          <w:ilvl w:val="0"/>
          <w:numId w:val="150"/>
        </w:numPr>
        <w:contextualSpacing w:val="0"/>
      </w:pPr>
      <w:r>
        <w:t xml:space="preserve">Upon implementation of HOTMA, </w:t>
      </w:r>
      <w:r w:rsidR="006E33FF">
        <w:t>i</w:t>
      </w:r>
      <w:r w:rsidR="00166B8A">
        <w:t>mputed returns of an asset</w:t>
      </w:r>
      <w:r w:rsidR="009039CC">
        <w:t xml:space="preserve"> based on the current passbook savings rate, as determined by HUD, when the value of net family assets exceeds $50,00</w:t>
      </w:r>
      <w:r w:rsidR="003D3511">
        <w:t>0</w:t>
      </w:r>
      <w:r w:rsidR="00BC0DB5">
        <w:t xml:space="preserve"> (or the amount </w:t>
      </w:r>
      <w:r w:rsidR="003D3511">
        <w:t xml:space="preserve">annually </w:t>
      </w:r>
      <w:r w:rsidR="00BC0DB5">
        <w:t>adjusted by HUD) and the actual returns from a given asset cannot be calculated</w:t>
      </w:r>
      <w:r w:rsidR="00A524C3">
        <w:t xml:space="preserve"> (s</w:t>
      </w:r>
      <w:r w:rsidR="00BC0DB5">
        <w:t xml:space="preserve">ee </w:t>
      </w:r>
      <w:hyperlink w:anchor="_Asset_Income" w:history="1">
        <w:r w:rsidR="00F85677" w:rsidRPr="003D3511">
          <w:rPr>
            <w:rStyle w:val="Hyperlink"/>
            <w:b w:val="0"/>
            <w:bCs/>
            <w:color w:val="0070C0"/>
          </w:rPr>
          <w:fldChar w:fldCharType="begin"/>
        </w:r>
        <w:r w:rsidR="00F85677" w:rsidRPr="003D3511">
          <w:rPr>
            <w:b/>
            <w:bCs/>
            <w:color w:val="0070C0"/>
          </w:rPr>
          <w:instrText xml:space="preserve"> REF _Ref148683087 \h </w:instrText>
        </w:r>
        <w:r w:rsidR="00F85677" w:rsidRPr="003D3511">
          <w:rPr>
            <w:rStyle w:val="Hyperlink"/>
            <w:b w:val="0"/>
            <w:bCs/>
            <w:color w:val="0070C0"/>
          </w:rPr>
          <w:instrText xml:space="preserve"> \* MERGEFORMAT </w:instrText>
        </w:r>
        <w:r w:rsidR="00F85677" w:rsidRPr="003D3511">
          <w:rPr>
            <w:rStyle w:val="Hyperlink"/>
            <w:b w:val="0"/>
            <w:bCs/>
            <w:color w:val="0070C0"/>
          </w:rPr>
        </w:r>
        <w:r w:rsidR="00F85677" w:rsidRPr="003D3511">
          <w:rPr>
            <w:rStyle w:val="Hyperlink"/>
            <w:b w:val="0"/>
            <w:bCs/>
            <w:color w:val="0070C0"/>
          </w:rPr>
          <w:fldChar w:fldCharType="separate"/>
        </w:r>
        <w:r w:rsidR="00F85677" w:rsidRPr="003D3511">
          <w:rPr>
            <w:b/>
            <w:bCs/>
            <w:color w:val="0070C0"/>
          </w:rPr>
          <w:t>Asset Income</w:t>
        </w:r>
        <w:r w:rsidR="00F85677" w:rsidRPr="003D3511">
          <w:rPr>
            <w:rStyle w:val="Hyperlink"/>
            <w:b w:val="0"/>
            <w:bCs/>
            <w:color w:val="0070C0"/>
          </w:rPr>
          <w:fldChar w:fldCharType="end"/>
        </w:r>
      </w:hyperlink>
      <w:r w:rsidR="00A524C3">
        <w:t>).</w:t>
      </w:r>
    </w:p>
    <w:p w14:paraId="799EF94E" w14:textId="77777777" w:rsidR="00011743" w:rsidRPr="009534C3" w:rsidRDefault="00011743" w:rsidP="00011743">
      <w:r>
        <w:t>Generally, all income is included unless it is specifically excluded by regulation</w:t>
      </w:r>
      <w:r w:rsidR="009534C3">
        <w:t xml:space="preserve">. However, while annual income includes </w:t>
      </w:r>
      <w:r w:rsidR="009534C3">
        <w:rPr>
          <w:i/>
          <w:iCs/>
        </w:rPr>
        <w:t>all amounts received</w:t>
      </w:r>
      <w:r w:rsidR="009534C3" w:rsidRPr="009534C3">
        <w:t xml:space="preserve">, </w:t>
      </w:r>
      <w:r w:rsidR="00104C69">
        <w:t xml:space="preserve">that does </w:t>
      </w:r>
      <w:r w:rsidR="009534C3">
        <w:t xml:space="preserve">not </w:t>
      </w:r>
      <w:r w:rsidR="00104C69">
        <w:t xml:space="preserve">include </w:t>
      </w:r>
      <w:r w:rsidR="009534C3">
        <w:t>the amount</w:t>
      </w:r>
      <w:r w:rsidR="00104C69">
        <w:t xml:space="preserve"> a family may be legally entitled to</w:t>
      </w:r>
      <w:r w:rsidR="00626C00">
        <w:t>, but did not receive (such as</w:t>
      </w:r>
      <w:r w:rsidR="00884E6A">
        <w:t xml:space="preserve"> the amount</w:t>
      </w:r>
      <w:r w:rsidR="00626C00">
        <w:t xml:space="preserve"> court-ordered child support that is not received by the family).</w:t>
      </w:r>
      <w:r w:rsidR="00884E6A">
        <w:t xml:space="preserve"> Annual income also includes all actual anticipated income from assets (provided th</w:t>
      </w:r>
      <w:r w:rsidR="00930D25">
        <w:t>e</w:t>
      </w:r>
      <w:r w:rsidR="00884E6A">
        <w:t xml:space="preserve"> income is not otherwise excluded) even if the asset itself is excluded from the</w:t>
      </w:r>
      <w:r w:rsidR="00930D25">
        <w:t xml:space="preserve"> net family assets.</w:t>
      </w:r>
      <w:r w:rsidR="004558EE">
        <w:t xml:space="preserve"> Further, annual income includes income from</w:t>
      </w:r>
      <w:r w:rsidR="00D242CB">
        <w:t xml:space="preserve"> all family members, even if the family member is temporarily absent from the unit</w:t>
      </w:r>
      <w:r w:rsidR="00C22B48">
        <w:t xml:space="preserve"> (see </w:t>
      </w:r>
      <w:r w:rsidR="00C22B48" w:rsidRPr="00C22B48">
        <w:rPr>
          <w:b/>
          <w:bCs/>
          <w:color w:val="0070C0"/>
        </w:rPr>
        <w:fldChar w:fldCharType="begin"/>
      </w:r>
      <w:r w:rsidR="00C22B48" w:rsidRPr="00C22B48">
        <w:rPr>
          <w:b/>
          <w:bCs/>
          <w:color w:val="0070C0"/>
        </w:rPr>
        <w:instrText xml:space="preserve"> REF _Ref155164633 \h  \* MERGEFORMAT </w:instrText>
      </w:r>
      <w:r w:rsidR="00C22B48" w:rsidRPr="00C22B48">
        <w:rPr>
          <w:b/>
          <w:bCs/>
          <w:color w:val="0070C0"/>
        </w:rPr>
      </w:r>
      <w:r w:rsidR="00C22B48" w:rsidRPr="00C22B48">
        <w:rPr>
          <w:b/>
          <w:bCs/>
          <w:color w:val="0070C0"/>
        </w:rPr>
        <w:fldChar w:fldCharType="separate"/>
      </w:r>
      <w:r w:rsidR="00C22B48" w:rsidRPr="00C22B48">
        <w:rPr>
          <w:b/>
          <w:bCs/>
          <w:color w:val="0070C0"/>
        </w:rPr>
        <w:t>Income of Temporarily Absent Family Members</w:t>
      </w:r>
      <w:r w:rsidR="00C22B48" w:rsidRPr="00C22B48">
        <w:rPr>
          <w:b/>
          <w:bCs/>
          <w:color w:val="0070C0"/>
        </w:rPr>
        <w:fldChar w:fldCharType="end"/>
      </w:r>
      <w:r w:rsidR="00C22B48">
        <w:t>)</w:t>
      </w:r>
      <w:r w:rsidR="00D242CB">
        <w:t>.</w:t>
      </w:r>
    </w:p>
    <w:p w14:paraId="62CF167A" w14:textId="77777777" w:rsidR="00BC0DB5" w:rsidRDefault="00BC0DB5" w:rsidP="00BB64BD">
      <w:pPr>
        <w:pStyle w:val="Heading2"/>
      </w:pPr>
      <w:bookmarkStart w:id="1601" w:name="_Annual_Income_Exclusions"/>
      <w:bookmarkStart w:id="1602" w:name="_Ref148682977"/>
      <w:bookmarkStart w:id="1603" w:name="_Toc173222707"/>
      <w:bookmarkStart w:id="1604" w:name="_Toc200375678"/>
      <w:bookmarkStart w:id="1605" w:name="_Toc200376973"/>
      <w:bookmarkEnd w:id="1601"/>
      <w:r>
        <w:t>Annual Income Exclusions</w:t>
      </w:r>
      <w:bookmarkEnd w:id="1602"/>
      <w:bookmarkEnd w:id="1603"/>
      <w:bookmarkEnd w:id="1604"/>
      <w:bookmarkEnd w:id="1605"/>
    </w:p>
    <w:p w14:paraId="3D9E2AF3" w14:textId="77777777" w:rsidR="0095683B" w:rsidRDefault="0095683B" w:rsidP="0095683B">
      <w:r>
        <w:t xml:space="preserve">Income received by all family members must be </w:t>
      </w:r>
      <w:r w:rsidR="00B96A1E">
        <w:t>included</w:t>
      </w:r>
      <w:r>
        <w:t xml:space="preserve"> unless specifically excluded by the regulations or </w:t>
      </w:r>
      <w:r w:rsidR="0082021F">
        <w:t>an approved MTW waiver</w:t>
      </w:r>
      <w:r>
        <w:t>. The head of household is responsible to report changes in family composition</w:t>
      </w:r>
      <w:r w:rsidRPr="008C5B07">
        <w:t xml:space="preserve"> </w:t>
      </w:r>
      <w:r>
        <w:t xml:space="preserve">in accordance with HUD regulations and HHA policies. </w:t>
      </w:r>
      <w:r w:rsidR="00B96A1E">
        <w:t>Some requirements concerning excluded income depend</w:t>
      </w:r>
      <w:r w:rsidR="0042014A">
        <w:t xml:space="preserve"> on the household member. </w:t>
      </w:r>
      <w:r>
        <w:t xml:space="preserve">The chart below summarizes how </w:t>
      </w:r>
      <w:r w:rsidR="0042014A">
        <w:t xml:space="preserve">household </w:t>
      </w:r>
      <w:r>
        <w:t xml:space="preserve">composition affects income determinations. </w:t>
      </w:r>
    </w:p>
    <w:tbl>
      <w:tblPr>
        <w:tblStyle w:val="TableGrid"/>
        <w:tblW w:w="0" w:type="auto"/>
        <w:tblLook w:val="04A0" w:firstRow="1" w:lastRow="0" w:firstColumn="1" w:lastColumn="0" w:noHBand="0" w:noVBand="1"/>
      </w:tblPr>
      <w:tblGrid>
        <w:gridCol w:w="4675"/>
        <w:gridCol w:w="4675"/>
      </w:tblGrid>
      <w:tr w:rsidR="0042014A" w14:paraId="5C1C01AC" w14:textId="77777777" w:rsidTr="00241CAD">
        <w:trPr>
          <w:tblHeader/>
        </w:trPr>
        <w:tc>
          <w:tcPr>
            <w:tcW w:w="4675" w:type="dxa"/>
          </w:tcPr>
          <w:p w14:paraId="77E283F1" w14:textId="77777777" w:rsidR="0042014A" w:rsidRPr="0042014A" w:rsidRDefault="0042014A" w:rsidP="0042014A">
            <w:pPr>
              <w:spacing w:before="60" w:after="60"/>
              <w:jc w:val="center"/>
              <w:rPr>
                <w:b/>
                <w:bCs/>
                <w:w w:val="105"/>
              </w:rPr>
            </w:pPr>
            <w:r w:rsidRPr="0042014A">
              <w:rPr>
                <w:b/>
                <w:bCs/>
                <w:w w:val="105"/>
              </w:rPr>
              <w:t>Household Member Type</w:t>
            </w:r>
          </w:p>
        </w:tc>
        <w:tc>
          <w:tcPr>
            <w:tcW w:w="4675" w:type="dxa"/>
          </w:tcPr>
          <w:p w14:paraId="47ECA252" w14:textId="77777777" w:rsidR="0042014A" w:rsidRPr="0042014A" w:rsidRDefault="0042014A" w:rsidP="0042014A">
            <w:pPr>
              <w:spacing w:before="60" w:after="60"/>
              <w:jc w:val="center"/>
              <w:rPr>
                <w:b/>
                <w:bCs/>
                <w:w w:val="105"/>
              </w:rPr>
            </w:pPr>
            <w:r w:rsidRPr="0042014A">
              <w:rPr>
                <w:b/>
                <w:bCs/>
                <w:w w:val="105"/>
              </w:rPr>
              <w:t>Income Excluded</w:t>
            </w:r>
          </w:p>
        </w:tc>
      </w:tr>
      <w:tr w:rsidR="002D1C8C" w14:paraId="4AAAE2B2" w14:textId="77777777" w:rsidTr="002D1C8C">
        <w:tc>
          <w:tcPr>
            <w:tcW w:w="4675" w:type="dxa"/>
          </w:tcPr>
          <w:p w14:paraId="3979142D" w14:textId="77777777" w:rsidR="002D1C8C" w:rsidRDefault="00F21E91" w:rsidP="005C4AD7">
            <w:pPr>
              <w:spacing w:before="60" w:after="60"/>
              <w:jc w:val="left"/>
              <w:rPr>
                <w:w w:val="105"/>
              </w:rPr>
            </w:pPr>
            <w:r>
              <w:rPr>
                <w:w w:val="105"/>
              </w:rPr>
              <w:t>Head, spouse, co-head and adult family members</w:t>
            </w:r>
          </w:p>
        </w:tc>
        <w:tc>
          <w:tcPr>
            <w:tcW w:w="4675" w:type="dxa"/>
          </w:tcPr>
          <w:p w14:paraId="7507E360" w14:textId="77777777" w:rsidR="002D1C8C" w:rsidRDefault="00433A54" w:rsidP="005C4AD7">
            <w:pPr>
              <w:spacing w:before="60" w:after="60"/>
              <w:jc w:val="left"/>
              <w:rPr>
                <w:w w:val="105"/>
              </w:rPr>
            </w:pPr>
            <w:r>
              <w:t>All sources of income specifically excluded by the regulations</w:t>
            </w:r>
          </w:p>
        </w:tc>
      </w:tr>
      <w:tr w:rsidR="002D1C8C" w14:paraId="4C33F917" w14:textId="77777777" w:rsidTr="002D1C8C">
        <w:tc>
          <w:tcPr>
            <w:tcW w:w="4675" w:type="dxa"/>
          </w:tcPr>
          <w:p w14:paraId="18C79438" w14:textId="77777777" w:rsidR="002D1C8C" w:rsidRDefault="00433A54" w:rsidP="005C4AD7">
            <w:pPr>
              <w:spacing w:before="60" w:after="60"/>
              <w:jc w:val="left"/>
              <w:rPr>
                <w:w w:val="105"/>
              </w:rPr>
            </w:pPr>
            <w:r>
              <w:rPr>
                <w:w w:val="105"/>
              </w:rPr>
              <w:t>Minor family members</w:t>
            </w:r>
          </w:p>
        </w:tc>
        <w:tc>
          <w:tcPr>
            <w:tcW w:w="4675" w:type="dxa"/>
          </w:tcPr>
          <w:p w14:paraId="3B8DDBBF" w14:textId="77777777" w:rsidR="002D1C8C" w:rsidRDefault="00433A54" w:rsidP="005C4AD7">
            <w:pPr>
              <w:spacing w:before="60" w:after="60"/>
              <w:jc w:val="left"/>
              <w:rPr>
                <w:w w:val="105"/>
              </w:rPr>
            </w:pPr>
            <w:r>
              <w:rPr>
                <w:w w:val="105"/>
              </w:rPr>
              <w:t>Earned income of children under the age of 18</w:t>
            </w:r>
          </w:p>
        </w:tc>
      </w:tr>
      <w:tr w:rsidR="002D1C8C" w14:paraId="5F356BC6" w14:textId="77777777" w:rsidTr="002D1C8C">
        <w:tc>
          <w:tcPr>
            <w:tcW w:w="4675" w:type="dxa"/>
          </w:tcPr>
          <w:p w14:paraId="00E7C4DF" w14:textId="77777777" w:rsidR="002D1C8C" w:rsidRDefault="005A7A2D" w:rsidP="005C4AD7">
            <w:pPr>
              <w:spacing w:before="60" w:after="60"/>
              <w:jc w:val="left"/>
              <w:rPr>
                <w:w w:val="105"/>
              </w:rPr>
            </w:pPr>
            <w:r>
              <w:rPr>
                <w:w w:val="105"/>
              </w:rPr>
              <w:t>Full-time students 18 years of age or older (who are not the head, co-head, or spouse)</w:t>
            </w:r>
          </w:p>
        </w:tc>
        <w:tc>
          <w:tcPr>
            <w:tcW w:w="4675" w:type="dxa"/>
          </w:tcPr>
          <w:p w14:paraId="5678467F" w14:textId="77777777" w:rsidR="002D1C8C" w:rsidRDefault="005A7A2D" w:rsidP="005C4AD7">
            <w:pPr>
              <w:spacing w:before="60" w:after="60"/>
              <w:jc w:val="left"/>
              <w:rPr>
                <w:w w:val="105"/>
              </w:rPr>
            </w:pPr>
            <w:r>
              <w:rPr>
                <w:w w:val="105"/>
              </w:rPr>
              <w:t>Earned income in excess of the dependent deduction</w:t>
            </w:r>
          </w:p>
        </w:tc>
      </w:tr>
      <w:tr w:rsidR="002D1C8C" w14:paraId="2B6E9FFB" w14:textId="77777777" w:rsidTr="002D1C8C">
        <w:tc>
          <w:tcPr>
            <w:tcW w:w="4675" w:type="dxa"/>
          </w:tcPr>
          <w:p w14:paraId="1F7476FB" w14:textId="77777777" w:rsidR="002D1C8C" w:rsidRDefault="005A7A2D" w:rsidP="005C4AD7">
            <w:pPr>
              <w:spacing w:before="60" w:after="60"/>
              <w:jc w:val="left"/>
              <w:rPr>
                <w:w w:val="105"/>
              </w:rPr>
            </w:pPr>
            <w:r>
              <w:rPr>
                <w:w w:val="105"/>
              </w:rPr>
              <w:t>Live-in aides</w:t>
            </w:r>
          </w:p>
        </w:tc>
        <w:tc>
          <w:tcPr>
            <w:tcW w:w="4675" w:type="dxa"/>
          </w:tcPr>
          <w:p w14:paraId="52052BD0" w14:textId="77777777" w:rsidR="002D1C8C" w:rsidRDefault="005A7A2D" w:rsidP="005C4AD7">
            <w:pPr>
              <w:spacing w:before="60" w:after="60"/>
              <w:jc w:val="left"/>
              <w:rPr>
                <w:w w:val="105"/>
              </w:rPr>
            </w:pPr>
            <w:r>
              <w:rPr>
                <w:w w:val="105"/>
              </w:rPr>
              <w:t>Income from all sources (earned and unearned)</w:t>
            </w:r>
          </w:p>
        </w:tc>
      </w:tr>
      <w:tr w:rsidR="002D1C8C" w14:paraId="32156DA6" w14:textId="77777777" w:rsidTr="002D1C8C">
        <w:tc>
          <w:tcPr>
            <w:tcW w:w="4675" w:type="dxa"/>
          </w:tcPr>
          <w:p w14:paraId="4DFC3CB8" w14:textId="77777777" w:rsidR="002D1C8C" w:rsidRDefault="005A7A2D" w:rsidP="005C4AD7">
            <w:pPr>
              <w:spacing w:before="60" w:after="60"/>
              <w:jc w:val="left"/>
              <w:rPr>
                <w:w w:val="105"/>
              </w:rPr>
            </w:pPr>
            <w:r>
              <w:rPr>
                <w:w w:val="105"/>
              </w:rPr>
              <w:t>Foster child</w:t>
            </w:r>
            <w:r w:rsidR="005C4AD7">
              <w:rPr>
                <w:w w:val="105"/>
              </w:rPr>
              <w:t>/foster adult</w:t>
            </w:r>
          </w:p>
        </w:tc>
        <w:tc>
          <w:tcPr>
            <w:tcW w:w="4675" w:type="dxa"/>
          </w:tcPr>
          <w:p w14:paraId="60B24532" w14:textId="77777777" w:rsidR="002D1C8C" w:rsidRDefault="005C4AD7" w:rsidP="005C4AD7">
            <w:pPr>
              <w:spacing w:before="60" w:after="60"/>
              <w:jc w:val="left"/>
              <w:rPr>
                <w:w w:val="105"/>
              </w:rPr>
            </w:pPr>
            <w:r>
              <w:rPr>
                <w:w w:val="105"/>
              </w:rPr>
              <w:t>Income from all sources (earned and unearned)</w:t>
            </w:r>
          </w:p>
        </w:tc>
      </w:tr>
    </w:tbl>
    <w:p w14:paraId="7B1C5503" w14:textId="77777777" w:rsidR="00D33C4E" w:rsidRDefault="00D33C4E" w:rsidP="00BC0DB5">
      <w:pPr>
        <w:rPr>
          <w:w w:val="105"/>
        </w:rPr>
      </w:pPr>
    </w:p>
    <w:p w14:paraId="08F660E2" w14:textId="537638E8" w:rsidR="00BC0DB5" w:rsidRPr="00851339" w:rsidRDefault="00D54084" w:rsidP="00BC0DB5">
      <w:r>
        <w:t>A</w:t>
      </w:r>
      <w:r w:rsidR="00BC0DB5" w:rsidRPr="00851339">
        <w:t>nnual income does not include the following:</w:t>
      </w:r>
    </w:p>
    <w:p w14:paraId="6EEF7D43" w14:textId="10239E2C" w:rsidR="00BC0DB5" w:rsidRPr="00851339" w:rsidRDefault="00CF7DD8" w:rsidP="00CB52D8">
      <w:pPr>
        <w:pStyle w:val="ListParagraph"/>
        <w:numPr>
          <w:ilvl w:val="0"/>
          <w:numId w:val="76"/>
        </w:numPr>
        <w:spacing w:after="120"/>
        <w:contextualSpacing w:val="0"/>
      </w:pPr>
      <w:r>
        <w:t xml:space="preserve">Certain income from assets. See </w:t>
      </w:r>
      <w:r w:rsidR="00747E81" w:rsidRPr="00747E81">
        <w:rPr>
          <w:b/>
          <w:bCs/>
        </w:rPr>
        <w:fldChar w:fldCharType="begin"/>
      </w:r>
      <w:r w:rsidR="00747E81" w:rsidRPr="00747E81">
        <w:rPr>
          <w:b/>
          <w:bCs/>
        </w:rPr>
        <w:instrText xml:space="preserve"> REF _Ref200025377 \h </w:instrText>
      </w:r>
      <w:r w:rsidR="00747E81">
        <w:rPr>
          <w:b/>
          <w:bCs/>
        </w:rPr>
        <w:instrText xml:space="preserve"> \* MERGEFORMAT </w:instrText>
      </w:r>
      <w:r w:rsidR="00747E81" w:rsidRPr="00747E81">
        <w:rPr>
          <w:b/>
          <w:bCs/>
        </w:rPr>
      </w:r>
      <w:r w:rsidR="00747E81" w:rsidRPr="00747E81">
        <w:rPr>
          <w:b/>
          <w:bCs/>
        </w:rPr>
        <w:fldChar w:fldCharType="separate"/>
      </w:r>
      <w:r w:rsidR="00747E81" w:rsidRPr="00747E81">
        <w:rPr>
          <w:b/>
          <w:bCs/>
          <w:color w:val="0070C0"/>
        </w:rPr>
        <w:t>Determining Income from Assets</w:t>
      </w:r>
      <w:r w:rsidR="00747E81" w:rsidRPr="00747E81">
        <w:rPr>
          <w:b/>
          <w:bCs/>
        </w:rPr>
        <w:fldChar w:fldCharType="end"/>
      </w:r>
      <w:r w:rsidR="00747E81">
        <w:t xml:space="preserve">. </w:t>
      </w:r>
    </w:p>
    <w:p w14:paraId="74A57842" w14:textId="77777777" w:rsidR="00BC0DB5" w:rsidRPr="00851339" w:rsidRDefault="00BC0DB5" w:rsidP="00CB52D8">
      <w:pPr>
        <w:pStyle w:val="ListParagraph"/>
        <w:numPr>
          <w:ilvl w:val="0"/>
          <w:numId w:val="76"/>
        </w:numPr>
        <w:spacing w:after="120"/>
        <w:contextualSpacing w:val="0"/>
      </w:pPr>
      <w:r w:rsidRPr="00851339">
        <w:t xml:space="preserve">The following types of </w:t>
      </w:r>
      <w:bookmarkStart w:id="1606" w:name="TrustDistributions"/>
      <w:r w:rsidRPr="00851339">
        <w:t>trust distributions</w:t>
      </w:r>
      <w:bookmarkEnd w:id="1606"/>
      <w:r w:rsidRPr="00851339">
        <w:t>:</w:t>
      </w:r>
    </w:p>
    <w:p w14:paraId="0B03852C" w14:textId="77777777" w:rsidR="00BC0DB5" w:rsidRPr="00851339" w:rsidRDefault="00BC0DB5" w:rsidP="007F177E">
      <w:pPr>
        <w:pStyle w:val="ListParagraph"/>
        <w:numPr>
          <w:ilvl w:val="1"/>
          <w:numId w:val="251"/>
        </w:numPr>
        <w:spacing w:after="120"/>
        <w:contextualSpacing w:val="0"/>
      </w:pPr>
      <w:r w:rsidRPr="00851339">
        <w:t>For an irrevocable trust or a revocable trust outside the control of the family or household excluded from the definition of net family assets under § 5.603(b):</w:t>
      </w:r>
    </w:p>
    <w:p w14:paraId="2118B2F1" w14:textId="77777777" w:rsidR="00BC0DB5" w:rsidRDefault="00BC0DB5" w:rsidP="00CB52D8">
      <w:pPr>
        <w:pStyle w:val="ListParagraph"/>
        <w:numPr>
          <w:ilvl w:val="0"/>
          <w:numId w:val="77"/>
        </w:numPr>
        <w:spacing w:after="120"/>
        <w:contextualSpacing w:val="0"/>
      </w:pPr>
      <w:r w:rsidRPr="00851339">
        <w:t>Distributions of the principal or corpus of the trust; and</w:t>
      </w:r>
    </w:p>
    <w:p w14:paraId="4B9585BE" w14:textId="77777777" w:rsidR="00BC0DB5" w:rsidRPr="00851339" w:rsidRDefault="00BC0DB5" w:rsidP="00CB52D8">
      <w:pPr>
        <w:pStyle w:val="ListParagraph"/>
        <w:numPr>
          <w:ilvl w:val="0"/>
          <w:numId w:val="77"/>
        </w:numPr>
        <w:spacing w:after="120"/>
        <w:contextualSpacing w:val="0"/>
      </w:pPr>
      <w:r w:rsidRPr="00851339">
        <w:t>Distributions of income from the trust when the distributions are used to pay the costs of health and medical care expenses for a minor.</w:t>
      </w:r>
    </w:p>
    <w:p w14:paraId="42389AB9" w14:textId="77777777" w:rsidR="00BC0DB5" w:rsidRPr="00851339" w:rsidRDefault="00BC0DB5" w:rsidP="007F177E">
      <w:pPr>
        <w:pStyle w:val="ListParagraph"/>
        <w:numPr>
          <w:ilvl w:val="0"/>
          <w:numId w:val="252"/>
        </w:numPr>
        <w:spacing w:after="120"/>
        <w:contextualSpacing w:val="0"/>
      </w:pPr>
      <w:r w:rsidRPr="00851339">
        <w:t>For a revocable trust under the control of the family or household, any distributions from the trust; except that any actual income earned by the trust, regardless of whether it is distributed, shall be considered income to the family at the time it is received by the trust.</w:t>
      </w:r>
    </w:p>
    <w:p w14:paraId="109476BD" w14:textId="77777777" w:rsidR="00BC0DB5" w:rsidRPr="00851339" w:rsidRDefault="00BC0DB5" w:rsidP="00CB52D8">
      <w:pPr>
        <w:pStyle w:val="ListParagraph"/>
        <w:numPr>
          <w:ilvl w:val="0"/>
          <w:numId w:val="76"/>
        </w:numPr>
        <w:spacing w:after="120"/>
        <w:contextualSpacing w:val="0"/>
      </w:pPr>
      <w:r w:rsidRPr="00851339">
        <w:t>Earned income of children (including foster children) under the age of 18 years;</w:t>
      </w:r>
    </w:p>
    <w:p w14:paraId="2A9BE7BC" w14:textId="77777777" w:rsidR="00BC0DB5" w:rsidRPr="00851339" w:rsidRDefault="00BC0DB5" w:rsidP="00CB52D8">
      <w:pPr>
        <w:pStyle w:val="ListParagraph"/>
        <w:numPr>
          <w:ilvl w:val="0"/>
          <w:numId w:val="76"/>
        </w:numPr>
        <w:spacing w:after="120"/>
        <w:contextualSpacing w:val="0"/>
      </w:pPr>
      <w:r w:rsidRPr="00851339">
        <w:t>Payments received for the care of foster children or foster adults, or State or Tribal kinship or guardianship care payments;</w:t>
      </w:r>
    </w:p>
    <w:p w14:paraId="3A15DE2E" w14:textId="77777777" w:rsidR="00BC0DB5" w:rsidRPr="00851339" w:rsidRDefault="00BC0DB5" w:rsidP="00CB52D8">
      <w:pPr>
        <w:pStyle w:val="ListParagraph"/>
        <w:numPr>
          <w:ilvl w:val="0"/>
          <w:numId w:val="76"/>
        </w:numPr>
        <w:spacing w:after="120"/>
        <w:contextualSpacing w:val="0"/>
      </w:pPr>
      <w:r w:rsidRPr="00851339">
        <w:t>Insurance payments and settlements for personal or property losses, including but not limited to payments through health insurance, motor vehicle insurance, and workers’ compensation.</w:t>
      </w:r>
      <w:r w:rsidR="001A2572">
        <w:t xml:space="preserve"> </w:t>
      </w:r>
    </w:p>
    <w:p w14:paraId="73F95E1A" w14:textId="77777777" w:rsidR="00BC0DB5" w:rsidRPr="00851339" w:rsidRDefault="00BC0DB5" w:rsidP="00CB52D8">
      <w:pPr>
        <w:pStyle w:val="ListParagraph"/>
        <w:numPr>
          <w:ilvl w:val="0"/>
          <w:numId w:val="76"/>
        </w:numPr>
        <w:spacing w:after="120"/>
        <w:contextualSpacing w:val="0"/>
      </w:pPr>
      <w:r w:rsidRPr="00851339">
        <w:t>Amounts received by the family that are specifically for, or in reimbursement of, the cost of medical expenses for any family member;</w:t>
      </w:r>
    </w:p>
    <w:p w14:paraId="409C1204" w14:textId="77777777" w:rsidR="00BC0DB5" w:rsidRPr="00851339" w:rsidRDefault="00BC0DB5" w:rsidP="00CB52D8">
      <w:pPr>
        <w:pStyle w:val="ListParagraph"/>
        <w:numPr>
          <w:ilvl w:val="0"/>
          <w:numId w:val="76"/>
        </w:numPr>
        <w:spacing w:after="120"/>
        <w:contextualSpacing w:val="0"/>
      </w:pPr>
      <w:r w:rsidRPr="00851339">
        <w:t>Any amounts recovered in any civil action or settlement based on a claim of malpractice, negligence, or other breach of duty owed to a family member arising out of law, that resulted in a member of the family becoming disabled;</w:t>
      </w:r>
    </w:p>
    <w:p w14:paraId="3E6C05FC" w14:textId="77777777" w:rsidR="00BC0DB5" w:rsidRPr="00851339" w:rsidRDefault="00BC0DB5" w:rsidP="00CB52D8">
      <w:pPr>
        <w:pStyle w:val="ListParagraph"/>
        <w:numPr>
          <w:ilvl w:val="0"/>
          <w:numId w:val="76"/>
        </w:numPr>
        <w:spacing w:after="120"/>
        <w:contextualSpacing w:val="0"/>
      </w:pPr>
      <w:r w:rsidRPr="00851339">
        <w:t xml:space="preserve">Income of a live-in aide, foster child, or foster adult as defined in §§ 5.403 and 5.603, respectively; </w:t>
      </w:r>
    </w:p>
    <w:p w14:paraId="512E68EA" w14:textId="77777777" w:rsidR="00BC0DB5" w:rsidRPr="00851339" w:rsidRDefault="00BC0DB5" w:rsidP="00CB52D8">
      <w:pPr>
        <w:pStyle w:val="ListParagraph"/>
        <w:numPr>
          <w:ilvl w:val="0"/>
          <w:numId w:val="76"/>
        </w:numPr>
        <w:spacing w:after="120"/>
        <w:contextualSpacing w:val="0"/>
      </w:pPr>
      <w:r w:rsidRPr="00851339">
        <w:t>Any assistance that section 479B of the Higher Education Act of 1965, as amended, requires to be excluded from a family’s income including Bureau of Indian Affairs/Education student assistance programs</w:t>
      </w:r>
      <w:r w:rsidR="00437A8D">
        <w:t xml:space="preserve"> (see also </w:t>
      </w:r>
      <w:r w:rsidR="00395AC9" w:rsidRPr="00395AC9">
        <w:rPr>
          <w:b/>
          <w:bCs/>
          <w:color w:val="0070C0"/>
        </w:rPr>
        <w:fldChar w:fldCharType="begin"/>
      </w:r>
      <w:r w:rsidR="00395AC9" w:rsidRPr="00395AC9">
        <w:rPr>
          <w:b/>
          <w:bCs/>
          <w:color w:val="0070C0"/>
        </w:rPr>
        <w:instrText xml:space="preserve"> REF _Ref155184856 \h  \* MERGEFORMAT </w:instrText>
      </w:r>
      <w:r w:rsidR="00395AC9" w:rsidRPr="00395AC9">
        <w:rPr>
          <w:b/>
          <w:bCs/>
          <w:color w:val="0070C0"/>
        </w:rPr>
      </w:r>
      <w:r w:rsidR="00395AC9" w:rsidRPr="00395AC9">
        <w:rPr>
          <w:b/>
          <w:bCs/>
          <w:color w:val="0070C0"/>
        </w:rPr>
        <w:fldChar w:fldCharType="separate"/>
      </w:r>
      <w:r w:rsidR="00395AC9" w:rsidRPr="00395AC9">
        <w:rPr>
          <w:b/>
          <w:bCs/>
          <w:color w:val="0070C0"/>
        </w:rPr>
        <w:t>Student Financial Assistance</w:t>
      </w:r>
      <w:r w:rsidR="00395AC9" w:rsidRPr="00395AC9">
        <w:rPr>
          <w:b/>
          <w:bCs/>
          <w:color w:val="0070C0"/>
        </w:rPr>
        <w:fldChar w:fldCharType="end"/>
      </w:r>
      <w:r w:rsidR="00395AC9">
        <w:t>)</w:t>
      </w:r>
      <w:r w:rsidRPr="00851339">
        <w:t xml:space="preserve">; </w:t>
      </w:r>
    </w:p>
    <w:p w14:paraId="7C7BC713" w14:textId="77777777" w:rsidR="00BC0DB5" w:rsidRPr="00851339" w:rsidRDefault="00BC0DB5" w:rsidP="007F177E">
      <w:pPr>
        <w:pStyle w:val="ListParagraph"/>
        <w:numPr>
          <w:ilvl w:val="0"/>
          <w:numId w:val="253"/>
        </w:numPr>
        <w:spacing w:after="120"/>
        <w:contextualSpacing w:val="0"/>
      </w:pPr>
      <w:r w:rsidRPr="00851339">
        <w:t>If the amount of this excluded assistance equals or exceeds the amount of actual covered costs described under item 10 below, none of the assistance described below is excluded as income.</w:t>
      </w:r>
    </w:p>
    <w:p w14:paraId="33911D96" w14:textId="77777777" w:rsidR="00BC0DB5" w:rsidRPr="00851339" w:rsidRDefault="00BC0DB5" w:rsidP="007F177E">
      <w:pPr>
        <w:pStyle w:val="ListParagraph"/>
        <w:numPr>
          <w:ilvl w:val="0"/>
          <w:numId w:val="253"/>
        </w:numPr>
        <w:spacing w:after="120"/>
        <w:contextualSpacing w:val="0"/>
      </w:pPr>
      <w:r w:rsidRPr="00851339">
        <w:t>If the amount of this excluded assistance is less than the amount of actual covered costs described under item 10 below, staff will exclude the lower of:</w:t>
      </w:r>
    </w:p>
    <w:p w14:paraId="6128DCBB" w14:textId="77777777" w:rsidR="00BC0DB5" w:rsidRPr="00851339" w:rsidRDefault="00BC0DB5" w:rsidP="00CB52D8">
      <w:pPr>
        <w:pStyle w:val="ListParagraph"/>
        <w:numPr>
          <w:ilvl w:val="0"/>
          <w:numId w:val="81"/>
        </w:numPr>
        <w:spacing w:after="120"/>
        <w:contextualSpacing w:val="0"/>
      </w:pPr>
      <w:r w:rsidRPr="00851339">
        <w:t>The total amount of student financial assistance received under item 10, or</w:t>
      </w:r>
    </w:p>
    <w:p w14:paraId="77A8D895" w14:textId="77777777" w:rsidR="00BC0DB5" w:rsidRPr="00851339" w:rsidRDefault="00BC0DB5" w:rsidP="00CB52D8">
      <w:pPr>
        <w:pStyle w:val="ListParagraph"/>
        <w:numPr>
          <w:ilvl w:val="0"/>
          <w:numId w:val="81"/>
        </w:numPr>
        <w:spacing w:after="120"/>
        <w:contextualSpacing w:val="0"/>
      </w:pPr>
      <w:r w:rsidRPr="00851339">
        <w:t>The amount by which the actual covered costs (as described below) exceed the assistance excluded under item 9.</w:t>
      </w:r>
    </w:p>
    <w:p w14:paraId="2389C67D" w14:textId="77777777" w:rsidR="00395AC9" w:rsidRPr="00851339" w:rsidRDefault="00BC0DB5" w:rsidP="00CB52D8">
      <w:pPr>
        <w:pStyle w:val="ListParagraph"/>
        <w:numPr>
          <w:ilvl w:val="0"/>
          <w:numId w:val="76"/>
        </w:numPr>
        <w:spacing w:after="120"/>
        <w:contextualSpacing w:val="0"/>
      </w:pPr>
      <w:r w:rsidRPr="00851339">
        <w:t>Student financial assistance for tuition, books, and supplies (including supplies and equipment to support students with learning disabilities or other disabilities), room and board, and other fees required and charged to a student by an institution of higher education (as defined under Section 102 of the Higher Education Act of 1965 (20 U.S.C. 1002) and, for a student who is not the head of household or spouse, the reasonable and actual costs of housing while attending the institution of higher education and not residing in an assisted unit, and expressly for a student who is not the head of household or spouse.</w:t>
      </w:r>
      <w:r w:rsidR="004D08CD">
        <w:t xml:space="preserve"> (S</w:t>
      </w:r>
      <w:r w:rsidR="00395AC9">
        <w:t xml:space="preserve">ee also </w:t>
      </w:r>
      <w:r w:rsidR="00395AC9" w:rsidRPr="00395AC9">
        <w:rPr>
          <w:b/>
          <w:bCs/>
          <w:color w:val="0070C0"/>
        </w:rPr>
        <w:fldChar w:fldCharType="begin"/>
      </w:r>
      <w:r w:rsidR="00395AC9" w:rsidRPr="00395AC9">
        <w:rPr>
          <w:b/>
          <w:bCs/>
          <w:color w:val="0070C0"/>
        </w:rPr>
        <w:instrText xml:space="preserve"> REF _Ref155184856 \h  \* MERGEFORMAT </w:instrText>
      </w:r>
      <w:r w:rsidR="00395AC9" w:rsidRPr="00395AC9">
        <w:rPr>
          <w:b/>
          <w:bCs/>
          <w:color w:val="0070C0"/>
        </w:rPr>
      </w:r>
      <w:r w:rsidR="00395AC9" w:rsidRPr="00395AC9">
        <w:rPr>
          <w:b/>
          <w:bCs/>
          <w:color w:val="0070C0"/>
        </w:rPr>
        <w:fldChar w:fldCharType="separate"/>
      </w:r>
      <w:r w:rsidR="00395AC9" w:rsidRPr="00395AC9">
        <w:rPr>
          <w:b/>
          <w:bCs/>
          <w:color w:val="0070C0"/>
        </w:rPr>
        <w:t>Student Financial Assistance</w:t>
      </w:r>
      <w:r w:rsidR="00395AC9" w:rsidRPr="00395AC9">
        <w:rPr>
          <w:b/>
          <w:bCs/>
          <w:color w:val="0070C0"/>
        </w:rPr>
        <w:fldChar w:fldCharType="end"/>
      </w:r>
      <w:r w:rsidR="004D08CD">
        <w:t>.)</w:t>
      </w:r>
    </w:p>
    <w:p w14:paraId="779074B6" w14:textId="77777777" w:rsidR="00BC0DB5" w:rsidRPr="00851339" w:rsidRDefault="00BC0DB5" w:rsidP="007F177E">
      <w:pPr>
        <w:pStyle w:val="ListParagraph"/>
        <w:numPr>
          <w:ilvl w:val="0"/>
          <w:numId w:val="254"/>
        </w:numPr>
        <w:spacing w:after="120"/>
        <w:contextualSpacing w:val="0"/>
      </w:pPr>
      <w:r w:rsidRPr="00851339">
        <w:rPr>
          <w:i/>
          <w:iCs/>
        </w:rPr>
        <w:t>Student financial assistance</w:t>
      </w:r>
      <w:r w:rsidRPr="00851339">
        <w:t xml:space="preserve"> means a grant or scholarship received from:</w:t>
      </w:r>
    </w:p>
    <w:p w14:paraId="7BDA5902" w14:textId="77777777" w:rsidR="00BC0DB5" w:rsidRPr="00851339" w:rsidRDefault="00BC0DB5" w:rsidP="00CB52D8">
      <w:pPr>
        <w:pStyle w:val="ListParagraph"/>
        <w:numPr>
          <w:ilvl w:val="0"/>
          <w:numId w:val="82"/>
        </w:numPr>
        <w:spacing w:after="120"/>
        <w:contextualSpacing w:val="0"/>
      </w:pPr>
      <w:r w:rsidRPr="00851339">
        <w:t xml:space="preserve">The federal government; </w:t>
      </w:r>
    </w:p>
    <w:p w14:paraId="02959B57" w14:textId="77777777" w:rsidR="00BC0DB5" w:rsidRPr="00851339" w:rsidRDefault="00BC0DB5" w:rsidP="00CB52D8">
      <w:pPr>
        <w:pStyle w:val="ListParagraph"/>
        <w:numPr>
          <w:ilvl w:val="0"/>
          <w:numId w:val="82"/>
        </w:numPr>
        <w:spacing w:after="120"/>
        <w:contextualSpacing w:val="0"/>
      </w:pPr>
      <w:r w:rsidRPr="00851339">
        <w:t xml:space="preserve">A state, tribal, or local government; </w:t>
      </w:r>
    </w:p>
    <w:p w14:paraId="40750497" w14:textId="77777777" w:rsidR="00BC0DB5" w:rsidRPr="00851339" w:rsidRDefault="00BC0DB5" w:rsidP="00CB52D8">
      <w:pPr>
        <w:pStyle w:val="ListParagraph"/>
        <w:numPr>
          <w:ilvl w:val="0"/>
          <w:numId w:val="82"/>
        </w:numPr>
        <w:spacing w:after="120"/>
        <w:contextualSpacing w:val="0"/>
      </w:pPr>
      <w:r w:rsidRPr="00851339">
        <w:t xml:space="preserve">A private foundation registered as a nonprofit; </w:t>
      </w:r>
    </w:p>
    <w:p w14:paraId="643DE03C" w14:textId="77777777" w:rsidR="00BC0DB5" w:rsidRPr="00851339" w:rsidRDefault="00BC0DB5" w:rsidP="00CB52D8">
      <w:pPr>
        <w:pStyle w:val="ListParagraph"/>
        <w:numPr>
          <w:ilvl w:val="0"/>
          <w:numId w:val="82"/>
        </w:numPr>
        <w:spacing w:after="120"/>
        <w:contextualSpacing w:val="0"/>
      </w:pPr>
      <w:r w:rsidRPr="00851339">
        <w:t xml:space="preserve">A business entity; or </w:t>
      </w:r>
    </w:p>
    <w:p w14:paraId="34D0444D" w14:textId="77777777" w:rsidR="00BC0DB5" w:rsidRPr="00851339" w:rsidRDefault="00BC0DB5" w:rsidP="00CB52D8">
      <w:pPr>
        <w:pStyle w:val="ListParagraph"/>
        <w:numPr>
          <w:ilvl w:val="0"/>
          <w:numId w:val="82"/>
        </w:numPr>
        <w:spacing w:after="120"/>
        <w:contextualSpacing w:val="0"/>
      </w:pPr>
      <w:r w:rsidRPr="00851339">
        <w:t>An institution of higher education.</w:t>
      </w:r>
    </w:p>
    <w:p w14:paraId="34D90408" w14:textId="77777777" w:rsidR="00BC0DB5" w:rsidRPr="00851339" w:rsidRDefault="00BC0DB5" w:rsidP="007F177E">
      <w:pPr>
        <w:pStyle w:val="ListParagraph"/>
        <w:numPr>
          <w:ilvl w:val="0"/>
          <w:numId w:val="254"/>
        </w:numPr>
        <w:spacing w:after="120"/>
        <w:contextualSpacing w:val="0"/>
      </w:pPr>
      <w:r w:rsidRPr="001A70E9">
        <w:rPr>
          <w:i/>
          <w:iCs/>
        </w:rPr>
        <w:t>Student financial</w:t>
      </w:r>
      <w:r w:rsidRPr="00851339">
        <w:t xml:space="preserve"> </w:t>
      </w:r>
      <w:r w:rsidRPr="00941265">
        <w:rPr>
          <w:i/>
          <w:iCs/>
        </w:rPr>
        <w:t>assistance</w:t>
      </w:r>
      <w:r w:rsidRPr="00851339">
        <w:t xml:space="preserve"> does not include:</w:t>
      </w:r>
    </w:p>
    <w:p w14:paraId="047C7A61" w14:textId="77777777" w:rsidR="00BC0DB5" w:rsidRPr="00851339" w:rsidRDefault="00BC0DB5" w:rsidP="00CB52D8">
      <w:pPr>
        <w:pStyle w:val="ListParagraph"/>
        <w:numPr>
          <w:ilvl w:val="0"/>
          <w:numId w:val="83"/>
        </w:numPr>
        <w:spacing w:after="120"/>
        <w:contextualSpacing w:val="0"/>
      </w:pPr>
      <w:r w:rsidRPr="00851339">
        <w:t xml:space="preserve">Any assistance that section 479B of the Higher Education Act of 1965, as amended, requires to be excluded from a family’s income (as noted above); </w:t>
      </w:r>
    </w:p>
    <w:p w14:paraId="366F9C0D" w14:textId="77777777" w:rsidR="00BC0DB5" w:rsidRPr="00851339" w:rsidRDefault="00BC0DB5" w:rsidP="00CB52D8">
      <w:pPr>
        <w:pStyle w:val="ListParagraph"/>
        <w:numPr>
          <w:ilvl w:val="0"/>
          <w:numId w:val="83"/>
        </w:numPr>
        <w:spacing w:after="120"/>
        <w:contextualSpacing w:val="0"/>
      </w:pPr>
      <w:r w:rsidRPr="00851339">
        <w:t xml:space="preserve">Financial support provided to the student in the form of a fee for services performed (e.g., a work study or teaching fellowship that is not excluded); </w:t>
      </w:r>
    </w:p>
    <w:p w14:paraId="72C27D21" w14:textId="77777777" w:rsidR="00BC0DB5" w:rsidRPr="00851339" w:rsidRDefault="00BC0DB5" w:rsidP="00CB52D8">
      <w:pPr>
        <w:pStyle w:val="ListParagraph"/>
        <w:numPr>
          <w:ilvl w:val="0"/>
          <w:numId w:val="83"/>
        </w:numPr>
        <w:spacing w:after="120"/>
        <w:contextualSpacing w:val="0"/>
      </w:pPr>
      <w:r w:rsidRPr="00851339">
        <w:t xml:space="preserve">Gifts, including gifts from family or friends; or </w:t>
      </w:r>
    </w:p>
    <w:p w14:paraId="2A475619" w14:textId="77777777" w:rsidR="00BC0DB5" w:rsidRPr="00851339" w:rsidRDefault="00BC0DB5" w:rsidP="00CB52D8">
      <w:pPr>
        <w:pStyle w:val="ListParagraph"/>
        <w:numPr>
          <w:ilvl w:val="0"/>
          <w:numId w:val="83"/>
        </w:numPr>
        <w:spacing w:after="120"/>
        <w:contextualSpacing w:val="0"/>
      </w:pPr>
      <w:r w:rsidRPr="00851339">
        <w:t>Any amount of the scholarship or grant that, either by itself or in combination with assistance excluded, exceeds the actual covered costs of the student. The actual covered costs of the student are the actual costs of tuition, books and supplies (including supplies and equipment to support students with learning disabilities or other disabilities), room and board, or other fees required and charged to a student by the education institution, and, for a student who is not the head of household or spouse, the reasonable and actual costs of housing while attending the institution of higher education and not residing in an assisted unit.</w:t>
      </w:r>
    </w:p>
    <w:p w14:paraId="0DBEC158" w14:textId="77777777" w:rsidR="00BC0DB5" w:rsidRPr="00AE4665" w:rsidRDefault="00BC0DB5" w:rsidP="007F177E">
      <w:pPr>
        <w:pStyle w:val="ListParagraph"/>
        <w:numPr>
          <w:ilvl w:val="0"/>
          <w:numId w:val="254"/>
        </w:numPr>
        <w:spacing w:after="120"/>
        <w:contextualSpacing w:val="0"/>
      </w:pPr>
      <w:r w:rsidRPr="00AE4665">
        <w:t>Student financial assistance must be:</w:t>
      </w:r>
    </w:p>
    <w:p w14:paraId="6A0C12A6" w14:textId="77777777" w:rsidR="00BC0DB5" w:rsidRPr="00851339" w:rsidRDefault="00BC0DB5" w:rsidP="00CB52D8">
      <w:pPr>
        <w:pStyle w:val="ListParagraph"/>
        <w:numPr>
          <w:ilvl w:val="0"/>
          <w:numId w:val="84"/>
        </w:numPr>
        <w:spacing w:after="120"/>
        <w:contextualSpacing w:val="0"/>
      </w:pPr>
      <w:r w:rsidRPr="00851339">
        <w:t xml:space="preserve">Expressly for tuition, books, room and board, or other fees required and charged to a student by the education institution; </w:t>
      </w:r>
    </w:p>
    <w:p w14:paraId="6C3467A8" w14:textId="77777777" w:rsidR="00BC0DB5" w:rsidRPr="00851339" w:rsidRDefault="00BC0DB5" w:rsidP="00CB52D8">
      <w:pPr>
        <w:pStyle w:val="ListParagraph"/>
        <w:numPr>
          <w:ilvl w:val="0"/>
          <w:numId w:val="84"/>
        </w:numPr>
        <w:spacing w:after="120"/>
        <w:contextualSpacing w:val="0"/>
      </w:pPr>
      <w:r w:rsidRPr="00851339">
        <w:t xml:space="preserve">Expressly to assist a student with the costs of higher education; or </w:t>
      </w:r>
    </w:p>
    <w:p w14:paraId="317993D0" w14:textId="77777777" w:rsidR="00BC0DB5" w:rsidRPr="00851339" w:rsidRDefault="00BC0DB5" w:rsidP="00CB52D8">
      <w:pPr>
        <w:pStyle w:val="ListParagraph"/>
        <w:numPr>
          <w:ilvl w:val="0"/>
          <w:numId w:val="84"/>
        </w:numPr>
        <w:spacing w:after="120"/>
        <w:contextualSpacing w:val="0"/>
      </w:pPr>
      <w:r w:rsidRPr="00851339">
        <w:t xml:space="preserve">Expressly to assist a student who is not the head of household or spouse with the reasonable and actual costs of housing while attending the education institution and not residing in an assisted unit. </w:t>
      </w:r>
    </w:p>
    <w:p w14:paraId="20286F1A" w14:textId="77777777" w:rsidR="00BC0DB5" w:rsidRPr="00851339" w:rsidRDefault="00BC0DB5" w:rsidP="007F177E">
      <w:pPr>
        <w:pStyle w:val="ListParagraph"/>
        <w:numPr>
          <w:ilvl w:val="0"/>
          <w:numId w:val="254"/>
        </w:numPr>
        <w:spacing w:after="120"/>
        <w:contextualSpacing w:val="0"/>
      </w:pPr>
      <w:r w:rsidRPr="00851339">
        <w:t xml:space="preserve">Student financial assistance may be paid directly to the student or to the educational institution on the student’s behalf. </w:t>
      </w:r>
    </w:p>
    <w:p w14:paraId="4A3AF86F" w14:textId="77777777" w:rsidR="00BC0DB5" w:rsidRPr="00851339" w:rsidRDefault="00BC0DB5" w:rsidP="007F177E">
      <w:pPr>
        <w:pStyle w:val="ListParagraph"/>
        <w:numPr>
          <w:ilvl w:val="0"/>
          <w:numId w:val="254"/>
        </w:numPr>
        <w:spacing w:after="120"/>
        <w:contextualSpacing w:val="0"/>
      </w:pPr>
      <w:r w:rsidRPr="00851339">
        <w:t>The student financial assistance exclusion applies to both part-time and full-time students.</w:t>
      </w:r>
    </w:p>
    <w:p w14:paraId="535998CF" w14:textId="77777777" w:rsidR="00BC0DB5" w:rsidRPr="00851339" w:rsidRDefault="00BC0DB5" w:rsidP="00CB52D8">
      <w:pPr>
        <w:pStyle w:val="ListParagraph"/>
        <w:numPr>
          <w:ilvl w:val="0"/>
          <w:numId w:val="76"/>
        </w:numPr>
        <w:spacing w:after="120"/>
        <w:contextualSpacing w:val="0"/>
      </w:pPr>
      <w:r w:rsidRPr="00851339">
        <w:t xml:space="preserve">Income and distributions from any Coverdell education savings account under section 530 of the Internal Revenue Code of 1986 or any qualified tuition program under section 529 of such Code; and income earned by government contributions to, and distributions from, </w:t>
      </w:r>
      <w:r w:rsidRPr="00851339">
        <w:rPr>
          <w:i/>
          <w:iCs/>
        </w:rPr>
        <w:t>baby bond</w:t>
      </w:r>
      <w:r w:rsidRPr="00851339">
        <w:t xml:space="preserve"> accounts created, authorized, or funded by Federal, State, or local government.</w:t>
      </w:r>
    </w:p>
    <w:p w14:paraId="2F4818EA" w14:textId="77777777" w:rsidR="00BC0DB5" w:rsidRPr="00851339" w:rsidRDefault="00BC0DB5" w:rsidP="00CB52D8">
      <w:pPr>
        <w:pStyle w:val="ListParagraph"/>
        <w:numPr>
          <w:ilvl w:val="0"/>
          <w:numId w:val="76"/>
        </w:numPr>
        <w:spacing w:after="120"/>
        <w:contextualSpacing w:val="0"/>
      </w:pPr>
      <w:r w:rsidRPr="00851339">
        <w:t>The special pay to a family member serving in the Armed Forces who is exposed to hostile fire</w:t>
      </w:r>
      <w:r w:rsidR="004D08CD">
        <w:t xml:space="preserve"> (see </w:t>
      </w:r>
      <w:r w:rsidR="004D08CD" w:rsidRPr="004D08CD">
        <w:rPr>
          <w:b/>
          <w:bCs/>
          <w:color w:val="0070C0"/>
        </w:rPr>
        <w:fldChar w:fldCharType="begin"/>
      </w:r>
      <w:r w:rsidR="004D08CD" w:rsidRPr="004D08CD">
        <w:rPr>
          <w:b/>
          <w:bCs/>
          <w:color w:val="0070C0"/>
        </w:rPr>
        <w:instrText xml:space="preserve"> REF _Ref155184928 \h  \* MERGEFORMAT </w:instrText>
      </w:r>
      <w:r w:rsidR="004D08CD" w:rsidRPr="004D08CD">
        <w:rPr>
          <w:b/>
          <w:bCs/>
          <w:color w:val="0070C0"/>
        </w:rPr>
      </w:r>
      <w:r w:rsidR="004D08CD" w:rsidRPr="004D08CD">
        <w:rPr>
          <w:b/>
          <w:bCs/>
          <w:color w:val="0070C0"/>
        </w:rPr>
        <w:fldChar w:fldCharType="separate"/>
      </w:r>
      <w:r w:rsidR="004D08CD" w:rsidRPr="004D08CD">
        <w:rPr>
          <w:b/>
          <w:bCs/>
          <w:color w:val="0070C0"/>
        </w:rPr>
        <w:t>Military Pay</w:t>
      </w:r>
      <w:r w:rsidR="004D08CD" w:rsidRPr="004D08CD">
        <w:rPr>
          <w:b/>
          <w:bCs/>
          <w:color w:val="0070C0"/>
        </w:rPr>
        <w:fldChar w:fldCharType="end"/>
      </w:r>
      <w:r w:rsidR="004D08CD">
        <w:t>)</w:t>
      </w:r>
      <w:r w:rsidRPr="00851339">
        <w:t>;</w:t>
      </w:r>
    </w:p>
    <w:p w14:paraId="7BF08911" w14:textId="77777777" w:rsidR="00BC0DB5" w:rsidRPr="00851339" w:rsidRDefault="00BC0DB5" w:rsidP="00CB52D8">
      <w:pPr>
        <w:pStyle w:val="ListParagraph"/>
        <w:numPr>
          <w:ilvl w:val="0"/>
          <w:numId w:val="76"/>
        </w:numPr>
        <w:spacing w:after="120"/>
        <w:contextualSpacing w:val="0"/>
      </w:pPr>
      <w:r w:rsidRPr="00851339">
        <w:t>Certain amounts received that are related to participation in the following programs:</w:t>
      </w:r>
    </w:p>
    <w:p w14:paraId="55C75CFE" w14:textId="77777777" w:rsidR="00BC0DB5" w:rsidRDefault="00BC0DB5" w:rsidP="007F177E">
      <w:pPr>
        <w:pStyle w:val="ListParagraph"/>
        <w:numPr>
          <w:ilvl w:val="0"/>
          <w:numId w:val="255"/>
        </w:numPr>
        <w:spacing w:after="120"/>
        <w:contextualSpacing w:val="0"/>
      </w:pPr>
      <w:r w:rsidRPr="00851339">
        <w:t>Amounts received under HUD</w:t>
      </w:r>
      <w:r w:rsidR="00662714">
        <w:t>-</w:t>
      </w:r>
      <w:r w:rsidRPr="00851339">
        <w:t>funded training programs (i.e., Step-up program: excludes stipends, wages, transportation payments, child care vouchers for the duration of the training);</w:t>
      </w:r>
    </w:p>
    <w:p w14:paraId="5C475403" w14:textId="77777777" w:rsidR="00BC0DB5" w:rsidRDefault="00BC0DB5" w:rsidP="007F177E">
      <w:pPr>
        <w:pStyle w:val="ListParagraph"/>
        <w:numPr>
          <w:ilvl w:val="0"/>
          <w:numId w:val="255"/>
        </w:numPr>
        <w:spacing w:after="120"/>
        <w:contextualSpacing w:val="0"/>
      </w:pPr>
      <w:r w:rsidRPr="00851339">
        <w:t>Amounts received by a person with disabilities that are disregarded for a limited time for purposes of Supplemental Security Income and benefits that are set aside for use under a Plan to Attain Self-Sufficiency (PASS);</w:t>
      </w:r>
    </w:p>
    <w:p w14:paraId="376EEBD4" w14:textId="77777777" w:rsidR="00BC0DB5" w:rsidRDefault="00BC0DB5" w:rsidP="007F177E">
      <w:pPr>
        <w:pStyle w:val="ListParagraph"/>
        <w:numPr>
          <w:ilvl w:val="0"/>
          <w:numId w:val="255"/>
        </w:numPr>
        <w:spacing w:after="120"/>
        <w:contextualSpacing w:val="0"/>
      </w:pPr>
      <w:r w:rsidRPr="00851339">
        <w:t>Amounts received by a client in other publicly assisted programs that are specifically for, or in reimbursement of, out-of-pocket expenses incurred (special equipment, clothing, transportation, child care, etc.) to allow participation in a specific program;</w:t>
      </w:r>
    </w:p>
    <w:p w14:paraId="3559FDB5" w14:textId="77777777" w:rsidR="00BC0DB5" w:rsidRDefault="00BC0DB5" w:rsidP="007F177E">
      <w:pPr>
        <w:pStyle w:val="ListParagraph"/>
        <w:numPr>
          <w:ilvl w:val="0"/>
          <w:numId w:val="255"/>
        </w:numPr>
        <w:spacing w:after="120"/>
        <w:contextualSpacing w:val="0"/>
      </w:pPr>
      <w:r w:rsidRPr="00851339">
        <w:t>Amounts received under a client services stipend (not to exceed $200/month). A client service stipend is a modest amount received by a resident for performing a service for HHA or the owner, on a part-time basis, that enhances the quality of life in the development. Such services may include but are not limited to, fire patrol, hall monitoring, lawn maintenance, and client initiatives coordination</w:t>
      </w:r>
      <w:r>
        <w:t>; or</w:t>
      </w:r>
    </w:p>
    <w:p w14:paraId="5866CC7D" w14:textId="77777777" w:rsidR="00BC0DB5" w:rsidRPr="00851339" w:rsidRDefault="00BC0DB5" w:rsidP="007F177E">
      <w:pPr>
        <w:pStyle w:val="ListParagraph"/>
        <w:numPr>
          <w:ilvl w:val="0"/>
          <w:numId w:val="255"/>
        </w:numPr>
        <w:spacing w:after="120"/>
        <w:contextualSpacing w:val="0"/>
      </w:pPr>
      <w:r w:rsidRPr="00851339">
        <w:t>Incremental earnings and/or benefits to any family member from participation in training programs funded by HUD or in qualifying Federal, State, Tribal, or local employment training programs (including training programs not affiliated with the local government), and training of family members as client management staff. Amounts excluded by this provision must be received under employment training programs with clearly defined goals and objectives, and are excluded only for the period during which the family member participates in the employment training program</w:t>
      </w:r>
      <w:r>
        <w:t>.</w:t>
      </w:r>
    </w:p>
    <w:p w14:paraId="7ABFB90A" w14:textId="77777777" w:rsidR="00BC0DB5" w:rsidRPr="00851339" w:rsidRDefault="00BC0DB5" w:rsidP="00CB52D8">
      <w:pPr>
        <w:pStyle w:val="ListParagraph"/>
        <w:numPr>
          <w:ilvl w:val="0"/>
          <w:numId w:val="76"/>
        </w:numPr>
        <w:spacing w:after="120"/>
        <w:contextualSpacing w:val="0"/>
      </w:pPr>
      <w:r w:rsidRPr="00851339">
        <w:t>Reparation payments paid by foreign governments pursuant to claims filed under the laws of that government by persons who were persecuted during the Nazi era;</w:t>
      </w:r>
    </w:p>
    <w:p w14:paraId="282AA879" w14:textId="77777777" w:rsidR="00BC0DB5" w:rsidRPr="00851339" w:rsidRDefault="00BC0DB5" w:rsidP="00CB52D8">
      <w:pPr>
        <w:pStyle w:val="ListParagraph"/>
        <w:numPr>
          <w:ilvl w:val="0"/>
          <w:numId w:val="76"/>
        </w:numPr>
        <w:spacing w:after="120"/>
        <w:contextualSpacing w:val="0"/>
      </w:pPr>
      <w:r w:rsidRPr="00851339">
        <w:t xml:space="preserve">Earned income of dependent full-time students in excess of the amount of the deduction for a dependent in § 5.611 and as referenced in the </w:t>
      </w:r>
      <w:hyperlink w:anchor="_Dependent_Deduction" w:history="1">
        <w:r w:rsidR="007F1444" w:rsidRPr="007F1444">
          <w:rPr>
            <w:b/>
            <w:bCs/>
            <w:color w:val="0070C0"/>
          </w:rPr>
          <w:fldChar w:fldCharType="begin"/>
        </w:r>
        <w:r w:rsidR="007F1444" w:rsidRPr="007F1444">
          <w:rPr>
            <w:b/>
            <w:bCs/>
            <w:color w:val="0070C0"/>
          </w:rPr>
          <w:instrText xml:space="preserve"> REF _Ref148683653 \h </w:instrText>
        </w:r>
        <w:r w:rsidR="007F1444">
          <w:rPr>
            <w:b/>
            <w:bCs/>
            <w:color w:val="0070C0"/>
          </w:rPr>
          <w:instrText xml:space="preserve"> \* MERGEFORMAT </w:instrText>
        </w:r>
        <w:r w:rsidR="007F1444" w:rsidRPr="007F1444">
          <w:rPr>
            <w:b/>
            <w:bCs/>
            <w:color w:val="0070C0"/>
          </w:rPr>
        </w:r>
        <w:r w:rsidR="007F1444" w:rsidRPr="007F1444">
          <w:rPr>
            <w:b/>
            <w:bCs/>
            <w:color w:val="0070C0"/>
          </w:rPr>
          <w:fldChar w:fldCharType="separate"/>
        </w:r>
        <w:r w:rsidR="007F1444" w:rsidRPr="007F1444">
          <w:rPr>
            <w:b/>
            <w:bCs/>
            <w:color w:val="0070C0"/>
          </w:rPr>
          <w:t>Dependent Deduction</w:t>
        </w:r>
        <w:r w:rsidR="007F1444" w:rsidRPr="007F1444">
          <w:rPr>
            <w:b/>
            <w:bCs/>
            <w:color w:val="0070C0"/>
          </w:rPr>
          <w:fldChar w:fldCharType="end"/>
        </w:r>
      </w:hyperlink>
      <w:r w:rsidRPr="007F1444">
        <w:rPr>
          <w:b/>
          <w:bCs/>
          <w:color w:val="0070C0"/>
        </w:rPr>
        <w:t xml:space="preserve"> </w:t>
      </w:r>
      <w:r w:rsidRPr="00851339">
        <w:t xml:space="preserve">section of this </w:t>
      </w:r>
      <w:r w:rsidR="008D5FAD">
        <w:t>ACOP</w:t>
      </w:r>
      <w:r w:rsidRPr="00851339">
        <w:t xml:space="preserve">. Additionally, see MTW policy on </w:t>
      </w:r>
      <w:r w:rsidR="001B0575" w:rsidRPr="001B0575">
        <w:rPr>
          <w:b/>
          <w:bCs/>
          <w:color w:val="0070C0"/>
        </w:rPr>
        <w:fldChar w:fldCharType="begin"/>
      </w:r>
      <w:r w:rsidR="001B0575" w:rsidRPr="001B0575">
        <w:rPr>
          <w:b/>
          <w:bCs/>
          <w:color w:val="0070C0"/>
        </w:rPr>
        <w:instrText xml:space="preserve"> REF _Ref148682998 \h  \* MERGEFORMAT </w:instrText>
      </w:r>
      <w:r w:rsidR="001B0575" w:rsidRPr="001B0575">
        <w:rPr>
          <w:b/>
          <w:bCs/>
          <w:color w:val="0070C0"/>
        </w:rPr>
      </w:r>
      <w:r w:rsidR="001B0575" w:rsidRPr="001B0575">
        <w:rPr>
          <w:b/>
          <w:bCs/>
          <w:color w:val="0070C0"/>
        </w:rPr>
        <w:fldChar w:fldCharType="separate"/>
      </w:r>
      <w:r w:rsidR="001B0575" w:rsidRPr="001B0575">
        <w:rPr>
          <w:b/>
          <w:bCs/>
          <w:color w:val="0070C0"/>
        </w:rPr>
        <w:t>Excluded Income – MTW Policy</w:t>
      </w:r>
      <w:r w:rsidR="001B0575" w:rsidRPr="001B0575">
        <w:rPr>
          <w:b/>
          <w:bCs/>
          <w:color w:val="0070C0"/>
        </w:rPr>
        <w:fldChar w:fldCharType="end"/>
      </w:r>
      <w:r w:rsidRPr="00851339">
        <w:t>;</w:t>
      </w:r>
    </w:p>
    <w:p w14:paraId="078DFCE8" w14:textId="77777777" w:rsidR="00BC0DB5" w:rsidRPr="00851339" w:rsidRDefault="00BC0DB5" w:rsidP="00CB52D8">
      <w:pPr>
        <w:pStyle w:val="ListParagraph"/>
        <w:numPr>
          <w:ilvl w:val="0"/>
          <w:numId w:val="76"/>
        </w:numPr>
        <w:spacing w:after="120"/>
        <w:contextualSpacing w:val="0"/>
      </w:pPr>
      <w:r w:rsidRPr="00851339">
        <w:t xml:space="preserve">Adoption assistance payments for a child in excess of the amount of the deduction for a dependent in § 5.611 and as referenced in the </w:t>
      </w:r>
      <w:hyperlink w:anchor="_Dependent_Deduction" w:history="1">
        <w:r w:rsidR="003863DE" w:rsidRPr="003863DE">
          <w:rPr>
            <w:b/>
            <w:bCs/>
            <w:color w:val="0070C0"/>
          </w:rPr>
          <w:fldChar w:fldCharType="begin"/>
        </w:r>
        <w:r w:rsidR="003863DE" w:rsidRPr="003863DE">
          <w:rPr>
            <w:b/>
            <w:bCs/>
            <w:color w:val="0070C0"/>
          </w:rPr>
          <w:instrText xml:space="preserve"> REF _Ref148683653 \h </w:instrText>
        </w:r>
        <w:r w:rsidR="003863DE">
          <w:rPr>
            <w:b/>
            <w:bCs/>
            <w:color w:val="0070C0"/>
          </w:rPr>
          <w:instrText xml:space="preserve"> \* MERGEFORMAT </w:instrText>
        </w:r>
        <w:r w:rsidR="003863DE" w:rsidRPr="003863DE">
          <w:rPr>
            <w:b/>
            <w:bCs/>
            <w:color w:val="0070C0"/>
          </w:rPr>
        </w:r>
        <w:r w:rsidR="003863DE" w:rsidRPr="003863DE">
          <w:rPr>
            <w:b/>
            <w:bCs/>
            <w:color w:val="0070C0"/>
          </w:rPr>
          <w:fldChar w:fldCharType="separate"/>
        </w:r>
        <w:r w:rsidR="003863DE" w:rsidRPr="003863DE">
          <w:rPr>
            <w:b/>
            <w:bCs/>
            <w:color w:val="0070C0"/>
          </w:rPr>
          <w:t>Dependent Deduction</w:t>
        </w:r>
        <w:r w:rsidR="003863DE" w:rsidRPr="003863DE">
          <w:rPr>
            <w:b/>
            <w:bCs/>
            <w:color w:val="0070C0"/>
          </w:rPr>
          <w:fldChar w:fldCharType="end"/>
        </w:r>
      </w:hyperlink>
      <w:r w:rsidRPr="00851339">
        <w:t xml:space="preserve"> section of this Plan. Additionally, see MTW policy on </w:t>
      </w:r>
      <w:r w:rsidR="001B0575" w:rsidRPr="001B0575">
        <w:rPr>
          <w:b/>
          <w:bCs/>
          <w:color w:val="0070C0"/>
        </w:rPr>
        <w:fldChar w:fldCharType="begin"/>
      </w:r>
      <w:r w:rsidR="001B0575" w:rsidRPr="001B0575">
        <w:rPr>
          <w:b/>
          <w:bCs/>
          <w:color w:val="0070C0"/>
        </w:rPr>
        <w:instrText xml:space="preserve"> REF _Ref148682998 \h  \* MERGEFORMAT </w:instrText>
      </w:r>
      <w:r w:rsidR="001B0575" w:rsidRPr="001B0575">
        <w:rPr>
          <w:b/>
          <w:bCs/>
          <w:color w:val="0070C0"/>
        </w:rPr>
      </w:r>
      <w:r w:rsidR="001B0575" w:rsidRPr="001B0575">
        <w:rPr>
          <w:b/>
          <w:bCs/>
          <w:color w:val="0070C0"/>
        </w:rPr>
        <w:fldChar w:fldCharType="separate"/>
      </w:r>
      <w:r w:rsidR="001B0575" w:rsidRPr="001B0575">
        <w:rPr>
          <w:b/>
          <w:bCs/>
          <w:color w:val="0070C0"/>
        </w:rPr>
        <w:t>Excluded Income – MTW Policy</w:t>
      </w:r>
      <w:r w:rsidR="001B0575" w:rsidRPr="001B0575">
        <w:rPr>
          <w:b/>
          <w:bCs/>
          <w:color w:val="0070C0"/>
        </w:rPr>
        <w:fldChar w:fldCharType="end"/>
      </w:r>
      <w:r w:rsidRPr="00851339">
        <w:t>;</w:t>
      </w:r>
    </w:p>
    <w:p w14:paraId="6D2C06AD" w14:textId="77777777" w:rsidR="00BC0DB5" w:rsidRPr="00851339" w:rsidRDefault="00BC0DB5" w:rsidP="00CB52D8">
      <w:pPr>
        <w:pStyle w:val="ListParagraph"/>
        <w:numPr>
          <w:ilvl w:val="0"/>
          <w:numId w:val="76"/>
        </w:numPr>
        <w:spacing w:after="120"/>
        <w:contextualSpacing w:val="0"/>
      </w:pPr>
      <w:r w:rsidRPr="00851339">
        <w:t>Deferred periodic payments of Supplemental Security Income and Social Security benefits that are received in a lump sum payment or in prospective monthly amounts, or any deferred Department of Veterans Affairs disability benefits that are received in a lump sum amount or in prospective monthly amounts</w:t>
      </w:r>
      <w:r w:rsidR="008001AD">
        <w:t xml:space="preserve"> (see also </w:t>
      </w:r>
      <w:r w:rsidR="008001AD" w:rsidRPr="008001AD">
        <w:rPr>
          <w:b/>
          <w:bCs/>
          <w:color w:val="0070C0"/>
        </w:rPr>
        <w:fldChar w:fldCharType="begin"/>
      </w:r>
      <w:r w:rsidR="008001AD" w:rsidRPr="008001AD">
        <w:rPr>
          <w:b/>
          <w:bCs/>
          <w:color w:val="0070C0"/>
        </w:rPr>
        <w:instrText xml:space="preserve"> REF _Ref155184996 \h  \* MERGEFORMAT </w:instrText>
      </w:r>
      <w:r w:rsidR="008001AD" w:rsidRPr="008001AD">
        <w:rPr>
          <w:b/>
          <w:bCs/>
          <w:color w:val="0070C0"/>
        </w:rPr>
      </w:r>
      <w:r w:rsidR="008001AD" w:rsidRPr="008001AD">
        <w:rPr>
          <w:b/>
          <w:bCs/>
          <w:color w:val="0070C0"/>
        </w:rPr>
        <w:fldChar w:fldCharType="separate"/>
      </w:r>
      <w:r w:rsidR="008001AD" w:rsidRPr="008001AD">
        <w:rPr>
          <w:b/>
          <w:bCs/>
          <w:color w:val="0070C0"/>
        </w:rPr>
        <w:t>Lump-Sum Payments for the Delayed Start of a Periodic Payment</w:t>
      </w:r>
      <w:r w:rsidR="008001AD" w:rsidRPr="008001AD">
        <w:rPr>
          <w:b/>
          <w:bCs/>
          <w:color w:val="0070C0"/>
        </w:rPr>
        <w:fldChar w:fldCharType="end"/>
      </w:r>
      <w:r w:rsidR="008001AD">
        <w:t>)</w:t>
      </w:r>
      <w:r w:rsidRPr="00851339">
        <w:t>;</w:t>
      </w:r>
    </w:p>
    <w:p w14:paraId="4D09161B" w14:textId="77777777" w:rsidR="00BC0DB5" w:rsidRPr="00851339" w:rsidRDefault="00BC0DB5" w:rsidP="00CB52D8">
      <w:pPr>
        <w:pStyle w:val="ListParagraph"/>
        <w:numPr>
          <w:ilvl w:val="0"/>
          <w:numId w:val="76"/>
        </w:numPr>
        <w:spacing w:after="120"/>
        <w:contextualSpacing w:val="0"/>
      </w:pPr>
      <w:r w:rsidRPr="00851339">
        <w:t>Payments related to aid and attendance under 38 U.S.C. 1521 to veterans in need of regular aid and attendance.</w:t>
      </w:r>
    </w:p>
    <w:p w14:paraId="70A1DC01" w14:textId="77777777" w:rsidR="00BC0DB5" w:rsidRPr="00851339" w:rsidRDefault="00BC0DB5" w:rsidP="00CB52D8">
      <w:pPr>
        <w:pStyle w:val="ListParagraph"/>
        <w:numPr>
          <w:ilvl w:val="0"/>
          <w:numId w:val="76"/>
        </w:numPr>
        <w:spacing w:after="120"/>
        <w:contextualSpacing w:val="0"/>
      </w:pPr>
      <w:r w:rsidRPr="00851339">
        <w:t>Amounts received by the family in the form of refunds or rebates under state or local law for property taxes paid on the dwelling apartment;</w:t>
      </w:r>
    </w:p>
    <w:p w14:paraId="0C81F62C" w14:textId="77777777" w:rsidR="00BC0DB5" w:rsidRPr="00851339" w:rsidRDefault="00BC0DB5" w:rsidP="00CB52D8">
      <w:pPr>
        <w:pStyle w:val="ListParagraph"/>
        <w:numPr>
          <w:ilvl w:val="0"/>
          <w:numId w:val="76"/>
        </w:numPr>
        <w:spacing w:after="120"/>
        <w:contextualSpacing w:val="0"/>
      </w:pPr>
      <w:r w:rsidRPr="00851339">
        <w:t>Payments made by or authorized by a State Medicaid agency (including through a managed care entity) or other State or Federal agency to a family to enable a family member who has a disability to reside in the family’s assisted unit. Authorized payments may include payments to a member of the assisted family through the State Medicaid agency (including through a managed care entity) or other State or Federal agency for caregiving services the family member provides to enable a family member who has a disability to reside in the family’s assisted unit;</w:t>
      </w:r>
    </w:p>
    <w:p w14:paraId="70CDA75C" w14:textId="77777777" w:rsidR="00BC0DB5" w:rsidRPr="00851339" w:rsidRDefault="00BC0DB5" w:rsidP="00CB52D8">
      <w:pPr>
        <w:pStyle w:val="ListParagraph"/>
        <w:numPr>
          <w:ilvl w:val="0"/>
          <w:numId w:val="76"/>
        </w:numPr>
        <w:spacing w:after="120"/>
        <w:contextualSpacing w:val="0"/>
      </w:pPr>
      <w:r w:rsidRPr="00851339">
        <w:t xml:space="preserve">Loan proceeds (the net amount disbursed by a lender to or on behalf of a borrower, under the terms of a loan agreement) received by the family or a third party (e.g., proceeds received by the family from a private loan to enable attendance at an educational institution or to finance the purchase of a car); </w:t>
      </w:r>
    </w:p>
    <w:p w14:paraId="1C9A692A" w14:textId="77777777" w:rsidR="00F573A9" w:rsidRDefault="00BC0DB5" w:rsidP="00CB52D8">
      <w:pPr>
        <w:pStyle w:val="ListParagraph"/>
        <w:numPr>
          <w:ilvl w:val="0"/>
          <w:numId w:val="76"/>
        </w:numPr>
        <w:spacing w:after="120"/>
        <w:contextualSpacing w:val="0"/>
      </w:pPr>
      <w:r w:rsidRPr="00851339">
        <w:t>Payments received by Tribal members as a result of claims relating to the mismanagement of assets held in trust by the United States, to the extent such payments are also excluded from gross income under the Internal Revenue Code or other Federal law;</w:t>
      </w:r>
      <w:bookmarkStart w:id="1607" w:name="_Hlk142646380"/>
    </w:p>
    <w:p w14:paraId="6AC123BB" w14:textId="77777777" w:rsidR="00F573A9" w:rsidRPr="00E04993" w:rsidRDefault="00BC0DB5" w:rsidP="00CB52D8">
      <w:pPr>
        <w:pStyle w:val="ListParagraph"/>
        <w:numPr>
          <w:ilvl w:val="0"/>
          <w:numId w:val="76"/>
        </w:numPr>
        <w:spacing w:after="120"/>
        <w:contextualSpacing w:val="0"/>
      </w:pPr>
      <w:r w:rsidRPr="00851339">
        <w:t xml:space="preserve">Amounts specifically excluded by any other federal Statute from consideration as income for purposes of determining eligibility or benefits under a category of assistance programs that includes assistance under the United States Housing Act of 1937. A notice will be published by HUD in the Federal Register identifying the benefits that qualify for this exclusion. </w:t>
      </w:r>
      <w:bookmarkEnd w:id="1607"/>
      <w:r w:rsidR="00F573A9" w:rsidRPr="002115B6">
        <w:t xml:space="preserve">The most recent list of exclusions was published in the </w:t>
      </w:r>
      <w:r w:rsidR="00F573A9" w:rsidRPr="00F573A9">
        <w:rPr>
          <w:i/>
          <w:iCs/>
        </w:rPr>
        <w:t>Federal Register</w:t>
      </w:r>
      <w:r w:rsidR="00F573A9" w:rsidRPr="002115B6">
        <w:t xml:space="preserve"> on </w:t>
      </w:r>
      <w:r w:rsidR="00FD3F28">
        <w:t>Janua</w:t>
      </w:r>
      <w:r w:rsidR="00FD3F28" w:rsidRPr="00E04993">
        <w:t>ry 31, 2024</w:t>
      </w:r>
      <w:r w:rsidR="00F573A9" w:rsidRPr="00E04993">
        <w:t>. It includes:</w:t>
      </w:r>
    </w:p>
    <w:p w14:paraId="0E84B4F9" w14:textId="77777777" w:rsidR="00F573A9" w:rsidRPr="00E04993" w:rsidRDefault="00F573A9" w:rsidP="007F177E">
      <w:pPr>
        <w:pStyle w:val="ListParagraph"/>
        <w:numPr>
          <w:ilvl w:val="1"/>
          <w:numId w:val="256"/>
        </w:numPr>
        <w:spacing w:after="120"/>
        <w:contextualSpacing w:val="0"/>
      </w:pPr>
      <w:r w:rsidRPr="00E04993">
        <w:t>The value of the allotment provided to an eligible household under the Food Stamp Act of 1977 (7 U.S.C. 2017 (b))</w:t>
      </w:r>
      <w:r w:rsidR="00B83960" w:rsidRPr="00E04993">
        <w:t>;</w:t>
      </w:r>
      <w:r w:rsidR="00F67636" w:rsidRPr="00E04993">
        <w:t xml:space="preserve"> this exclusion also applies to assets;</w:t>
      </w:r>
    </w:p>
    <w:p w14:paraId="141F677C" w14:textId="77777777" w:rsidR="00F573A9" w:rsidRPr="00E04993" w:rsidRDefault="00F573A9" w:rsidP="007F177E">
      <w:pPr>
        <w:pStyle w:val="ListParagraph"/>
        <w:numPr>
          <w:ilvl w:val="1"/>
          <w:numId w:val="256"/>
        </w:numPr>
        <w:spacing w:after="120"/>
        <w:contextualSpacing w:val="0"/>
      </w:pPr>
      <w:r w:rsidRPr="00E04993">
        <w:t>Payments</w:t>
      </w:r>
      <w:r w:rsidR="002F2E73" w:rsidRPr="00E04993">
        <w:t>, including for supportive services and reimbursement of out-of-pocket expenses, for</w:t>
      </w:r>
      <w:r w:rsidRPr="00E04993">
        <w:t xml:space="preserve"> volunteers under the Domestic Volunteer Services Act of 1973 (42 U.S.C. 5044</w:t>
      </w:r>
      <w:r w:rsidR="00BC5FF3" w:rsidRPr="00E04993">
        <w:t>(</w:t>
      </w:r>
      <w:r w:rsidR="009B4855" w:rsidRPr="00E04993">
        <w:t>f</w:t>
      </w:r>
      <w:r w:rsidRPr="00E04993">
        <w:t>)</w:t>
      </w:r>
      <w:r w:rsidR="009B4855" w:rsidRPr="00E04993">
        <w:t>(1)</w:t>
      </w:r>
      <w:r w:rsidRPr="00E04993">
        <w:t>,</w:t>
      </w:r>
      <w:r w:rsidR="009B4855" w:rsidRPr="00E04993">
        <w:t xml:space="preserve"> 42 U.S.C</w:t>
      </w:r>
      <w:r w:rsidRPr="00E04993">
        <w:t xml:space="preserve"> 5058)</w:t>
      </w:r>
      <w:r w:rsidR="00434ADB" w:rsidRPr="00E04993">
        <w:t xml:space="preserve"> are excluded from income except that the exclusion shall not apply in the case of such payments when the Chief Executive Officer of the Corporation for National and Community Service appointed under 42 U.S.C. 12651c determines that the value of all such payments, adjusted to reflect the number of hours such volunteers are serving, is equivalent to or greater than the minimum wage then in effect under the Fair Labor Standards Act of 1938 (29 U.S.C. 201 et seq.) or the minimum wage, under the laws of the State where such volunteers are serving, whichever is the greater (42 U.S.C. 5044(f)(1)). This exclusion also applies to assets</w:t>
      </w:r>
      <w:r w:rsidR="00B83960" w:rsidRPr="00E04993">
        <w:t>;</w:t>
      </w:r>
    </w:p>
    <w:p w14:paraId="13D1CE46" w14:textId="77777777" w:rsidR="00F573A9" w:rsidRPr="00E04993" w:rsidRDefault="006E3B91" w:rsidP="007F177E">
      <w:pPr>
        <w:pStyle w:val="ListParagraph"/>
        <w:numPr>
          <w:ilvl w:val="1"/>
          <w:numId w:val="256"/>
        </w:numPr>
        <w:spacing w:after="120"/>
        <w:contextualSpacing w:val="0"/>
      </w:pPr>
      <w:r w:rsidRPr="00E04993">
        <w:t>Certain p</w:t>
      </w:r>
      <w:r w:rsidR="00F573A9" w:rsidRPr="00E04993">
        <w:t>ayments received under the Alaska Native Claims Settlement Act (43 U.S.C. 1626(c))</w:t>
      </w:r>
      <w:r w:rsidR="00B83960" w:rsidRPr="00E04993">
        <w:t>;</w:t>
      </w:r>
      <w:r w:rsidR="005A09F6" w:rsidRPr="00E04993">
        <w:t xml:space="preserve"> this exclusion also applies to assets;</w:t>
      </w:r>
    </w:p>
    <w:p w14:paraId="72E31F2E" w14:textId="77777777" w:rsidR="00F573A9" w:rsidRPr="00E04993" w:rsidRDefault="00F573A9" w:rsidP="007F177E">
      <w:pPr>
        <w:pStyle w:val="ListParagraph"/>
        <w:numPr>
          <w:ilvl w:val="1"/>
          <w:numId w:val="256"/>
        </w:numPr>
        <w:spacing w:after="120"/>
        <w:contextualSpacing w:val="0"/>
      </w:pPr>
      <w:r w:rsidRPr="00E04993">
        <w:t>Income derived from certain submarginal land of the United States that is held in trust for certain Indian tribes (25 U.S.C.</w:t>
      </w:r>
      <w:r w:rsidR="005A09F6" w:rsidRPr="00E04993">
        <w:t xml:space="preserve"> 5506</w:t>
      </w:r>
      <w:r w:rsidRPr="00E04993">
        <w:t>)</w:t>
      </w:r>
      <w:r w:rsidR="00B83960" w:rsidRPr="00E04993">
        <w:t>;</w:t>
      </w:r>
      <w:r w:rsidR="000255BE" w:rsidRPr="00E04993">
        <w:t xml:space="preserve"> this exclusion also applies to assets;</w:t>
      </w:r>
    </w:p>
    <w:p w14:paraId="0E301A0E" w14:textId="77777777" w:rsidR="00F573A9" w:rsidRPr="00E04993" w:rsidRDefault="00F573A9" w:rsidP="007F177E">
      <w:pPr>
        <w:pStyle w:val="ListParagraph"/>
        <w:numPr>
          <w:ilvl w:val="1"/>
          <w:numId w:val="256"/>
        </w:numPr>
        <w:spacing w:after="120"/>
        <w:contextualSpacing w:val="0"/>
      </w:pPr>
      <w:r w:rsidRPr="00E04993">
        <w:t>Payments or allowances made under the Department of Health and Human Services’ Low-Income Home Energy Assistance Program (42 U.S.C. 8624(f)</w:t>
      </w:r>
      <w:r w:rsidR="009603F3" w:rsidRPr="00E04993">
        <w:t>(1)</w:t>
      </w:r>
      <w:r w:rsidRPr="00E04993">
        <w:t>)</w:t>
      </w:r>
      <w:r w:rsidR="00B83960" w:rsidRPr="00E04993">
        <w:t>;</w:t>
      </w:r>
    </w:p>
    <w:p w14:paraId="666445C1" w14:textId="77777777" w:rsidR="00F573A9" w:rsidRPr="00E04993" w:rsidRDefault="00F573A9" w:rsidP="007F177E">
      <w:pPr>
        <w:pStyle w:val="ListParagraph"/>
        <w:numPr>
          <w:ilvl w:val="1"/>
          <w:numId w:val="256"/>
        </w:numPr>
        <w:spacing w:after="120"/>
        <w:contextualSpacing w:val="0"/>
      </w:pPr>
      <w:r w:rsidRPr="00E04993">
        <w:t xml:space="preserve">Income derived from the disposition of funds to the Grand River Band of Ottawa Indians (Pub. L. 94-540, </w:t>
      </w:r>
      <w:r w:rsidR="000F5C8D" w:rsidRPr="00E04993">
        <w:t>section 6</w:t>
      </w:r>
      <w:r w:rsidRPr="00E04993">
        <w:t>)</w:t>
      </w:r>
      <w:r w:rsidR="004B2B8C" w:rsidRPr="00E04993">
        <w:t>;</w:t>
      </w:r>
      <w:r w:rsidR="00F0419A" w:rsidRPr="00E04993">
        <w:t xml:space="preserve"> this exclusion also applies to assets;</w:t>
      </w:r>
    </w:p>
    <w:p w14:paraId="2FD4DF92" w14:textId="77777777" w:rsidR="00F573A9" w:rsidRPr="00E04993" w:rsidRDefault="00F573A9" w:rsidP="007F177E">
      <w:pPr>
        <w:pStyle w:val="ListParagraph"/>
        <w:numPr>
          <w:ilvl w:val="1"/>
          <w:numId w:val="256"/>
        </w:numPr>
        <w:spacing w:after="120"/>
        <w:contextualSpacing w:val="0"/>
      </w:pPr>
      <w:r w:rsidRPr="00E04993">
        <w:t xml:space="preserve">The first $2,000 of per capita shares received from judgment funds awarded by the </w:t>
      </w:r>
      <w:r w:rsidR="00281BFF" w:rsidRPr="00E04993">
        <w:t xml:space="preserve">National </w:t>
      </w:r>
      <w:r w:rsidRPr="00E04993">
        <w:t xml:space="preserve">Indian Claims Commission or the U. S. Claims Court, the interests of individual Indians in trust or restricted lands, </w:t>
      </w:r>
      <w:r w:rsidR="00281BFF" w:rsidRPr="00E04993">
        <w:t xml:space="preserve">and </w:t>
      </w:r>
      <w:r w:rsidRPr="00E04993">
        <w:t>the first $2,000 per year of income received by individual Indians from funds derived from interests held in such trust or restricted lands</w:t>
      </w:r>
      <w:r w:rsidR="0093267F" w:rsidRPr="00E04993">
        <w:t>. This exclusion does not include proceeds of gaming operations regulated by the Commission</w:t>
      </w:r>
      <w:r w:rsidRPr="00E04993">
        <w:t xml:space="preserve"> (25 U.S.C. 1407-1408)</w:t>
      </w:r>
      <w:r w:rsidR="001756AA" w:rsidRPr="00E04993">
        <w:t>;</w:t>
      </w:r>
      <w:r w:rsidR="0093267F" w:rsidRPr="00E04993">
        <w:t xml:space="preserve"> this exclusion also applies to assets;</w:t>
      </w:r>
    </w:p>
    <w:p w14:paraId="1491B171" w14:textId="77777777" w:rsidR="00F573A9" w:rsidRPr="00E04993" w:rsidRDefault="00F573A9" w:rsidP="007F177E">
      <w:pPr>
        <w:pStyle w:val="ListParagraph"/>
        <w:numPr>
          <w:ilvl w:val="1"/>
          <w:numId w:val="256"/>
        </w:numPr>
        <w:spacing w:after="120"/>
        <w:contextualSpacing w:val="0"/>
        <w:rPr>
          <w:strike/>
          <w:color w:val="FF0000"/>
        </w:rPr>
      </w:pPr>
      <w:r w:rsidRPr="00E04993">
        <w:t xml:space="preserve">Amounts of </w:t>
      </w:r>
      <w:r w:rsidR="00FA59FE" w:rsidRPr="00E04993">
        <w:t xml:space="preserve">student financial assistance </w:t>
      </w:r>
      <w:r w:rsidRPr="00E04993">
        <w:t>funded under Title IV of the Higher Education Act of 1965</w:t>
      </w:r>
      <w:r w:rsidR="00FA59FE" w:rsidRPr="00E04993">
        <w:t xml:space="preserve"> (</w:t>
      </w:r>
      <w:r w:rsidR="00F23D9D" w:rsidRPr="00E04993">
        <w:t>20 U.S.C 1070)</w:t>
      </w:r>
      <w:r w:rsidRPr="00E04993">
        <w:t>, including awards under federal work-study programs or under the Bureau of Indian Affairs student assistance programs (20 U.S.C. 1087uu). For Section 8 programs</w:t>
      </w:r>
      <w:r w:rsidR="005B7481" w:rsidRPr="00E04993">
        <w:t xml:space="preserve"> only (42 U.S.C. 1437f)</w:t>
      </w:r>
      <w:r w:rsidRPr="00E04993">
        <w:t>,</w:t>
      </w:r>
      <w:r w:rsidR="0061027B" w:rsidRPr="00E04993">
        <w:t xml:space="preserve"> any financial assistance in excess of amounts received by an individual for tuition and any other required fees and charges under the Higher Education Act of 1965 (20 U.S.C 1001 </w:t>
      </w:r>
      <w:r w:rsidR="0061027B" w:rsidRPr="00E04993">
        <w:rPr>
          <w:i/>
          <w:iCs/>
        </w:rPr>
        <w:t>et seq.</w:t>
      </w:r>
      <w:r w:rsidR="0061027B" w:rsidRPr="00E04993">
        <w:t>), from private sources</w:t>
      </w:r>
      <w:r w:rsidR="009251CD" w:rsidRPr="00E04993">
        <w:t>, or an institution of higher education (as defined under the Higher Education Act of 1965 (20. U.S.C. 1002)</w:t>
      </w:r>
      <w:r w:rsidR="009935D9" w:rsidRPr="00E04993">
        <w:t>), shall not be</w:t>
      </w:r>
      <w:r w:rsidR="00A83479" w:rsidRPr="00E04993">
        <w:t xml:space="preserve"> considered income to that individual if the individual is over the age of 23 with dependent children (Pub. L. 109-115, section 327)</w:t>
      </w:r>
      <w:r w:rsidR="00E04993">
        <w:t xml:space="preserve"> </w:t>
      </w:r>
      <w:r w:rsidR="00A83479" w:rsidRPr="00E04993">
        <w:t>(as amended);</w:t>
      </w:r>
      <w:r w:rsidR="009935D9" w:rsidRPr="00E04993">
        <w:t xml:space="preserve"> </w:t>
      </w:r>
    </w:p>
    <w:p w14:paraId="345107E1" w14:textId="77777777" w:rsidR="00330423" w:rsidRPr="00E04993" w:rsidRDefault="006D3285" w:rsidP="007F177E">
      <w:pPr>
        <w:pStyle w:val="ListParagraph"/>
        <w:numPr>
          <w:ilvl w:val="1"/>
          <w:numId w:val="256"/>
        </w:numPr>
        <w:spacing w:after="120"/>
        <w:contextualSpacing w:val="0"/>
      </w:pPr>
      <w:r w:rsidRPr="00E04993">
        <w:t>Payments received from programs funded under Title V of the Older Americans Act of 1985 (42 U.S.C. 3056(g));</w:t>
      </w:r>
    </w:p>
    <w:p w14:paraId="080575A4" w14:textId="77777777" w:rsidR="00DC0991" w:rsidRDefault="008D274A" w:rsidP="007F177E">
      <w:pPr>
        <w:pStyle w:val="ListParagraph"/>
        <w:numPr>
          <w:ilvl w:val="1"/>
          <w:numId w:val="256"/>
        </w:numPr>
        <w:spacing w:after="120"/>
        <w:contextualSpacing w:val="0"/>
      </w:pPr>
      <w:r w:rsidRPr="00E04993">
        <w:t xml:space="preserve">Payments received on or after January 1, 1989, from the Agent Orange Settlement Fund (Pub. L. 101-201) or any other fund established pursuant to the settlement </w:t>
      </w:r>
      <w:r w:rsidRPr="00E04993">
        <w:rPr>
          <w:i/>
          <w:iCs/>
        </w:rPr>
        <w:t xml:space="preserve">in In Re Agent Orange </w:t>
      </w:r>
      <w:r w:rsidR="00330423" w:rsidRPr="00E04993">
        <w:rPr>
          <w:i/>
          <w:iCs/>
        </w:rPr>
        <w:t>P</w:t>
      </w:r>
      <w:r w:rsidRPr="00E04993">
        <w:rPr>
          <w:i/>
          <w:iCs/>
        </w:rPr>
        <w:t xml:space="preserve">roduct </w:t>
      </w:r>
      <w:r w:rsidR="00330423" w:rsidRPr="00E04993">
        <w:rPr>
          <w:i/>
          <w:iCs/>
        </w:rPr>
        <w:t>L</w:t>
      </w:r>
      <w:r w:rsidRPr="00E04993">
        <w:rPr>
          <w:i/>
          <w:iCs/>
        </w:rPr>
        <w:t xml:space="preserve">iability </w:t>
      </w:r>
      <w:r w:rsidR="00330423" w:rsidRPr="00E04993">
        <w:rPr>
          <w:i/>
          <w:iCs/>
        </w:rPr>
        <w:t>L</w:t>
      </w:r>
      <w:r w:rsidRPr="00E04993">
        <w:rPr>
          <w:i/>
          <w:iCs/>
        </w:rPr>
        <w:t>itigation</w:t>
      </w:r>
      <w:r w:rsidRPr="00E04993">
        <w:t>, M.D.L. No. 381 (E.D.N.Y.);</w:t>
      </w:r>
      <w:r w:rsidR="00330423" w:rsidRPr="00E04993">
        <w:t xml:space="preserve"> this exclusion also applies to assets;</w:t>
      </w:r>
    </w:p>
    <w:p w14:paraId="1140EEED" w14:textId="77777777" w:rsidR="00D758B5" w:rsidRDefault="00330423" w:rsidP="007F177E">
      <w:pPr>
        <w:pStyle w:val="ListParagraph"/>
        <w:numPr>
          <w:ilvl w:val="1"/>
          <w:numId w:val="256"/>
        </w:numPr>
        <w:spacing w:after="120"/>
        <w:contextualSpacing w:val="0"/>
      </w:pPr>
      <w:r>
        <w:t xml:space="preserve">Payments </w:t>
      </w:r>
      <w:r w:rsidRPr="00E04993">
        <w:t>received under the Maine Indian Claims Settlement Act of 1980 (Pub. L. 96-420 section 9(c)</w:t>
      </w:r>
      <w:r w:rsidR="00036399" w:rsidRPr="00E04993">
        <w:t>)</w:t>
      </w:r>
      <w:r w:rsidRPr="00E04993">
        <w:t>;</w:t>
      </w:r>
      <w:r w:rsidR="00036399" w:rsidRPr="00E04993">
        <w:t xml:space="preserve"> this exclusion also applies to assets;</w:t>
      </w:r>
    </w:p>
    <w:p w14:paraId="692122DF" w14:textId="77777777" w:rsidR="00D758B5" w:rsidRDefault="00036399" w:rsidP="007F177E">
      <w:pPr>
        <w:pStyle w:val="ListParagraph"/>
        <w:numPr>
          <w:ilvl w:val="1"/>
          <w:numId w:val="256"/>
        </w:numPr>
        <w:spacing w:after="120"/>
        <w:contextualSpacing w:val="0"/>
      </w:pPr>
      <w:r w:rsidRPr="00E04993">
        <w:t>The value of any child care provided or arranged (or any amount received as payment for such care or reimbursement for costs incurred for such care) under the Child Care and Development Block Grant Act of 1990 (42 U.S.C. 9858q);</w:t>
      </w:r>
    </w:p>
    <w:p w14:paraId="02EC9D4B" w14:textId="77777777" w:rsidR="00D758B5" w:rsidRDefault="00036399" w:rsidP="007F177E">
      <w:pPr>
        <w:pStyle w:val="ListParagraph"/>
        <w:numPr>
          <w:ilvl w:val="1"/>
          <w:numId w:val="256"/>
        </w:numPr>
        <w:spacing w:after="120"/>
        <w:contextualSpacing w:val="0"/>
      </w:pPr>
      <w:r w:rsidRPr="00E04993">
        <w:t>Earned income tax credit (EITC) refund payments received on or after January 1, 1991 (26 U</w:t>
      </w:r>
      <w:r w:rsidRPr="00546748">
        <w:t>.S.C. 32(j));</w:t>
      </w:r>
      <w:r w:rsidR="003B41F5" w:rsidRPr="00546748">
        <w:t xml:space="preserve"> this exclusion also applies to assets;</w:t>
      </w:r>
    </w:p>
    <w:p w14:paraId="13E6FBC6" w14:textId="77777777" w:rsidR="00D758B5" w:rsidRDefault="006B176A" w:rsidP="007F177E">
      <w:pPr>
        <w:pStyle w:val="ListParagraph"/>
        <w:numPr>
          <w:ilvl w:val="1"/>
          <w:numId w:val="256"/>
        </w:numPr>
        <w:spacing w:after="120"/>
        <w:contextualSpacing w:val="0"/>
      </w:pPr>
      <w:r w:rsidRPr="00546748">
        <w:t>The amount of any refund (or advance payment with respect to a refundable credit) issued under the Internal Revenue Code is excluded from income and assets for a period of 12 months from receipt (26 U.S.C. 6409);</w:t>
      </w:r>
    </w:p>
    <w:p w14:paraId="19B6269B" w14:textId="77777777" w:rsidR="00D758B5" w:rsidRDefault="006668B2" w:rsidP="007F177E">
      <w:pPr>
        <w:pStyle w:val="ListParagraph"/>
        <w:numPr>
          <w:ilvl w:val="1"/>
          <w:numId w:val="256"/>
        </w:numPr>
        <w:spacing w:after="120"/>
        <w:contextualSpacing w:val="0"/>
      </w:pPr>
      <w:r w:rsidRPr="00546748">
        <w:t>Payments by the Indian Claims Commission to the Confederated Tribes and Bands of Yakima Indian Nation or the Apache Tribe of</w:t>
      </w:r>
      <w:r w:rsidR="002523EA" w:rsidRPr="00546748">
        <w:t xml:space="preserve"> the</w:t>
      </w:r>
      <w:r w:rsidRPr="00546748">
        <w:t xml:space="preserve"> Mescalero Reservation (Pub. L. 95-433</w:t>
      </w:r>
      <w:r w:rsidR="002523EA" w:rsidRPr="00546748">
        <w:t xml:space="preserve"> section 2</w:t>
      </w:r>
      <w:r w:rsidRPr="00546748">
        <w:t>);</w:t>
      </w:r>
      <w:r w:rsidR="002523EA" w:rsidRPr="00546748">
        <w:t xml:space="preserve"> this exclusion also applies to assets;</w:t>
      </w:r>
    </w:p>
    <w:p w14:paraId="335F3449" w14:textId="77777777" w:rsidR="00D758B5" w:rsidRDefault="00F573A9" w:rsidP="007F177E">
      <w:pPr>
        <w:pStyle w:val="ListParagraph"/>
        <w:numPr>
          <w:ilvl w:val="1"/>
          <w:numId w:val="256"/>
        </w:numPr>
        <w:spacing w:after="120"/>
        <w:contextualSpacing w:val="0"/>
      </w:pPr>
      <w:r w:rsidRPr="00546748">
        <w:t>Allowances, earnings and payments to AmeriCorps participants under the National and Community Service Act of 1990 (42 U.S.C. 12637(d))</w:t>
      </w:r>
      <w:r w:rsidR="00B1613E" w:rsidRPr="00546748">
        <w:t>;</w:t>
      </w:r>
    </w:p>
    <w:p w14:paraId="4926423E" w14:textId="77777777" w:rsidR="00D758B5" w:rsidRDefault="00377838" w:rsidP="007F177E">
      <w:pPr>
        <w:pStyle w:val="ListParagraph"/>
        <w:numPr>
          <w:ilvl w:val="1"/>
          <w:numId w:val="256"/>
        </w:numPr>
        <w:spacing w:after="120"/>
        <w:contextualSpacing w:val="0"/>
      </w:pPr>
      <w:r w:rsidRPr="00546748">
        <w:t>Any allowance paid to children of Vietnam veterans born with spinal bifida</w:t>
      </w:r>
      <w:r w:rsidR="00A91169" w:rsidRPr="00546748">
        <w:t xml:space="preserve"> (38 U.S.C. 1802-05)</w:t>
      </w:r>
      <w:r w:rsidRPr="00546748">
        <w:t>, children of women Vietnam veterans born with certain birth defects</w:t>
      </w:r>
      <w:r w:rsidR="00A91169" w:rsidRPr="00546748">
        <w:t xml:space="preserve"> (38 U.S.C. 1811-16)</w:t>
      </w:r>
      <w:r w:rsidRPr="00546748">
        <w:t>, and children of certain Korean</w:t>
      </w:r>
      <w:r w:rsidR="00A91169" w:rsidRPr="00546748">
        <w:t xml:space="preserve"> and Thailand</w:t>
      </w:r>
      <w:r w:rsidRPr="00546748">
        <w:t xml:space="preserve"> service veterans born with spinal bifida</w:t>
      </w:r>
      <w:r w:rsidR="00A04E02" w:rsidRPr="00546748">
        <w:t xml:space="preserve"> (38 U.S.C. 1821-22) is excluded from income and assets (38 U.S.C 1833(c))</w:t>
      </w:r>
      <w:r w:rsidRPr="00546748">
        <w:t>;</w:t>
      </w:r>
    </w:p>
    <w:p w14:paraId="78FFDE81" w14:textId="77777777" w:rsidR="00D758B5" w:rsidRDefault="00A04E02" w:rsidP="007F177E">
      <w:pPr>
        <w:pStyle w:val="ListParagraph"/>
        <w:numPr>
          <w:ilvl w:val="1"/>
          <w:numId w:val="256"/>
        </w:numPr>
        <w:spacing w:after="120"/>
        <w:contextualSpacing w:val="0"/>
      </w:pPr>
      <w:r w:rsidRPr="00546748">
        <w:t>A</w:t>
      </w:r>
      <w:r w:rsidR="00F573A9" w:rsidRPr="00546748">
        <w:t>ny amount of crime victim compensation</w:t>
      </w:r>
      <w:r w:rsidR="00376974" w:rsidRPr="00546748">
        <w:t xml:space="preserve"> that provides medical or other assistance (or payment or reimbursement of the cost of such assistance)</w:t>
      </w:r>
      <w:r w:rsidR="00F573A9" w:rsidRPr="00546748">
        <w:t xml:space="preserve"> under the Victims of Crime Act </w:t>
      </w:r>
      <w:r w:rsidR="00E4732E" w:rsidRPr="00546748">
        <w:t xml:space="preserve">of 1984 </w:t>
      </w:r>
      <w:r w:rsidR="00F573A9" w:rsidRPr="00546748">
        <w:t>received through</w:t>
      </w:r>
      <w:r w:rsidR="00E4732E" w:rsidRPr="00546748">
        <w:t xml:space="preserve"> a</w:t>
      </w:r>
      <w:r w:rsidR="00F573A9" w:rsidRPr="00546748">
        <w:t xml:space="preserve"> crime victim assistance</w:t>
      </w:r>
      <w:r w:rsidR="00CF62CB" w:rsidRPr="00546748">
        <w:t xml:space="preserve"> program, unless the total amount of assistance that the applicant receives from all such programs is sufficient to fully compensate the applicant for losses suffered as a result of the crim</w:t>
      </w:r>
      <w:r w:rsidR="002152BA" w:rsidRPr="00546748">
        <w:t>e</w:t>
      </w:r>
      <w:r w:rsidR="00CF62CB" w:rsidRPr="00546748">
        <w:t xml:space="preserve"> (34 U.S.C. 20102(c))</w:t>
      </w:r>
      <w:r w:rsidR="002152BA" w:rsidRPr="00546748">
        <w:t>; this exclusion also applies to assets;</w:t>
      </w:r>
      <w:r w:rsidR="00F573A9" w:rsidRPr="00546748">
        <w:t xml:space="preserve"> </w:t>
      </w:r>
    </w:p>
    <w:p w14:paraId="22FECE4A" w14:textId="77777777" w:rsidR="00D758B5" w:rsidRDefault="00D35A71" w:rsidP="007F177E">
      <w:pPr>
        <w:pStyle w:val="ListParagraph"/>
        <w:numPr>
          <w:ilvl w:val="1"/>
          <w:numId w:val="256"/>
        </w:numPr>
        <w:spacing w:after="120"/>
        <w:contextualSpacing w:val="0"/>
      </w:pPr>
      <w:r w:rsidRPr="00546748">
        <w:t>Allowances, earnings, and p</w:t>
      </w:r>
      <w:r w:rsidR="004E6D57" w:rsidRPr="00546748">
        <w:t xml:space="preserve">ayments </w:t>
      </w:r>
      <w:r w:rsidRPr="00546748">
        <w:t xml:space="preserve">to individuals participating in </w:t>
      </w:r>
      <w:r w:rsidR="004E6D57" w:rsidRPr="00546748">
        <w:t>programs under the Workforce Investment Act of 1998</w:t>
      </w:r>
      <w:r w:rsidR="00334A6C" w:rsidRPr="00546748">
        <w:t xml:space="preserve"> reauthorized as the Workforce Innovation and Opportunity Act of 2014</w:t>
      </w:r>
      <w:r w:rsidR="004E6D57" w:rsidRPr="00546748">
        <w:t xml:space="preserve"> (29 U.S.C. </w:t>
      </w:r>
      <w:r w:rsidR="009F4ACD" w:rsidRPr="00546748">
        <w:t>3241(a)(2)</w:t>
      </w:r>
      <w:r w:rsidR="004E6D57" w:rsidRPr="00546748">
        <w:t>);</w:t>
      </w:r>
    </w:p>
    <w:p w14:paraId="13A1209D" w14:textId="77777777" w:rsidR="00D758B5" w:rsidRDefault="009405FC" w:rsidP="007F177E">
      <w:pPr>
        <w:pStyle w:val="ListParagraph"/>
        <w:numPr>
          <w:ilvl w:val="1"/>
          <w:numId w:val="256"/>
        </w:numPr>
        <w:spacing w:after="120"/>
        <w:contextualSpacing w:val="0"/>
      </w:pPr>
      <w:r w:rsidRPr="00546748">
        <w:t>Any amount received under the Richard B. Russell School Lunch Act (42 U.S.C. 1760(e)) and the Child Nutrition Act of 1966 (42 U.S.C. 1780(b)), including reduced-price lunches and food under the Special Supplemental Food Program for Women, Infants, and Children (WIC). This exclusion also applies to assets;</w:t>
      </w:r>
    </w:p>
    <w:p w14:paraId="176A7CB1" w14:textId="77777777" w:rsidR="00D758B5" w:rsidRDefault="009405FC" w:rsidP="007F177E">
      <w:pPr>
        <w:pStyle w:val="ListParagraph"/>
        <w:numPr>
          <w:ilvl w:val="1"/>
          <w:numId w:val="256"/>
        </w:numPr>
        <w:spacing w:after="120"/>
        <w:contextualSpacing w:val="0"/>
      </w:pPr>
      <w:r w:rsidRPr="00546748">
        <w:t>Payments, funds, or distributions authorized, established, or directed by the Seneca Nation Settlement Act of 1990 (</w:t>
      </w:r>
      <w:r w:rsidR="0010777B" w:rsidRPr="00546748">
        <w:t xml:space="preserve">Pub. L. 101-503 section 8(b)); this exclusion also applies to assets; </w:t>
      </w:r>
    </w:p>
    <w:p w14:paraId="236F1AE1" w14:textId="77777777" w:rsidR="00D758B5" w:rsidRDefault="00475B17" w:rsidP="007F177E">
      <w:pPr>
        <w:pStyle w:val="ListParagraph"/>
        <w:numPr>
          <w:ilvl w:val="1"/>
          <w:numId w:val="256"/>
        </w:numPr>
        <w:spacing w:after="120"/>
        <w:contextualSpacing w:val="0"/>
      </w:pPr>
      <w:r w:rsidRPr="00546748">
        <w:t xml:space="preserve">Payments from any deferred Department of Veterans Affairs disability benefits that </w:t>
      </w:r>
      <w:r w:rsidR="00452ABC" w:rsidRPr="00546748">
        <w:t>a</w:t>
      </w:r>
      <w:r w:rsidRPr="00546748">
        <w:t>re received in a lump sum</w:t>
      </w:r>
      <w:r w:rsidR="00452ABC" w:rsidRPr="00546748">
        <w:t xml:space="preserve"> amount</w:t>
      </w:r>
      <w:r w:rsidRPr="00546748">
        <w:t xml:space="preserve"> or in monthly prospective amounts</w:t>
      </w:r>
      <w:r w:rsidR="00452ABC" w:rsidRPr="00546748">
        <w:t xml:space="preserve"> (42 U.S.C. 1437a(b)(4)</w:t>
      </w:r>
      <w:r w:rsidR="00753ED7" w:rsidRPr="00546748">
        <w:t>)</w:t>
      </w:r>
      <w:r w:rsidRPr="00546748">
        <w:t>;</w:t>
      </w:r>
    </w:p>
    <w:p w14:paraId="0E62E5E7" w14:textId="7A016AE7" w:rsidR="00FB1E13" w:rsidRPr="00546748" w:rsidRDefault="00FB1E13" w:rsidP="007F177E">
      <w:pPr>
        <w:pStyle w:val="ListParagraph"/>
        <w:numPr>
          <w:ilvl w:val="1"/>
          <w:numId w:val="256"/>
        </w:numPr>
        <w:spacing w:after="120"/>
        <w:contextualSpacing w:val="0"/>
      </w:pPr>
      <w:r w:rsidRPr="00546748">
        <w:t>Any amounts</w:t>
      </w:r>
      <w:r w:rsidR="00C91A29" w:rsidRPr="00546748">
        <w:t>:</w:t>
      </w:r>
    </w:p>
    <w:p w14:paraId="031A7E0D" w14:textId="77777777" w:rsidR="00FB1E13" w:rsidRPr="00546748" w:rsidRDefault="00FB1E13" w:rsidP="007F177E">
      <w:pPr>
        <w:pStyle w:val="ListParagraph"/>
        <w:numPr>
          <w:ilvl w:val="2"/>
          <w:numId w:val="185"/>
        </w:numPr>
        <w:spacing w:after="120"/>
        <w:ind w:left="1800"/>
        <w:contextualSpacing w:val="0"/>
      </w:pPr>
      <w:r w:rsidRPr="00546748">
        <w:t xml:space="preserve">not actually received by the family, </w:t>
      </w:r>
    </w:p>
    <w:p w14:paraId="2A6275DE" w14:textId="77777777" w:rsidR="00FB1E13" w:rsidRPr="00546748" w:rsidRDefault="00FB1E13" w:rsidP="007F177E">
      <w:pPr>
        <w:pStyle w:val="ListParagraph"/>
        <w:numPr>
          <w:ilvl w:val="2"/>
          <w:numId w:val="185"/>
        </w:numPr>
        <w:spacing w:after="120"/>
        <w:ind w:left="1800"/>
        <w:contextualSpacing w:val="0"/>
      </w:pPr>
      <w:r w:rsidRPr="00546748">
        <w:t xml:space="preserve">that would be eligible for exclusion under 42 U.S.C. 1382b(a)(7), and </w:t>
      </w:r>
    </w:p>
    <w:p w14:paraId="1E508185" w14:textId="77777777" w:rsidR="009405FC" w:rsidRPr="00546748" w:rsidRDefault="00FB1E13" w:rsidP="007F177E">
      <w:pPr>
        <w:pStyle w:val="ListParagraph"/>
        <w:numPr>
          <w:ilvl w:val="2"/>
          <w:numId w:val="185"/>
        </w:numPr>
        <w:spacing w:after="120"/>
        <w:ind w:left="1800"/>
        <w:contextualSpacing w:val="0"/>
      </w:pPr>
      <w:r w:rsidRPr="00546748">
        <w:t>received for service-connected disability under 38 U.S.C. chapter 11 or dependency and indemnity compensation under 38 U.S.C. chapter 13 (25 U.S.C. 4103(9)(C)) as provided by an amendment by the Indian Veterans Housing Opportunity Act of 2010 (Pub. L. 111–269 section 2) to the definition of income applicable to programs under the Native American Housing Assistance and Self</w:t>
      </w:r>
      <w:r w:rsidR="00C91A29" w:rsidRPr="00546748">
        <w:t>-</w:t>
      </w:r>
      <w:r w:rsidRPr="00546748">
        <w:t>Determination Act (NAHASDA) (25 U.S.C. 4101 et seq.);</w:t>
      </w:r>
    </w:p>
    <w:p w14:paraId="3F85501D" w14:textId="77777777" w:rsidR="00CB52D8" w:rsidRDefault="00FB1E13" w:rsidP="007F177E">
      <w:pPr>
        <w:pStyle w:val="ListParagraph"/>
        <w:numPr>
          <w:ilvl w:val="1"/>
          <w:numId w:val="256"/>
        </w:numPr>
        <w:spacing w:after="120"/>
        <w:contextualSpacing w:val="0"/>
      </w:pPr>
      <w:r w:rsidRPr="00546748">
        <w:t xml:space="preserve">A lump sum or periodic payment received by an individual Indian pursuant to the Class Action Settlement Agreement </w:t>
      </w:r>
      <w:r w:rsidR="00E04993" w:rsidRPr="00546748">
        <w:t xml:space="preserve">in </w:t>
      </w:r>
      <w:r w:rsidRPr="00546748">
        <w:t>case</w:t>
      </w:r>
      <w:r w:rsidRPr="00D758B5">
        <w:t xml:space="preserve"> entitled</w:t>
      </w:r>
      <w:r w:rsidR="00CB52D8">
        <w:t>,</w:t>
      </w:r>
      <w:r w:rsidRPr="00D758B5">
        <w:rPr>
          <w:i/>
          <w:iCs/>
        </w:rPr>
        <w:t xml:space="preserve"> Elouise Cobell et al. v. Ken Salazar et al.</w:t>
      </w:r>
      <w:r w:rsidRPr="00546748">
        <w:t>,</w:t>
      </w:r>
      <w:r w:rsidR="00D61DB7" w:rsidRPr="00546748">
        <w:t xml:space="preserve"> 816 F.Supp.2d 10 (Oct. 5, 2011 D.D.C.)</w:t>
      </w:r>
      <w:r w:rsidRPr="00546748">
        <w:t xml:space="preserve"> for a period of one year from the time of receipt of that payment as provided in the Claims Resolution Act of 2010</w:t>
      </w:r>
      <w:r w:rsidR="008B66DA" w:rsidRPr="00546748">
        <w:t xml:space="preserve"> (Pub. L. 111-291 section 101(f)(2)</w:t>
      </w:r>
      <w:r w:rsidRPr="00546748">
        <w:t>;</w:t>
      </w:r>
      <w:r w:rsidR="001766BC" w:rsidRPr="00546748">
        <w:t xml:space="preserve"> this exclusion also applies to assets;</w:t>
      </w:r>
    </w:p>
    <w:p w14:paraId="6BFF0FA3" w14:textId="77777777" w:rsidR="00CB52D8" w:rsidRDefault="00F573A9" w:rsidP="007F177E">
      <w:pPr>
        <w:pStyle w:val="ListParagraph"/>
        <w:numPr>
          <w:ilvl w:val="1"/>
          <w:numId w:val="256"/>
        </w:numPr>
        <w:spacing w:after="120"/>
        <w:contextualSpacing w:val="0"/>
      </w:pPr>
      <w:r w:rsidRPr="00546748">
        <w:t xml:space="preserve">Any amounts in an </w:t>
      </w:r>
      <w:r w:rsidRPr="00CB52D8">
        <w:rPr>
          <w:i/>
          <w:iCs/>
        </w:rPr>
        <w:t>individual development account</w:t>
      </w:r>
      <w:r w:rsidRPr="00546748">
        <w:t xml:space="preserve"> </w:t>
      </w:r>
      <w:r w:rsidR="00795E6C" w:rsidRPr="00546748">
        <w:t xml:space="preserve">are excluded from assets and any assistance, benefit, or amounts earned by or provided to the individual development account are excluded from income </w:t>
      </w:r>
      <w:r w:rsidRPr="00546748">
        <w:t xml:space="preserve">as provided by the Assets for Independence Act, as amended </w:t>
      </w:r>
      <w:r w:rsidR="000A1C0E" w:rsidRPr="00546748">
        <w:t>(42 U.S.C 604(h)(4))</w:t>
      </w:r>
      <w:r w:rsidR="00B1613E" w:rsidRPr="00546748">
        <w:t>;</w:t>
      </w:r>
    </w:p>
    <w:p w14:paraId="7270DDBA" w14:textId="77777777" w:rsidR="00CB52D8" w:rsidRDefault="000A1C0E" w:rsidP="007F177E">
      <w:pPr>
        <w:pStyle w:val="ListParagraph"/>
        <w:numPr>
          <w:ilvl w:val="1"/>
          <w:numId w:val="256"/>
        </w:numPr>
        <w:spacing w:after="120"/>
        <w:contextualSpacing w:val="0"/>
      </w:pPr>
      <w:r w:rsidRPr="00546748">
        <w:t>Per capita p</w:t>
      </w:r>
      <w:r w:rsidR="00F573A9" w:rsidRPr="00546748">
        <w:t xml:space="preserve">ayments made from the proceeds of Indian </w:t>
      </w:r>
      <w:r w:rsidRPr="00546748">
        <w:t>T</w:t>
      </w:r>
      <w:r w:rsidR="00F573A9" w:rsidRPr="00546748">
        <w:t xml:space="preserve">ribal </w:t>
      </w:r>
      <w:r w:rsidRPr="00546748">
        <w:t>T</w:t>
      </w:r>
      <w:r w:rsidR="00F573A9" w:rsidRPr="00546748">
        <w:t>rust</w:t>
      </w:r>
      <w:r w:rsidRPr="00546748">
        <w:t xml:space="preserve"> Settlements listed</w:t>
      </w:r>
      <w:r w:rsidR="00F573A9" w:rsidRPr="00546748">
        <w:t xml:space="preserve"> in Notice PIH 2013–</w:t>
      </w:r>
      <w:r w:rsidR="00EC2D43" w:rsidRPr="00546748">
        <w:t>1 and 2013-55 must be excl</w:t>
      </w:r>
      <w:r w:rsidR="00140CDF" w:rsidRPr="00546748">
        <w:t>uded from a</w:t>
      </w:r>
      <w:r w:rsidR="00396E91" w:rsidRPr="00546748">
        <w:t>nnual income unless the per capita payments exceed the amount of the original Tribal Trust Settlement proceeds and are made from a Tribe’s private bank account in which the Tribe has deposited the settlement proceeds. Such amounts received in excess of the Tribal Trust Settlement are included in the gross income of the members of the Tribe receiving the per capita payments as described in IRS Notice 2013–1. The first $2,000 of per capita payments are also excluded from assets unless the per capita payments exceed the amount of the original Tribal Trust Settlement proceeds and are made from a Tribe’s private bank account in which the Tribe has deposited the settlement proceeds</w:t>
      </w:r>
      <w:r w:rsidR="007D22BF" w:rsidRPr="00546748">
        <w:t xml:space="preserve"> </w:t>
      </w:r>
      <w:r w:rsidR="00F573A9" w:rsidRPr="00546748">
        <w:t>(25 U.S.C. 117b(a)</w:t>
      </w:r>
      <w:r w:rsidR="007D22BF" w:rsidRPr="00546748">
        <w:t>, 25 U.S.C. 1407</w:t>
      </w:r>
      <w:r w:rsidR="00F573A9" w:rsidRPr="00546748">
        <w:t>)</w:t>
      </w:r>
      <w:r w:rsidR="00B1613E" w:rsidRPr="00546748">
        <w:t>;</w:t>
      </w:r>
    </w:p>
    <w:p w14:paraId="549B693F" w14:textId="77777777" w:rsidR="00CB52D8" w:rsidRDefault="007C2D10" w:rsidP="007F177E">
      <w:pPr>
        <w:pStyle w:val="ListParagraph"/>
        <w:numPr>
          <w:ilvl w:val="1"/>
          <w:numId w:val="256"/>
        </w:numPr>
        <w:spacing w:after="120"/>
        <w:contextualSpacing w:val="0"/>
      </w:pPr>
      <w:r w:rsidRPr="00546748">
        <w:t>Federal assistance for a m</w:t>
      </w:r>
      <w:r w:rsidR="00F573A9" w:rsidRPr="00546748">
        <w:t>ajor disaster and emergency received</w:t>
      </w:r>
      <w:r w:rsidR="00E2471B" w:rsidRPr="00546748">
        <w:t xml:space="preserve"> by individuals</w:t>
      </w:r>
      <w:r w:rsidR="00F573A9" w:rsidRPr="00546748">
        <w:t xml:space="preserve"> under the Robert T. Stafford Disaster Relief and Emergency Assistance Act </w:t>
      </w:r>
      <w:r w:rsidR="00E2471B" w:rsidRPr="00546748">
        <w:t xml:space="preserve">(Pub. L. 93-288, as mended) </w:t>
      </w:r>
      <w:r w:rsidR="00F573A9" w:rsidRPr="00546748">
        <w:t xml:space="preserve">and comparable disaster assistance provided by </w:t>
      </w:r>
      <w:r w:rsidR="00E2471B" w:rsidRPr="00546748">
        <w:t>S</w:t>
      </w:r>
      <w:r w:rsidR="00F573A9" w:rsidRPr="00546748">
        <w:t>tates, local governments, and disaster assistance organizations</w:t>
      </w:r>
      <w:r w:rsidR="00E2471B" w:rsidRPr="00546748">
        <w:t xml:space="preserve"> (42 U.S.C. 5155(d)); this exclusion also applies to assets</w:t>
      </w:r>
      <w:r w:rsidR="00B1613E" w:rsidRPr="00546748">
        <w:t>;</w:t>
      </w:r>
    </w:p>
    <w:p w14:paraId="478BDBB8" w14:textId="77777777" w:rsidR="00CB52D8" w:rsidRDefault="003A37D9" w:rsidP="007F177E">
      <w:pPr>
        <w:pStyle w:val="ListParagraph"/>
        <w:numPr>
          <w:ilvl w:val="1"/>
          <w:numId w:val="256"/>
        </w:numPr>
        <w:spacing w:after="120"/>
        <w:contextualSpacing w:val="0"/>
      </w:pPr>
      <w:r w:rsidRPr="00546748">
        <w:t xml:space="preserve">Any amount in an Achieving Better Life Experience (ABLE) account, distributions from and certain contributions to an ABLE account established under the ABLE Act of 2014 (Pub. L. 113–295.), as described in Notice PIH 2019–09/H 2019–06 or subsequent or superseding notice is excluded from income and assets; and </w:t>
      </w:r>
    </w:p>
    <w:p w14:paraId="1D6F29F3" w14:textId="57FE0828" w:rsidR="003A37D9" w:rsidRPr="00546748" w:rsidRDefault="003A37D9" w:rsidP="007F177E">
      <w:pPr>
        <w:pStyle w:val="ListParagraph"/>
        <w:numPr>
          <w:ilvl w:val="1"/>
          <w:numId w:val="256"/>
        </w:numPr>
        <w:spacing w:after="120"/>
        <w:contextualSpacing w:val="0"/>
      </w:pPr>
      <w:r w:rsidRPr="00546748">
        <w:t>Assistance received by a household under the Emergency Rental Assistance Program pursuant to the Consolidated Appropriations Act, 2021 (Pub. L. 116–260, section 501(j)), and the American Rescue Plan Act of 2021</w:t>
      </w:r>
      <w:r w:rsidR="006C4E74" w:rsidRPr="00546748">
        <w:t>.</w:t>
      </w:r>
    </w:p>
    <w:p w14:paraId="4CA913D6" w14:textId="77777777" w:rsidR="00BC0DB5" w:rsidRPr="00851339" w:rsidRDefault="00BC0DB5" w:rsidP="00CB52D8">
      <w:pPr>
        <w:pStyle w:val="ListParagraph"/>
        <w:numPr>
          <w:ilvl w:val="0"/>
          <w:numId w:val="76"/>
        </w:numPr>
        <w:spacing w:after="120"/>
        <w:contextualSpacing w:val="0"/>
      </w:pPr>
      <w:bookmarkStart w:id="1608" w:name="_Hlk142646436"/>
      <w:r w:rsidRPr="00851339">
        <w:t xml:space="preserve">Replacement housing </w:t>
      </w:r>
      <w:r w:rsidRPr="00BA2F83">
        <w:t>gap</w:t>
      </w:r>
      <w:r w:rsidRPr="00851339">
        <w:t xml:space="preserve"> payments made in accordance with 49 CFR part 24 that offset increased out of pocket costs of displaced persons that move from one federally subsidized housing unit to another Federally subsidized housing unit. Such replacement housing </w:t>
      </w:r>
      <w:r w:rsidRPr="00313AE1">
        <w:rPr>
          <w:i/>
          <w:iCs/>
        </w:rPr>
        <w:t>gap</w:t>
      </w:r>
      <w:r w:rsidRPr="00851339">
        <w:t xml:space="preserve"> payments are not excluded from annual income if the increased cost of rent and utilities is subsequently reduced or eliminated, and the displaced person retains or continues to receive the replacement housing </w:t>
      </w:r>
      <w:r w:rsidRPr="00BA2F83">
        <w:t>gap</w:t>
      </w:r>
      <w:r w:rsidRPr="00851339">
        <w:t xml:space="preserve"> payments;</w:t>
      </w:r>
    </w:p>
    <w:p w14:paraId="0D6ADA4D" w14:textId="77777777" w:rsidR="00BC0DB5" w:rsidRPr="00851339" w:rsidRDefault="00BC0DB5" w:rsidP="00CB52D8">
      <w:pPr>
        <w:pStyle w:val="ListParagraph"/>
        <w:numPr>
          <w:ilvl w:val="0"/>
          <w:numId w:val="76"/>
        </w:numPr>
        <w:tabs>
          <w:tab w:val="clear" w:pos="720"/>
        </w:tabs>
        <w:spacing w:after="120"/>
        <w:contextualSpacing w:val="0"/>
      </w:pPr>
      <w:bookmarkStart w:id="1609" w:name="NonrecurringIncome"/>
      <w:bookmarkStart w:id="1610" w:name="_Hlk142646471"/>
      <w:bookmarkEnd w:id="1608"/>
      <w:r w:rsidRPr="00851339">
        <w:t>Nonrecurring income</w:t>
      </w:r>
      <w:bookmarkEnd w:id="1609"/>
      <w:r w:rsidRPr="00851339">
        <w:t>, which is income that will not be repeated in the coming year based on information provided by the family. Income received as an independent contractor, day laborer, or seasonal worker is not excluded from income under this paragraph, even if the source, date, or amount of the income varies. Nonrecurring income includes:</w:t>
      </w:r>
    </w:p>
    <w:p w14:paraId="5745827B" w14:textId="77777777" w:rsidR="00BC0DB5" w:rsidRPr="00851339" w:rsidRDefault="00BC0DB5" w:rsidP="007F177E">
      <w:pPr>
        <w:pStyle w:val="ListParagraph"/>
        <w:numPr>
          <w:ilvl w:val="0"/>
          <w:numId w:val="257"/>
        </w:numPr>
        <w:spacing w:after="120"/>
        <w:contextualSpacing w:val="0"/>
      </w:pPr>
      <w:bookmarkStart w:id="1611" w:name="_Hlk142646494"/>
      <w:bookmarkEnd w:id="1610"/>
      <w:r w:rsidRPr="00851339">
        <w:t>Payments from the U.S. Census Bureau for employment (relating to decennial census or the American Community Survey) lasting no longer than 180 days and not culminating in permanent employment</w:t>
      </w:r>
      <w:bookmarkEnd w:id="1611"/>
      <w:r w:rsidRPr="00851339">
        <w:t>.</w:t>
      </w:r>
    </w:p>
    <w:p w14:paraId="20AB7F9A" w14:textId="77777777" w:rsidR="00BC0DB5" w:rsidRPr="00851339" w:rsidRDefault="00BC0DB5" w:rsidP="007F177E">
      <w:pPr>
        <w:pStyle w:val="ListParagraph"/>
        <w:numPr>
          <w:ilvl w:val="0"/>
          <w:numId w:val="257"/>
        </w:numPr>
        <w:spacing w:after="120"/>
        <w:contextualSpacing w:val="0"/>
      </w:pPr>
      <w:bookmarkStart w:id="1612" w:name="_Hlk142646522"/>
      <w:r w:rsidRPr="00851339">
        <w:t>Direct Federal or State payments intended for economic stimulus or recovery.</w:t>
      </w:r>
    </w:p>
    <w:p w14:paraId="6E4B0565" w14:textId="77777777" w:rsidR="00BC0DB5" w:rsidRPr="00851339" w:rsidRDefault="00BC0DB5" w:rsidP="007F177E">
      <w:pPr>
        <w:pStyle w:val="ListParagraph"/>
        <w:numPr>
          <w:ilvl w:val="0"/>
          <w:numId w:val="257"/>
        </w:numPr>
        <w:spacing w:after="120"/>
        <w:contextualSpacing w:val="0"/>
      </w:pPr>
      <w:bookmarkStart w:id="1613" w:name="_Hlk142646535"/>
      <w:bookmarkEnd w:id="1612"/>
      <w:r w:rsidRPr="00851339">
        <w:t>Amounts directly received by the family as a result of State refundable tax credits or State tax refunds at the time they are received.</w:t>
      </w:r>
    </w:p>
    <w:p w14:paraId="4F1AD459" w14:textId="77777777" w:rsidR="00BC0DB5" w:rsidRPr="00851339" w:rsidRDefault="00BC0DB5" w:rsidP="007F177E">
      <w:pPr>
        <w:pStyle w:val="ListParagraph"/>
        <w:numPr>
          <w:ilvl w:val="0"/>
          <w:numId w:val="257"/>
        </w:numPr>
        <w:spacing w:after="120"/>
        <w:contextualSpacing w:val="0"/>
      </w:pPr>
      <w:bookmarkStart w:id="1614" w:name="_Hlk142646545"/>
      <w:bookmarkEnd w:id="1613"/>
      <w:r w:rsidRPr="00851339">
        <w:t>Amounts directly received by the family as a result of Federal refundable tax credits and Federal tax refunds at the time they are received.</w:t>
      </w:r>
    </w:p>
    <w:p w14:paraId="53514075" w14:textId="77777777" w:rsidR="00BC0DB5" w:rsidRPr="00851339" w:rsidRDefault="00BC0DB5" w:rsidP="007F177E">
      <w:pPr>
        <w:pStyle w:val="ListParagraph"/>
        <w:numPr>
          <w:ilvl w:val="0"/>
          <w:numId w:val="257"/>
        </w:numPr>
        <w:spacing w:after="120"/>
        <w:contextualSpacing w:val="0"/>
      </w:pPr>
      <w:bookmarkStart w:id="1615" w:name="_Hlk142646585"/>
      <w:bookmarkEnd w:id="1614"/>
      <w:r w:rsidRPr="00851339">
        <w:t xml:space="preserve">Gifts for holidays, birthdays, or other significant life events or milestones ( e.g., wedding gifts, baby showers, anniversaries). </w:t>
      </w:r>
    </w:p>
    <w:p w14:paraId="6F22B872" w14:textId="77777777" w:rsidR="00BC0DB5" w:rsidRPr="00851339" w:rsidRDefault="00BC0DB5" w:rsidP="007F177E">
      <w:pPr>
        <w:pStyle w:val="ListParagraph"/>
        <w:numPr>
          <w:ilvl w:val="0"/>
          <w:numId w:val="257"/>
        </w:numPr>
        <w:spacing w:after="120"/>
        <w:contextualSpacing w:val="0"/>
      </w:pPr>
      <w:bookmarkStart w:id="1616" w:name="_Hlk142646600"/>
      <w:bookmarkEnd w:id="1615"/>
      <w:r w:rsidRPr="00851339">
        <w:t>Non-monetary, in-kind donations, such as food, clothing, or toiletries, received from a food bank or similar organization.</w:t>
      </w:r>
    </w:p>
    <w:p w14:paraId="220AD57E" w14:textId="77777777" w:rsidR="00BC0DB5" w:rsidRPr="00851339" w:rsidRDefault="00BC0DB5" w:rsidP="007F177E">
      <w:pPr>
        <w:pStyle w:val="ListParagraph"/>
        <w:numPr>
          <w:ilvl w:val="0"/>
          <w:numId w:val="257"/>
        </w:numPr>
        <w:spacing w:after="120"/>
        <w:contextualSpacing w:val="0"/>
      </w:pPr>
      <w:bookmarkStart w:id="1617" w:name="_Hlk142646613"/>
      <w:bookmarkEnd w:id="1616"/>
      <w:r w:rsidRPr="00851339">
        <w:t>Lump-sum additions to net family assets, including but not limited to lottery or other contest winnings.</w:t>
      </w:r>
    </w:p>
    <w:p w14:paraId="14AD01CB" w14:textId="77777777" w:rsidR="00BC0DB5" w:rsidRPr="00851339" w:rsidRDefault="00BC0DB5" w:rsidP="00CB52D8">
      <w:pPr>
        <w:pStyle w:val="ListParagraph"/>
        <w:numPr>
          <w:ilvl w:val="0"/>
          <w:numId w:val="76"/>
        </w:numPr>
        <w:spacing w:after="120"/>
        <w:contextualSpacing w:val="0"/>
      </w:pPr>
      <w:bookmarkStart w:id="1618" w:name="_Hlk142646630"/>
      <w:bookmarkEnd w:id="1617"/>
      <w:r w:rsidRPr="00851339">
        <w:t>Civil rights settlements or judgments, including settlements or judgments for back pay;</w:t>
      </w:r>
    </w:p>
    <w:p w14:paraId="4C2A7301" w14:textId="77777777" w:rsidR="00BC0DB5" w:rsidRPr="00851339" w:rsidRDefault="00BC0DB5" w:rsidP="00CB52D8">
      <w:pPr>
        <w:pStyle w:val="ListParagraph"/>
        <w:numPr>
          <w:ilvl w:val="0"/>
          <w:numId w:val="76"/>
        </w:numPr>
        <w:spacing w:after="120"/>
        <w:contextualSpacing w:val="0"/>
      </w:pPr>
      <w:bookmarkStart w:id="1619" w:name="_Hlk142646641"/>
      <w:bookmarkEnd w:id="1618"/>
      <w:r w:rsidRPr="00851339">
        <w:t>Income received from any account under a retirement plan recognized as such by the Internal Revenue Service, including individual retirement arrangements (IRAs), employer retirement plans, and retirement plans for self-employed individuals; except that any distribution of periodic payments from such accounts shall be income at the time they are received by the family;</w:t>
      </w:r>
    </w:p>
    <w:bookmarkEnd w:id="1619"/>
    <w:p w14:paraId="138AD84A" w14:textId="77777777" w:rsidR="00BC0DB5" w:rsidRPr="00851339" w:rsidRDefault="00BC0DB5" w:rsidP="00CB52D8">
      <w:pPr>
        <w:pStyle w:val="ListParagraph"/>
        <w:numPr>
          <w:ilvl w:val="0"/>
          <w:numId w:val="76"/>
        </w:numPr>
        <w:spacing w:after="120"/>
        <w:contextualSpacing w:val="0"/>
      </w:pPr>
      <w:r w:rsidRPr="00851339">
        <w:t>Income earned on amounts placed in a family’s Family Self Sufficiency Account;</w:t>
      </w:r>
    </w:p>
    <w:p w14:paraId="50984A13" w14:textId="77777777" w:rsidR="00BC0DB5" w:rsidRPr="00851339" w:rsidRDefault="00BC0DB5" w:rsidP="00CB52D8">
      <w:pPr>
        <w:pStyle w:val="ListParagraph"/>
        <w:numPr>
          <w:ilvl w:val="0"/>
          <w:numId w:val="76"/>
        </w:numPr>
        <w:spacing w:after="120"/>
        <w:contextualSpacing w:val="0"/>
      </w:pPr>
      <w:bookmarkStart w:id="1620" w:name="_Hlk142646698"/>
      <w:r w:rsidRPr="00851339">
        <w:t>Gross income a family member receives through self-employment or operation of a business; except that the following shall be considered income to a family member</w:t>
      </w:r>
      <w:r w:rsidR="00D432AF">
        <w:t xml:space="preserve"> (see </w:t>
      </w:r>
      <w:r w:rsidR="00D432AF" w:rsidRPr="00D432AF">
        <w:rPr>
          <w:b/>
          <w:bCs/>
          <w:color w:val="0070C0"/>
        </w:rPr>
        <w:fldChar w:fldCharType="begin"/>
      </w:r>
      <w:r w:rsidR="00D432AF" w:rsidRPr="00D432AF">
        <w:rPr>
          <w:b/>
          <w:bCs/>
          <w:color w:val="0070C0"/>
        </w:rPr>
        <w:instrText xml:space="preserve"> REF _Ref155185204 \h  \* MERGEFORMAT </w:instrText>
      </w:r>
      <w:r w:rsidR="00D432AF" w:rsidRPr="00D432AF">
        <w:rPr>
          <w:b/>
          <w:bCs/>
          <w:color w:val="0070C0"/>
        </w:rPr>
      </w:r>
      <w:r w:rsidR="00D432AF" w:rsidRPr="00D432AF">
        <w:rPr>
          <w:b/>
          <w:bCs/>
          <w:color w:val="0070C0"/>
        </w:rPr>
        <w:fldChar w:fldCharType="separate"/>
      </w:r>
      <w:r w:rsidR="00D432AF" w:rsidRPr="00D432AF">
        <w:rPr>
          <w:b/>
          <w:bCs/>
          <w:color w:val="0070C0"/>
        </w:rPr>
        <w:t>Self-Employment Income</w:t>
      </w:r>
      <w:r w:rsidR="00D432AF" w:rsidRPr="00D432AF">
        <w:rPr>
          <w:b/>
          <w:bCs/>
          <w:color w:val="0070C0"/>
        </w:rPr>
        <w:fldChar w:fldCharType="end"/>
      </w:r>
      <w:r w:rsidR="00D432AF">
        <w:t>)</w:t>
      </w:r>
      <w:r w:rsidRPr="00851339">
        <w:t>:</w:t>
      </w:r>
      <w:r w:rsidR="00EA21AE">
        <w:t xml:space="preserve"> </w:t>
      </w:r>
    </w:p>
    <w:p w14:paraId="7D5EA7C5" w14:textId="77777777" w:rsidR="00BC0DB5" w:rsidRPr="00851339" w:rsidRDefault="00BC0DB5" w:rsidP="007F177E">
      <w:pPr>
        <w:pStyle w:val="ListParagraph"/>
        <w:numPr>
          <w:ilvl w:val="0"/>
          <w:numId w:val="258"/>
        </w:numPr>
        <w:spacing w:after="120"/>
        <w:contextualSpacing w:val="0"/>
      </w:pPr>
      <w:bookmarkStart w:id="1621" w:name="_Hlk142646716"/>
      <w:bookmarkEnd w:id="1620"/>
      <w:r w:rsidRPr="00851339">
        <w:t>Net income from the operation of a business or profession. Expenditures for business expansion or amortization of capital indebtedness shall not be used as deductions in determining net income. An allowance for depreciation of assets used in a business or profession may be deducted, based on straight line depreciation, as provided in Internal Revenue Service regulations; and</w:t>
      </w:r>
    </w:p>
    <w:p w14:paraId="33572DD9" w14:textId="77777777" w:rsidR="00BC0DB5" w:rsidRDefault="00BC0DB5" w:rsidP="007F177E">
      <w:pPr>
        <w:pStyle w:val="ListParagraph"/>
        <w:numPr>
          <w:ilvl w:val="0"/>
          <w:numId w:val="258"/>
        </w:numPr>
        <w:spacing w:after="120"/>
        <w:contextualSpacing w:val="0"/>
      </w:pPr>
      <w:bookmarkStart w:id="1622" w:name="_Hlk142646729"/>
      <w:bookmarkEnd w:id="1621"/>
      <w:r w:rsidRPr="00851339">
        <w:t>Any withdrawal of cash or assets from the operation of a business or profession will be included in income, except to the extent the withdrawal is reimbursement of cash or assets invested in the operation by the family.</w:t>
      </w:r>
    </w:p>
    <w:p w14:paraId="3286AC48" w14:textId="77777777" w:rsidR="00BC0DB5" w:rsidRDefault="00BC0DB5" w:rsidP="00677451">
      <w:pPr>
        <w:pStyle w:val="Heading3"/>
      </w:pPr>
      <w:bookmarkStart w:id="1623" w:name="_Excluded_Income_–"/>
      <w:bookmarkStart w:id="1624" w:name="_Ref148682998"/>
      <w:bookmarkStart w:id="1625" w:name="_Toc200375679"/>
      <w:bookmarkEnd w:id="1623"/>
      <w:r>
        <w:t>Excluded Income – MTW Policy</w:t>
      </w:r>
      <w:bookmarkEnd w:id="1624"/>
      <w:bookmarkEnd w:id="1625"/>
    </w:p>
    <w:p w14:paraId="738C26D0" w14:textId="77777777" w:rsidR="00BC0DB5" w:rsidRDefault="00BC0DB5" w:rsidP="00BC0DB5">
      <w:pPr>
        <w:pStyle w:val="MTWBox"/>
      </w:pPr>
      <w:r w:rsidRPr="009C5DDB">
        <w:t xml:space="preserve">MTW </w:t>
      </w:r>
      <w:r>
        <w:t>Policy</w:t>
      </w:r>
    </w:p>
    <w:p w14:paraId="62B9DF8A" w14:textId="77777777" w:rsidR="00BC0DB5" w:rsidRPr="008E4378" w:rsidRDefault="00BC0DB5" w:rsidP="00BC0DB5">
      <w:pPr>
        <w:pStyle w:val="MTWBox"/>
        <w:rPr>
          <w:b w:val="0"/>
          <w:bCs/>
          <w:i w:val="0"/>
          <w:iCs w:val="0"/>
        </w:rPr>
      </w:pPr>
      <w:r w:rsidRPr="00DC5606">
        <w:rPr>
          <w:i w:val="0"/>
          <w:iCs w:val="0"/>
        </w:rPr>
        <w:t>MTW Waiver</w:t>
      </w:r>
      <w:r w:rsidR="008E4378" w:rsidRPr="00DC5606">
        <w:rPr>
          <w:b w:val="0"/>
          <w:bCs/>
          <w:i w:val="0"/>
          <w:iCs w:val="0"/>
        </w:rPr>
        <w:t>:</w:t>
      </w:r>
      <w:r w:rsidR="008E4378">
        <w:rPr>
          <w:b w:val="0"/>
          <w:bCs/>
          <w:i w:val="0"/>
          <w:iCs w:val="0"/>
        </w:rPr>
        <w:t xml:space="preserve"> </w:t>
      </w:r>
      <w:r w:rsidR="008E4378" w:rsidRPr="008E4378">
        <w:rPr>
          <w:b w:val="0"/>
          <w:bCs/>
          <w:i w:val="0"/>
          <w:iCs w:val="0"/>
        </w:rPr>
        <w:t>1.</w:t>
      </w:r>
      <w:r w:rsidR="008E4378">
        <w:rPr>
          <w:b w:val="0"/>
          <w:bCs/>
          <w:i w:val="0"/>
          <w:iCs w:val="0"/>
        </w:rPr>
        <w:t>v</w:t>
      </w:r>
      <w:r w:rsidR="008E4378" w:rsidRPr="008E4378">
        <w:rPr>
          <w:b w:val="0"/>
          <w:bCs/>
          <w:i w:val="0"/>
          <w:iCs w:val="0"/>
        </w:rPr>
        <w:t>. - Alternative Income Inclusions/Exclusions</w:t>
      </w:r>
    </w:p>
    <w:p w14:paraId="0FC19338" w14:textId="77777777" w:rsidR="00BC0DB5" w:rsidRPr="00C1657B" w:rsidRDefault="00BC0DB5" w:rsidP="00BC0DB5">
      <w:pPr>
        <w:pStyle w:val="MTWBox"/>
        <w:rPr>
          <w:b w:val="0"/>
          <w:bCs/>
          <w:i w:val="0"/>
          <w:iCs w:val="0"/>
        </w:rPr>
      </w:pPr>
      <w:r w:rsidRPr="00C1657B">
        <w:rPr>
          <w:i w:val="0"/>
          <w:iCs w:val="0"/>
        </w:rPr>
        <w:t>Approval Date</w:t>
      </w:r>
      <w:r w:rsidRPr="00C1657B">
        <w:rPr>
          <w:b w:val="0"/>
          <w:bCs/>
          <w:i w:val="0"/>
          <w:iCs w:val="0"/>
        </w:rPr>
        <w:t xml:space="preserve">: </w:t>
      </w:r>
      <w:r w:rsidR="008E4378">
        <w:rPr>
          <w:b w:val="0"/>
          <w:bCs/>
          <w:i w:val="0"/>
          <w:iCs w:val="0"/>
        </w:rPr>
        <w:t>FY 2022</w:t>
      </w:r>
    </w:p>
    <w:p w14:paraId="103975E8" w14:textId="77777777" w:rsidR="00BC0DB5" w:rsidRPr="00C1657B" w:rsidRDefault="00BC0DB5" w:rsidP="00BC0DB5">
      <w:pPr>
        <w:pStyle w:val="MTWBox"/>
        <w:rPr>
          <w:b w:val="0"/>
          <w:bCs/>
          <w:i w:val="0"/>
          <w:iCs w:val="0"/>
        </w:rPr>
      </w:pPr>
      <w:r w:rsidRPr="00C1657B">
        <w:rPr>
          <w:i w:val="0"/>
          <w:iCs w:val="0"/>
        </w:rPr>
        <w:t>Applicable to</w:t>
      </w:r>
      <w:r w:rsidRPr="00C1657B">
        <w:rPr>
          <w:b w:val="0"/>
          <w:bCs/>
          <w:i w:val="0"/>
          <w:iCs w:val="0"/>
        </w:rPr>
        <w:t xml:space="preserve">: All </w:t>
      </w:r>
      <w:r w:rsidR="007B2766">
        <w:rPr>
          <w:b w:val="0"/>
          <w:bCs/>
          <w:i w:val="0"/>
          <w:iCs w:val="0"/>
        </w:rPr>
        <w:t>groups</w:t>
      </w:r>
    </w:p>
    <w:p w14:paraId="076CFF5B" w14:textId="77777777" w:rsidR="00BC0DB5" w:rsidRPr="00C1657B" w:rsidRDefault="00BC0DB5" w:rsidP="00BC0DB5">
      <w:pPr>
        <w:pStyle w:val="MTWBox"/>
        <w:rPr>
          <w:b w:val="0"/>
          <w:bCs/>
          <w:i w:val="0"/>
          <w:iCs w:val="0"/>
        </w:rPr>
      </w:pPr>
      <w:r w:rsidRPr="00C1657B">
        <w:rPr>
          <w:i w:val="0"/>
          <w:iCs w:val="0"/>
        </w:rPr>
        <w:t>Description</w:t>
      </w:r>
      <w:r w:rsidRPr="00C1657B">
        <w:rPr>
          <w:b w:val="0"/>
          <w:bCs/>
          <w:i w:val="0"/>
          <w:iCs w:val="0"/>
        </w:rPr>
        <w:t xml:space="preserve">: </w:t>
      </w:r>
    </w:p>
    <w:p w14:paraId="7B8CF0C4" w14:textId="77777777" w:rsidR="00BC0DB5" w:rsidRPr="00941265" w:rsidRDefault="00BC0DB5" w:rsidP="00BC0DB5">
      <w:pPr>
        <w:pStyle w:val="MTWBox"/>
        <w:rPr>
          <w:b w:val="0"/>
          <w:bCs/>
          <w:i w:val="0"/>
          <w:iCs w:val="0"/>
        </w:rPr>
      </w:pPr>
      <w:r>
        <w:rPr>
          <w:b w:val="0"/>
          <w:bCs/>
          <w:i w:val="0"/>
          <w:iCs w:val="0"/>
        </w:rPr>
        <w:t xml:space="preserve">Full-Time Student Income: </w:t>
      </w:r>
      <w:r w:rsidRPr="00941265">
        <w:rPr>
          <w:b w:val="0"/>
          <w:bCs/>
          <w:i w:val="0"/>
          <w:iCs w:val="0"/>
        </w:rPr>
        <w:t>HHA will exclude all adult, full-time student earned income, excluding the head of household, co-head or spouse. HHA will not verify adult full-time student earned income as 100% of the earned income is excluded.</w:t>
      </w:r>
    </w:p>
    <w:p w14:paraId="68FD7D92" w14:textId="77777777" w:rsidR="00BC0DB5" w:rsidRPr="006533C3" w:rsidRDefault="00BC0DB5" w:rsidP="00BC0DB5">
      <w:pPr>
        <w:pStyle w:val="MTWBox"/>
        <w:rPr>
          <w:b w:val="0"/>
          <w:bCs/>
          <w:i w:val="0"/>
          <w:iCs w:val="0"/>
        </w:rPr>
      </w:pPr>
      <w:r>
        <w:rPr>
          <w:b w:val="0"/>
          <w:bCs/>
          <w:i w:val="0"/>
          <w:iCs w:val="0"/>
        </w:rPr>
        <w:t xml:space="preserve">Adoption Assistance Payments: </w:t>
      </w:r>
      <w:r w:rsidRPr="00941265">
        <w:rPr>
          <w:b w:val="0"/>
          <w:bCs/>
          <w:i w:val="0"/>
          <w:iCs w:val="0"/>
        </w:rPr>
        <w:t>HHA will exclude all adoption assistance payments. HHA will not verify adoption assistance payments as 100% of the income is excluded.</w:t>
      </w:r>
    </w:p>
    <w:p w14:paraId="5FC7394E" w14:textId="77777777" w:rsidR="00BC0DB5" w:rsidRPr="00B12451" w:rsidRDefault="00BC0DB5" w:rsidP="00BB64BD">
      <w:pPr>
        <w:pStyle w:val="Heading2"/>
      </w:pPr>
      <w:bookmarkStart w:id="1626" w:name="_Toc521054873"/>
      <w:bookmarkStart w:id="1627" w:name="_Toc527019395"/>
      <w:bookmarkStart w:id="1628" w:name="_Toc534706930"/>
      <w:bookmarkStart w:id="1629" w:name="_Toc534707608"/>
      <w:bookmarkStart w:id="1630" w:name="_Toc534708416"/>
      <w:bookmarkStart w:id="1631" w:name="_Toc118115998"/>
      <w:bookmarkStart w:id="1632" w:name="_Ref162869156"/>
      <w:bookmarkStart w:id="1633" w:name="_Ref165032316"/>
      <w:bookmarkStart w:id="1634" w:name="_Ref165032322"/>
      <w:bookmarkStart w:id="1635" w:name="_Toc173222708"/>
      <w:bookmarkStart w:id="1636" w:name="_Toc200375680"/>
      <w:bookmarkStart w:id="1637" w:name="_Toc200376974"/>
      <w:bookmarkEnd w:id="1622"/>
      <w:r w:rsidRPr="00B12451">
        <w:t>Anticipating Annual Income</w:t>
      </w:r>
      <w:bookmarkEnd w:id="1626"/>
      <w:bookmarkEnd w:id="1627"/>
      <w:bookmarkEnd w:id="1628"/>
      <w:bookmarkEnd w:id="1629"/>
      <w:bookmarkEnd w:id="1630"/>
      <w:bookmarkEnd w:id="1631"/>
      <w:bookmarkEnd w:id="1632"/>
      <w:bookmarkEnd w:id="1633"/>
      <w:bookmarkEnd w:id="1634"/>
      <w:bookmarkEnd w:id="1635"/>
      <w:bookmarkEnd w:id="1636"/>
      <w:bookmarkEnd w:id="1637"/>
    </w:p>
    <w:p w14:paraId="78EE5B6B" w14:textId="3DBDCD80" w:rsidR="0035244F" w:rsidRPr="00B12451" w:rsidRDefault="00CB5752" w:rsidP="00677451">
      <w:pPr>
        <w:pStyle w:val="Heading3"/>
      </w:pPr>
      <w:bookmarkStart w:id="1638" w:name="_Toc200375681"/>
      <w:bookmarkStart w:id="1639" w:name="_Hlk156807981"/>
      <w:r>
        <w:t xml:space="preserve">Income at </w:t>
      </w:r>
      <w:r w:rsidR="00B12451" w:rsidRPr="00B12451">
        <w:t>Admission</w:t>
      </w:r>
      <w:r w:rsidR="002C3F6B">
        <w:t xml:space="preserve"> and Interims</w:t>
      </w:r>
      <w:bookmarkEnd w:id="1638"/>
    </w:p>
    <w:p w14:paraId="6B362243" w14:textId="6F5C6097" w:rsidR="009F5030" w:rsidRDefault="00B12451" w:rsidP="00BC0DB5">
      <w:r w:rsidRPr="00B12451">
        <w:t>At admission</w:t>
      </w:r>
      <w:r w:rsidR="001642D5">
        <w:t xml:space="preserve"> and for </w:t>
      </w:r>
      <w:r w:rsidR="00DC5606" w:rsidRPr="00DC5606">
        <w:rPr>
          <w:b/>
          <w:bCs/>
          <w:color w:val="0070C0"/>
        </w:rPr>
        <w:fldChar w:fldCharType="begin"/>
      </w:r>
      <w:r w:rsidR="00DC5606" w:rsidRPr="00DC5606">
        <w:rPr>
          <w:b/>
          <w:bCs/>
          <w:color w:val="0070C0"/>
        </w:rPr>
        <w:instrText xml:space="preserve"> REF _Ref160607547 \h  \* MERGEFORMAT </w:instrText>
      </w:r>
      <w:r w:rsidR="00DC5606" w:rsidRPr="00DC5606">
        <w:rPr>
          <w:b/>
          <w:bCs/>
          <w:color w:val="0070C0"/>
        </w:rPr>
      </w:r>
      <w:r w:rsidR="00DC5606" w:rsidRPr="00DC5606">
        <w:rPr>
          <w:b/>
          <w:bCs/>
          <w:color w:val="0070C0"/>
        </w:rPr>
        <w:fldChar w:fldCharType="separate"/>
      </w:r>
      <w:r w:rsidR="00DC5606" w:rsidRPr="00DC5606">
        <w:rPr>
          <w:b/>
          <w:bCs/>
          <w:color w:val="0070C0"/>
        </w:rPr>
        <w:t>Interim Reexaminations</w:t>
      </w:r>
      <w:r w:rsidR="00DC5606" w:rsidRPr="00DC5606">
        <w:rPr>
          <w:b/>
          <w:bCs/>
          <w:color w:val="0070C0"/>
        </w:rPr>
        <w:fldChar w:fldCharType="end"/>
      </w:r>
      <w:r w:rsidRPr="00B12451">
        <w:t>,</w:t>
      </w:r>
      <w:r w:rsidR="0035244F" w:rsidRPr="00B12451">
        <w:t xml:space="preserve"> </w:t>
      </w:r>
      <w:r w:rsidR="00BC0DB5" w:rsidRPr="00B12451">
        <w:t xml:space="preserve">HHA will </w:t>
      </w:r>
      <w:r w:rsidR="00AD7E50">
        <w:t>use</w:t>
      </w:r>
      <w:r w:rsidR="00BC0DB5" w:rsidRPr="00B12451">
        <w:t xml:space="preserve"> anticipated annual income</w:t>
      </w:r>
      <w:r w:rsidR="00BB5355">
        <w:t xml:space="preserve"> (current</w:t>
      </w:r>
      <w:r w:rsidR="002235B4">
        <w:t>/prospective</w:t>
      </w:r>
      <w:r w:rsidR="00BB5355">
        <w:t xml:space="preserve"> income)</w:t>
      </w:r>
      <w:r w:rsidR="00BC0DB5" w:rsidRPr="00B12451">
        <w:t xml:space="preserve"> </w:t>
      </w:r>
      <w:r w:rsidR="00AD7E50">
        <w:t>for the upcoming</w:t>
      </w:r>
      <w:r w:rsidR="00BC0DB5" w:rsidRPr="00B12451">
        <w:t xml:space="preserve"> 12-month period following the family’s admission</w:t>
      </w:r>
      <w:r w:rsidR="00AD7E50">
        <w:t xml:space="preserve"> or interim recertification effective date</w:t>
      </w:r>
      <w:r w:rsidR="00BC0DB5" w:rsidRPr="00B12451">
        <w:t xml:space="preserve">. </w:t>
      </w:r>
    </w:p>
    <w:p w14:paraId="16CD5110" w14:textId="77777777" w:rsidR="00BC0DB5" w:rsidRPr="00765546" w:rsidRDefault="006E5CBC" w:rsidP="00BC0DB5">
      <w:r>
        <w:t xml:space="preserve">When HHA cannot readily anticipate income based upon current circumstances, HHA </w:t>
      </w:r>
      <w:r w:rsidR="00757442" w:rsidRPr="00390216">
        <w:t>will review and analyze historical data for patterns of employment, paid benefits, and receipt of other income and use the results of this analysis to establish annual income</w:t>
      </w:r>
      <w:r w:rsidR="0077569D">
        <w:t>.</w:t>
      </w:r>
      <w:r w:rsidR="00235026">
        <w:t xml:space="preserve"> </w:t>
      </w:r>
      <w:r w:rsidR="00D17E53">
        <w:t xml:space="preserve">A clear rationale for this determination will be documented in the file. </w:t>
      </w:r>
      <w:r w:rsidR="009F5030">
        <w:t xml:space="preserve">However, the family </w:t>
      </w:r>
      <w:r w:rsidR="00892002">
        <w:t>may provide verification documenting why the historic pattern does not represent the family’s anticipated income</w:t>
      </w:r>
      <w:r w:rsidR="00D17E53">
        <w:t>.</w:t>
      </w:r>
    </w:p>
    <w:p w14:paraId="5DAB9BDE" w14:textId="77777777" w:rsidR="000D6D2C" w:rsidRDefault="000D6D2C" w:rsidP="000D6D2C">
      <w:pPr>
        <w:pStyle w:val="Heading4"/>
      </w:pPr>
      <w:r>
        <w:t>Known Changes in Income</w:t>
      </w:r>
    </w:p>
    <w:p w14:paraId="1B877150" w14:textId="77777777" w:rsidR="00BC0DB5" w:rsidRDefault="00EC6C09" w:rsidP="00BC0DB5">
      <w:r>
        <w:t>If</w:t>
      </w:r>
      <w:r w:rsidR="005B1849">
        <w:t xml:space="preserve"> </w:t>
      </w:r>
      <w:r w:rsidR="00BC0DB5">
        <w:t>HHA</w:t>
      </w:r>
      <w:r w:rsidR="00BC0DB5" w:rsidRPr="00765546">
        <w:t xml:space="preserve"> verifies an </w:t>
      </w:r>
      <w:r>
        <w:t xml:space="preserve">upcoming </w:t>
      </w:r>
      <w:r w:rsidR="00BC0DB5" w:rsidRPr="00765546">
        <w:t xml:space="preserve">increase or decrease in income, annual income will be calculated by applying each income amount to the appropriate part of the 12-month period. </w:t>
      </w:r>
    </w:p>
    <w:p w14:paraId="3612BF7D" w14:textId="77777777" w:rsidR="00282FED" w:rsidRDefault="00282FED" w:rsidP="00BC0DB5">
      <w:r w:rsidRPr="00844679">
        <w:t>The family may present information that demonstrates that implementing a change before its effective date would create a hardship for the family. In such cases</w:t>
      </w:r>
      <w:r w:rsidR="00BA3B2D">
        <w:t>,</w:t>
      </w:r>
      <w:r w:rsidRPr="00844679">
        <w:t xml:space="preserve"> </w:t>
      </w:r>
      <w:r>
        <w:t>HHA</w:t>
      </w:r>
      <w:r w:rsidRPr="00844679">
        <w:t xml:space="preserve"> will calculate annual income using current circumstances and then, should the change in income require </w:t>
      </w:r>
      <w:r>
        <w:t>HHA</w:t>
      </w:r>
      <w:r w:rsidRPr="00844679">
        <w:t xml:space="preserve"> to conduct an interim reexamination, conduct an interim reexamination in accordance with </w:t>
      </w:r>
      <w:r>
        <w:t>H</w:t>
      </w:r>
      <w:r w:rsidRPr="00844679">
        <w:t>HA policy</w:t>
      </w:r>
      <w:r>
        <w:t>.</w:t>
      </w:r>
    </w:p>
    <w:p w14:paraId="0848E572" w14:textId="2157FEC2" w:rsidR="00F824D8" w:rsidRDefault="00CB5752" w:rsidP="00677451">
      <w:pPr>
        <w:pStyle w:val="Heading3"/>
      </w:pPr>
      <w:bookmarkStart w:id="1640" w:name="_Ref155182968"/>
      <w:bookmarkStart w:id="1641" w:name="_Ref165034848"/>
      <w:bookmarkStart w:id="1642" w:name="_Toc200375682"/>
      <w:r>
        <w:t xml:space="preserve">Income at </w:t>
      </w:r>
      <w:r w:rsidR="000E107E">
        <w:t>Regular Recertifications</w:t>
      </w:r>
      <w:bookmarkEnd w:id="1640"/>
      <w:bookmarkEnd w:id="1641"/>
      <w:bookmarkEnd w:id="1642"/>
    </w:p>
    <w:p w14:paraId="6F970161" w14:textId="77777777" w:rsidR="00E06916" w:rsidRDefault="00846315" w:rsidP="00846315">
      <w:pPr>
        <w:pStyle w:val="Heading4"/>
      </w:pPr>
      <w:r>
        <w:t>Control and Excluded Groups</w:t>
      </w:r>
    </w:p>
    <w:p w14:paraId="6B593E0E" w14:textId="77777777" w:rsidR="00746BBB" w:rsidRPr="00C4049D" w:rsidRDefault="00746BBB" w:rsidP="00746BBB">
      <w:pPr>
        <w:pStyle w:val="ListParagraph"/>
        <w:numPr>
          <w:ilvl w:val="0"/>
          <w:numId w:val="301"/>
        </w:numPr>
        <w:contextualSpacing w:val="0"/>
        <w:rPr>
          <w:b/>
          <w:bCs/>
        </w:rPr>
      </w:pPr>
      <w:r w:rsidRPr="00C4049D">
        <w:rPr>
          <w:b/>
          <w:bCs/>
        </w:rPr>
        <w:t>Prior to implementation of HOTMA:</w:t>
      </w:r>
    </w:p>
    <w:p w14:paraId="59AE96E5" w14:textId="4BDE3984" w:rsidR="00746BBB" w:rsidRDefault="00135355" w:rsidP="00746BBB">
      <w:pPr>
        <w:pStyle w:val="ListParagraph"/>
        <w:numPr>
          <w:ilvl w:val="1"/>
          <w:numId w:val="301"/>
        </w:numPr>
        <w:contextualSpacing w:val="0"/>
      </w:pPr>
      <w:r>
        <w:rPr>
          <w:b/>
          <w:bCs/>
        </w:rPr>
        <w:t xml:space="preserve">Prospective Income: </w:t>
      </w:r>
      <w:r w:rsidR="00746BBB">
        <w:t>HHA will generally determine annual income based on current/anticipated</w:t>
      </w:r>
      <w:r w:rsidR="00105C12">
        <w:t xml:space="preserve"> (</w:t>
      </w:r>
      <w:r w:rsidR="00105C12">
        <w:rPr>
          <w:i/>
          <w:iCs/>
        </w:rPr>
        <w:t>prospective</w:t>
      </w:r>
      <w:r w:rsidR="0046415C">
        <w:t>)</w:t>
      </w:r>
      <w:r w:rsidR="00746BBB">
        <w:t xml:space="preserve"> income. Generally, anticipated income is calculated by annualizing the income within the last two months of the retrospective period.</w:t>
      </w:r>
    </w:p>
    <w:p w14:paraId="19DFBA1E" w14:textId="77777777" w:rsidR="00746BBB" w:rsidRPr="00C4049D" w:rsidRDefault="00746BBB" w:rsidP="00746BBB">
      <w:pPr>
        <w:pStyle w:val="ListParagraph"/>
        <w:numPr>
          <w:ilvl w:val="0"/>
          <w:numId w:val="301"/>
        </w:numPr>
        <w:contextualSpacing w:val="0"/>
        <w:rPr>
          <w:b/>
          <w:bCs/>
        </w:rPr>
      </w:pPr>
      <w:r w:rsidRPr="00C4049D">
        <w:rPr>
          <w:b/>
          <w:bCs/>
        </w:rPr>
        <w:t xml:space="preserve">Upon implementation of HOTMA: </w:t>
      </w:r>
    </w:p>
    <w:p w14:paraId="36F3CC18" w14:textId="77777777" w:rsidR="00746BBB" w:rsidRPr="00C4049D" w:rsidRDefault="00746BBB" w:rsidP="00746BBB">
      <w:pPr>
        <w:pBdr>
          <w:top w:val="single" w:sz="4" w:space="1" w:color="auto"/>
          <w:left w:val="single" w:sz="4" w:space="4" w:color="auto"/>
          <w:bottom w:val="single" w:sz="4" w:space="1" w:color="auto"/>
          <w:right w:val="single" w:sz="4" w:space="4" w:color="auto"/>
        </w:pBdr>
        <w:ind w:left="360"/>
        <w:rPr>
          <w:b/>
          <w:bCs/>
          <w:i/>
          <w:iCs/>
        </w:rPr>
      </w:pPr>
      <w:r w:rsidRPr="00C4049D">
        <w:rPr>
          <w:b/>
          <w:bCs/>
          <w:i/>
          <w:iCs/>
        </w:rPr>
        <w:t>Note: the following two bullet points are only applicable upon implementation of the HOTMA Final Rule (Sections 102 and 104). Prior to implementation, the following does not apply.</w:t>
      </w:r>
    </w:p>
    <w:p w14:paraId="0BDD9D72" w14:textId="7D506893" w:rsidR="008F6E93" w:rsidRDefault="00135355" w:rsidP="008F6E93">
      <w:pPr>
        <w:pStyle w:val="ListParagraph"/>
        <w:numPr>
          <w:ilvl w:val="0"/>
          <w:numId w:val="302"/>
        </w:numPr>
        <w:contextualSpacing w:val="0"/>
      </w:pPr>
      <w:r>
        <w:rPr>
          <w:b/>
          <w:bCs/>
        </w:rPr>
        <w:t xml:space="preserve">Retrospective Income: </w:t>
      </w:r>
      <w:r w:rsidR="00AD13FE">
        <w:t>Upon implementation of HOTMA, at each regular recertification for families in the Control and Excluded Groups, HHA will determine the family’s income for the previous 12-month period and use this amount as the family income</w:t>
      </w:r>
      <w:r w:rsidR="00643C92">
        <w:t>; however, adjustments to reflect current income must be made.</w:t>
      </w:r>
      <w:r w:rsidR="00871E96">
        <w:t xml:space="preserve"> </w:t>
      </w:r>
    </w:p>
    <w:p w14:paraId="0F1CE492" w14:textId="3B88D845" w:rsidR="00871E96" w:rsidRPr="00C2040D" w:rsidRDefault="00871E96" w:rsidP="00682E9E">
      <w:pPr>
        <w:pStyle w:val="ListParagraph"/>
        <w:numPr>
          <w:ilvl w:val="0"/>
          <w:numId w:val="302"/>
        </w:numPr>
        <w:contextualSpacing w:val="0"/>
      </w:pPr>
      <w:r>
        <w:t xml:space="preserve">Any change of income since the family’s last </w:t>
      </w:r>
      <w:r w:rsidR="00F71E94">
        <w:t>regular</w:t>
      </w:r>
      <w:r>
        <w:t xml:space="preserve"> reexamination, including those that did not meet the threshold to process an interim reexamination of family income in accordance with HHA policies and HUD regulations, will be considered. If, however, there have been no changes to income, then the amount of income calculated for the previous 12-month period is the amount that will be used to determine </w:t>
      </w:r>
      <w:r w:rsidRPr="00F4424D">
        <w:t xml:space="preserve">the family’s rent. See </w:t>
      </w:r>
      <w:r w:rsidRPr="008F6E93">
        <w:rPr>
          <w:b/>
          <w:bCs/>
          <w:color w:val="0070C0"/>
        </w:rPr>
        <w:fldChar w:fldCharType="begin"/>
      </w:r>
      <w:r w:rsidRPr="008F6E93">
        <w:rPr>
          <w:b/>
          <w:bCs/>
          <w:color w:val="0070C0"/>
        </w:rPr>
        <w:instrText xml:space="preserve"> REF _Ref151015710 \h  \* MERGEFORMAT </w:instrText>
      </w:r>
      <w:r w:rsidRPr="008F6E93">
        <w:rPr>
          <w:b/>
          <w:bCs/>
          <w:color w:val="0070C0"/>
        </w:rPr>
      </w:r>
      <w:r w:rsidRPr="008F6E93">
        <w:rPr>
          <w:b/>
          <w:bCs/>
          <w:color w:val="0070C0"/>
        </w:rPr>
        <w:fldChar w:fldCharType="separate"/>
      </w:r>
      <w:r w:rsidRPr="008F6E93">
        <w:rPr>
          <w:b/>
          <w:bCs/>
          <w:color w:val="0070C0"/>
        </w:rPr>
        <w:t>REEXAMINATIONS AND CONTINUED OCCUPANCY</w:t>
      </w:r>
      <w:r w:rsidRPr="008F6E93">
        <w:rPr>
          <w:b/>
          <w:bCs/>
          <w:color w:val="0070C0"/>
        </w:rPr>
        <w:fldChar w:fldCharType="end"/>
      </w:r>
      <w:r w:rsidRPr="00F4424D">
        <w:t>.</w:t>
      </w:r>
    </w:p>
    <w:p w14:paraId="6279721B" w14:textId="77777777" w:rsidR="00E06916" w:rsidRPr="00E06916" w:rsidRDefault="00E06916" w:rsidP="00846315">
      <w:pPr>
        <w:pStyle w:val="Heading4"/>
      </w:pPr>
      <w:r>
        <w:t>Treatment Group</w:t>
      </w:r>
    </w:p>
    <w:tbl>
      <w:tblPr>
        <w:tblStyle w:val="TableGrid"/>
        <w:tblW w:w="0" w:type="auto"/>
        <w:tblInd w:w="625" w:type="dxa"/>
        <w:tblLook w:val="04A0" w:firstRow="1" w:lastRow="0" w:firstColumn="1" w:lastColumn="0" w:noHBand="0" w:noVBand="1"/>
      </w:tblPr>
      <w:tblGrid>
        <w:gridCol w:w="8100"/>
      </w:tblGrid>
      <w:tr w:rsidR="00AA0A23" w14:paraId="21C65576" w14:textId="77777777" w:rsidTr="00AA0A23">
        <w:tc>
          <w:tcPr>
            <w:tcW w:w="8100" w:type="dxa"/>
          </w:tcPr>
          <w:p w14:paraId="681B5112" w14:textId="77777777" w:rsidR="00AA0A23" w:rsidRDefault="00B702C6" w:rsidP="00B702C6">
            <w:pPr>
              <w:spacing w:after="160" w:line="259" w:lineRule="auto"/>
              <w:rPr>
                <w:b/>
                <w:bCs/>
              </w:rPr>
            </w:pPr>
            <w:r>
              <w:rPr>
                <w:b/>
                <w:bCs/>
                <w:i/>
                <w:iCs/>
              </w:rPr>
              <w:t>MTW Policy</w:t>
            </w:r>
          </w:p>
          <w:p w14:paraId="7B020284" w14:textId="77777777" w:rsidR="00B702C6" w:rsidRDefault="00B702C6" w:rsidP="00B702C6">
            <w:pPr>
              <w:spacing w:after="160" w:line="259" w:lineRule="auto"/>
            </w:pPr>
            <w:r>
              <w:rPr>
                <w:b/>
                <w:bCs/>
              </w:rPr>
              <w:t>MTW Waiver:</w:t>
            </w:r>
            <w:r>
              <w:t xml:space="preserve"> </w:t>
            </w:r>
            <w:r w:rsidR="00585D48">
              <w:t xml:space="preserve">1.a. – </w:t>
            </w:r>
            <w:r w:rsidRPr="00585D48">
              <w:t>Tiered Rent (PH)</w:t>
            </w:r>
          </w:p>
          <w:p w14:paraId="17278023" w14:textId="77777777" w:rsidR="00B702C6" w:rsidRPr="00B702C6" w:rsidRDefault="00B702C6" w:rsidP="00B702C6">
            <w:pPr>
              <w:spacing w:after="160" w:line="259" w:lineRule="auto"/>
            </w:pPr>
            <w:r>
              <w:rPr>
                <w:b/>
                <w:bCs/>
              </w:rPr>
              <w:t>Approval Date:</w:t>
            </w:r>
            <w:r>
              <w:t xml:space="preserve"> </w:t>
            </w:r>
            <w:r w:rsidRPr="007A68B0">
              <w:t>FY 2022</w:t>
            </w:r>
          </w:p>
          <w:p w14:paraId="616B6DB1" w14:textId="77777777" w:rsidR="00B702C6" w:rsidRDefault="00B702C6" w:rsidP="00B702C6">
            <w:pPr>
              <w:spacing w:after="160" w:line="259" w:lineRule="auto"/>
            </w:pPr>
            <w:r>
              <w:rPr>
                <w:b/>
                <w:bCs/>
              </w:rPr>
              <w:t xml:space="preserve">Applicable to: </w:t>
            </w:r>
            <w:r w:rsidR="00585D48" w:rsidRPr="00585D48">
              <w:t xml:space="preserve">MTW </w:t>
            </w:r>
            <w:r>
              <w:t>Treatment Group</w:t>
            </w:r>
          </w:p>
          <w:p w14:paraId="715C1B3B" w14:textId="77777777" w:rsidR="00B702C6" w:rsidRPr="00B702C6" w:rsidRDefault="00B702C6" w:rsidP="00B702C6">
            <w:pPr>
              <w:spacing w:after="160" w:line="259" w:lineRule="auto"/>
            </w:pPr>
            <w:r>
              <w:rPr>
                <w:b/>
                <w:bCs/>
              </w:rPr>
              <w:t xml:space="preserve">Description: </w:t>
            </w:r>
            <w:r>
              <w:t>At recertification, gross income is determined retrospectively:</w:t>
            </w:r>
          </w:p>
          <w:p w14:paraId="758D90E7" w14:textId="77777777" w:rsidR="00AA0A23" w:rsidRDefault="00AA0A23" w:rsidP="007F177E">
            <w:pPr>
              <w:pStyle w:val="ListParagraph"/>
              <w:numPr>
                <w:ilvl w:val="0"/>
                <w:numId w:val="151"/>
              </w:numPr>
              <w:contextualSpacing w:val="0"/>
              <w:jc w:val="left"/>
            </w:pPr>
            <w:r>
              <w:t xml:space="preserve">The retrospective period is </w:t>
            </w:r>
            <w:r w:rsidR="00726222">
              <w:t xml:space="preserve">the </w:t>
            </w:r>
            <w:r>
              <w:t xml:space="preserve">12-month period ending 120 days before the recertification effective date. </w:t>
            </w:r>
          </w:p>
          <w:p w14:paraId="52FCF277" w14:textId="77777777" w:rsidR="00AA0A23" w:rsidRDefault="00AA0A23" w:rsidP="007F177E">
            <w:pPr>
              <w:pStyle w:val="ListParagraph"/>
              <w:numPr>
                <w:ilvl w:val="0"/>
                <w:numId w:val="151"/>
              </w:numPr>
              <w:contextualSpacing w:val="0"/>
              <w:jc w:val="left"/>
            </w:pPr>
            <w:r>
              <w:t>The retrospective period for recertifying households applies to the first recertification following study enrollment and for each subsequent triennial recertification.</w:t>
            </w:r>
          </w:p>
          <w:p w14:paraId="4CEEA582" w14:textId="77777777" w:rsidR="00AA0A23" w:rsidRDefault="00AA0A23" w:rsidP="007F177E">
            <w:pPr>
              <w:pStyle w:val="ListParagraph"/>
              <w:numPr>
                <w:ilvl w:val="0"/>
                <w:numId w:val="151"/>
              </w:numPr>
              <w:contextualSpacing w:val="0"/>
              <w:jc w:val="left"/>
            </w:pPr>
            <w:r>
              <w:t>The period always begins on the first of the month and ends the last day of the month. The prior/retrospective period is fixed; it does not change or update after it is communicated with the household (even if the effective date is moved to accommodate a move at the first certification following enrollment).</w:t>
            </w:r>
          </w:p>
          <w:p w14:paraId="7A5043BD" w14:textId="77777777" w:rsidR="00AA0A23" w:rsidRDefault="00AA0A23" w:rsidP="007F177E">
            <w:pPr>
              <w:pStyle w:val="ListParagraph"/>
              <w:numPr>
                <w:ilvl w:val="0"/>
                <w:numId w:val="151"/>
              </w:numPr>
              <w:contextualSpacing w:val="0"/>
              <w:jc w:val="left"/>
            </w:pPr>
            <w:r>
              <w:t>HHA will count all required types of income sources when determining retrospective income and will count the actual income amount received during the retrospective period. Income is not averaged and annualized.</w:t>
            </w:r>
          </w:p>
          <w:p w14:paraId="7443AFDB" w14:textId="77777777" w:rsidR="00AA0A23" w:rsidRDefault="00AA0A23" w:rsidP="007F177E">
            <w:pPr>
              <w:pStyle w:val="ListParagraph"/>
              <w:numPr>
                <w:ilvl w:val="0"/>
                <w:numId w:val="151"/>
              </w:numPr>
              <w:contextualSpacing w:val="0"/>
              <w:jc w:val="left"/>
            </w:pPr>
            <w:r>
              <w:t>If income from any source began partway through the prior/retrospective period, use the actual amount received during the prior/retrospective period.</w:t>
            </w:r>
          </w:p>
          <w:p w14:paraId="63BE4AAF" w14:textId="77777777" w:rsidR="00AA0A23" w:rsidRDefault="00B4570E" w:rsidP="007F177E">
            <w:pPr>
              <w:pStyle w:val="ListParagraph"/>
              <w:numPr>
                <w:ilvl w:val="0"/>
                <w:numId w:val="151"/>
              </w:numPr>
              <w:contextualSpacing w:val="0"/>
              <w:jc w:val="left"/>
            </w:pPr>
            <w:r>
              <w:t>Income</w:t>
            </w:r>
            <w:r w:rsidR="00AA0A23">
              <w:t xml:space="preserve"> from TANF, UI, SSI, SSDI, or court</w:t>
            </w:r>
            <w:r w:rsidR="00F910DC">
              <w:t>-</w:t>
            </w:r>
            <w:r w:rsidR="00AA0A23">
              <w:t>ordered child support</w:t>
            </w:r>
            <w:r>
              <w:t xml:space="preserve"> will not be included</w:t>
            </w:r>
            <w:r w:rsidR="00AA0A23">
              <w:t xml:space="preserve"> if it ends partway through the prior/retrospective period. </w:t>
            </w:r>
          </w:p>
          <w:p w14:paraId="16440B98" w14:textId="77777777" w:rsidR="00AA0A23" w:rsidRDefault="00AA0A23" w:rsidP="007F177E">
            <w:pPr>
              <w:pStyle w:val="ListParagraph"/>
              <w:numPr>
                <w:ilvl w:val="0"/>
                <w:numId w:val="151"/>
              </w:numPr>
              <w:contextualSpacing w:val="0"/>
              <w:jc w:val="left"/>
            </w:pPr>
            <w:r>
              <w:t>If a household member earned income prior to age 18 during the prior/retrospective period</w:t>
            </w:r>
            <w:r w:rsidR="00C64F56">
              <w:t xml:space="preserve"> it will not be included</w:t>
            </w:r>
            <w:r>
              <w:t>.</w:t>
            </w:r>
          </w:p>
          <w:p w14:paraId="4B7D8EE6" w14:textId="77777777" w:rsidR="005E73DC" w:rsidRDefault="00AA0A23" w:rsidP="007F177E">
            <w:pPr>
              <w:pStyle w:val="ListParagraph"/>
              <w:numPr>
                <w:ilvl w:val="0"/>
                <w:numId w:val="151"/>
              </w:numPr>
              <w:spacing w:after="160" w:line="259" w:lineRule="auto"/>
              <w:contextualSpacing w:val="0"/>
              <w:jc w:val="left"/>
            </w:pPr>
            <w:r>
              <w:t xml:space="preserve">If a household member is </w:t>
            </w:r>
            <w:r w:rsidR="001062B4">
              <w:t>verified as a full-time</w:t>
            </w:r>
            <w:r>
              <w:t xml:space="preserve"> student at the time of recertification</w:t>
            </w:r>
            <w:r w:rsidR="005E73DC">
              <w:t>:</w:t>
            </w:r>
          </w:p>
          <w:p w14:paraId="2ADFEEBD" w14:textId="77777777" w:rsidR="00AA0A23" w:rsidRDefault="005E73DC" w:rsidP="007F177E">
            <w:pPr>
              <w:pStyle w:val="ListParagraph"/>
              <w:numPr>
                <w:ilvl w:val="0"/>
                <w:numId w:val="152"/>
              </w:numPr>
              <w:spacing w:after="160" w:line="259" w:lineRule="auto"/>
              <w:ind w:left="1056"/>
              <w:contextualSpacing w:val="0"/>
              <w:jc w:val="left"/>
            </w:pPr>
            <w:r>
              <w:t>T</w:t>
            </w:r>
            <w:r w:rsidR="00825F04">
              <w:t>heir earned income will not be included</w:t>
            </w:r>
            <w:r>
              <w:t>, and</w:t>
            </w:r>
          </w:p>
          <w:p w14:paraId="6BD692B0" w14:textId="77777777" w:rsidR="00AA0A23" w:rsidRDefault="005E73DC" w:rsidP="007F177E">
            <w:pPr>
              <w:pStyle w:val="ListParagraph"/>
              <w:numPr>
                <w:ilvl w:val="0"/>
                <w:numId w:val="152"/>
              </w:numPr>
              <w:spacing w:after="160" w:line="259" w:lineRule="auto"/>
              <w:ind w:left="1056"/>
              <w:contextualSpacing w:val="0"/>
              <w:jc w:val="left"/>
            </w:pPr>
            <w:r>
              <w:t>They will retain their full-time student designation until the family’s next triennial recertification.</w:t>
            </w:r>
          </w:p>
        </w:tc>
      </w:tr>
      <w:bookmarkEnd w:id="1639"/>
    </w:tbl>
    <w:p w14:paraId="50C95C85" w14:textId="77777777" w:rsidR="00E06916" w:rsidRPr="00765546" w:rsidRDefault="00E06916" w:rsidP="00A2140E"/>
    <w:p w14:paraId="57EF2D30" w14:textId="77777777" w:rsidR="00BC0DB5" w:rsidRDefault="00D459DA" w:rsidP="00BB64BD">
      <w:pPr>
        <w:pStyle w:val="Heading2"/>
      </w:pPr>
      <w:bookmarkStart w:id="1643" w:name="_Toc173222709"/>
      <w:bookmarkStart w:id="1644" w:name="_Toc200375683"/>
      <w:bookmarkStart w:id="1645" w:name="_Toc200376975"/>
      <w:bookmarkStart w:id="1646" w:name="_Toc521054875"/>
      <w:bookmarkStart w:id="1647" w:name="_Toc527019397"/>
      <w:bookmarkStart w:id="1648" w:name="_Toc534706932"/>
      <w:bookmarkStart w:id="1649" w:name="_Toc534707610"/>
      <w:bookmarkStart w:id="1650" w:name="_Toc534708418"/>
      <w:bookmarkStart w:id="1651" w:name="_Toc118116000"/>
      <w:r>
        <w:t>Determining</w:t>
      </w:r>
      <w:r w:rsidR="00BC0DB5">
        <w:t xml:space="preserve"> Certain Types of Income</w:t>
      </w:r>
      <w:bookmarkEnd w:id="1643"/>
      <w:bookmarkEnd w:id="1644"/>
      <w:bookmarkEnd w:id="1645"/>
    </w:p>
    <w:p w14:paraId="0DA5603C" w14:textId="77777777" w:rsidR="000145FD" w:rsidRDefault="000145FD" w:rsidP="00677451">
      <w:pPr>
        <w:pStyle w:val="Heading3"/>
      </w:pPr>
      <w:bookmarkStart w:id="1652" w:name="_Toc200375684"/>
      <w:r>
        <w:t>Wages and Related Compensation</w:t>
      </w:r>
      <w:bookmarkEnd w:id="1652"/>
    </w:p>
    <w:p w14:paraId="1C699073" w14:textId="77777777" w:rsidR="00494F50" w:rsidRDefault="007111AB" w:rsidP="000145FD">
      <w:r>
        <w:t>Except for where excluded under HHA’s MTW policy, t</w:t>
      </w:r>
      <w:r w:rsidR="00BE491E" w:rsidRPr="008A7579">
        <w:t xml:space="preserve">he earned income of each member of the family who is 18 years of age or older, or who is the head of household or spouse/cohead regardless of age, is included in annual income. Income received as </w:t>
      </w:r>
      <w:r w:rsidR="00BE491E">
        <w:t xml:space="preserve">a </w:t>
      </w:r>
      <w:r w:rsidR="00BE491E" w:rsidRPr="008A7579">
        <w:t>day laborer or seasonal worker is</w:t>
      </w:r>
      <w:r w:rsidR="00BE491E">
        <w:t xml:space="preserve"> also </w:t>
      </w:r>
      <w:r w:rsidR="00BE491E" w:rsidRPr="008A7579">
        <w:t>included in annual income, even if the source, date, or amount of the income varies</w:t>
      </w:r>
      <w:r w:rsidR="00BE491E">
        <w:t>.</w:t>
      </w:r>
    </w:p>
    <w:p w14:paraId="18D75D87" w14:textId="77777777" w:rsidR="000255FA" w:rsidRDefault="000255FA" w:rsidP="000145FD">
      <w:r w:rsidRPr="00D77CD2">
        <w:rPr>
          <w:i/>
          <w:iCs/>
        </w:rPr>
        <w:t>Earned income</w:t>
      </w:r>
      <w:r w:rsidRPr="00D77CD2">
        <w:t xml:space="preserve"> means </w:t>
      </w:r>
      <w:bookmarkStart w:id="1653" w:name="_Hlk134522539"/>
      <w:r w:rsidRPr="00D77CD2">
        <w:t>income or earnings from wages, tips, salaries, other</w:t>
      </w:r>
      <w:r>
        <w:t xml:space="preserve"> </w:t>
      </w:r>
      <w:r w:rsidRPr="00D77CD2">
        <w:t>employee compensation</w:t>
      </w:r>
      <w:bookmarkEnd w:id="1653"/>
      <w:r w:rsidRPr="00D77CD2">
        <w:t xml:space="preserve">, and net income from self-employment. Earned income does not include any pension or annuity, transfer payments (meaning payments made or income received in which no goods or services are being paid for, such as welfare, </w:t>
      </w:r>
      <w:r w:rsidR="00411E22">
        <w:t>S</w:t>
      </w:r>
      <w:r w:rsidRPr="00D77CD2">
        <w:t xml:space="preserve">ocial </w:t>
      </w:r>
      <w:r w:rsidR="00411E22">
        <w:t>S</w:t>
      </w:r>
      <w:r w:rsidRPr="00D77CD2">
        <w:t>ecurity, and governmental subsidies for certain benefits), or any cash or in-kind benefits</w:t>
      </w:r>
      <w:r>
        <w:t>.</w:t>
      </w:r>
    </w:p>
    <w:p w14:paraId="192BBE0A" w14:textId="77777777" w:rsidR="00017B19" w:rsidRDefault="00043F05" w:rsidP="00043F05">
      <w:pPr>
        <w:pStyle w:val="Heading4"/>
      </w:pPr>
      <w:r>
        <w:t>Seasonal and Day Laborer Income</w:t>
      </w:r>
    </w:p>
    <w:p w14:paraId="3E264FBD" w14:textId="77777777" w:rsidR="004D771E" w:rsidRDefault="004D771E" w:rsidP="004D771E">
      <w:r>
        <w:t xml:space="preserve">A </w:t>
      </w:r>
      <w:r w:rsidRPr="00D833D9">
        <w:rPr>
          <w:i/>
          <w:iCs/>
        </w:rPr>
        <w:t>day laborer</w:t>
      </w:r>
      <w:r>
        <w:t xml:space="preserve"> is defined as an individual hired and paid one day at a time without an agreement that the individual will be hired or work again in the future.</w:t>
      </w:r>
    </w:p>
    <w:p w14:paraId="5ECDD1C9" w14:textId="77777777" w:rsidR="004D771E" w:rsidRDefault="004D771E" w:rsidP="004D771E">
      <w:r>
        <w:t xml:space="preserve">A </w:t>
      </w:r>
      <w:r w:rsidRPr="00D833D9">
        <w:rPr>
          <w:i/>
          <w:iCs/>
        </w:rPr>
        <w:t>seasonal worker</w:t>
      </w:r>
      <w:r>
        <w:t xml:space="preserve"> is defined as an individual who is hired into a short-term position</w:t>
      </w:r>
      <w:r w:rsidR="00134173">
        <w:t xml:space="preserve"> </w:t>
      </w:r>
      <w:r>
        <w:t>(e.g., for which the customary employment period for the position is six months or fewer) and the employment begins about the same time each year (such as summer or winter). Typically, the individual is hired to address seasonal demands that arise for the particular employer or industry</w:t>
      </w:r>
      <w:r w:rsidR="00420CC6">
        <w:t>.</w:t>
      </w:r>
    </w:p>
    <w:p w14:paraId="18F5FAD7" w14:textId="77777777" w:rsidR="00017B19" w:rsidRPr="00765546" w:rsidRDefault="00017B19" w:rsidP="00017B19">
      <w:r w:rsidRPr="00765546">
        <w:t>To determine annual income for individuals who have seasonal</w:t>
      </w:r>
      <w:r w:rsidR="00043F05">
        <w:t xml:space="preserve"> or day labor</w:t>
      </w:r>
      <w:r w:rsidRPr="00765546">
        <w:t xml:space="preserve"> income</w:t>
      </w:r>
      <w:r w:rsidR="000D5B56">
        <w:t xml:space="preserve"> at admission and </w:t>
      </w:r>
      <w:r w:rsidR="00D459DA">
        <w:t>regular recertification</w:t>
      </w:r>
      <w:r w:rsidRPr="00765546">
        <w:t xml:space="preserve">, </w:t>
      </w:r>
      <w:r>
        <w:t>HHA</w:t>
      </w:r>
      <w:r w:rsidRPr="00765546">
        <w:t xml:space="preserve"> will use past actual income received or earned within the last 12 months of the determination date. Therefore, interim reexaminations will not be completed when circumstances change</w:t>
      </w:r>
      <w:r>
        <w:t xml:space="preserve"> for family members with a pattern of seasonal income that is expected to continue</w:t>
      </w:r>
      <w:r w:rsidRPr="00765546">
        <w:t xml:space="preserve">. </w:t>
      </w:r>
    </w:p>
    <w:p w14:paraId="2FA4D662" w14:textId="77777777" w:rsidR="00D459DA" w:rsidRPr="00765546" w:rsidRDefault="00D459DA" w:rsidP="00D459DA">
      <w:pPr>
        <w:pStyle w:val="Heading4"/>
      </w:pPr>
      <w:bookmarkStart w:id="1654" w:name="_Toc521054878"/>
      <w:bookmarkStart w:id="1655" w:name="_Toc527019400"/>
      <w:bookmarkStart w:id="1656" w:name="_Toc534706935"/>
      <w:bookmarkStart w:id="1657" w:name="_Toc534707613"/>
      <w:bookmarkStart w:id="1658" w:name="_Toc534708421"/>
      <w:bookmarkStart w:id="1659" w:name="_Toc118116003"/>
      <w:bookmarkStart w:id="1660" w:name="_Ref148683693"/>
      <w:r w:rsidRPr="00765546">
        <w:t xml:space="preserve">Earned Income </w:t>
      </w:r>
      <w:r>
        <w:t>o</w:t>
      </w:r>
      <w:r w:rsidRPr="00765546">
        <w:t>f Full-Time Students</w:t>
      </w:r>
      <w:bookmarkEnd w:id="1654"/>
      <w:bookmarkEnd w:id="1655"/>
      <w:bookmarkEnd w:id="1656"/>
      <w:bookmarkEnd w:id="1657"/>
      <w:bookmarkEnd w:id="1658"/>
      <w:bookmarkEnd w:id="1659"/>
      <w:bookmarkEnd w:id="1660"/>
    </w:p>
    <w:p w14:paraId="61C143FE" w14:textId="77777777" w:rsidR="00D459DA" w:rsidRDefault="00D459DA" w:rsidP="00D459DA">
      <w:r>
        <w:t xml:space="preserve">Earned income from </w:t>
      </w:r>
      <w:r w:rsidR="00606FFA">
        <w:t xml:space="preserve">verified </w:t>
      </w:r>
      <w:r>
        <w:t>full-time students</w:t>
      </w:r>
      <w:r w:rsidR="00FC7638">
        <w:t xml:space="preserve"> (see </w:t>
      </w:r>
      <w:r w:rsidR="00822FAB" w:rsidRPr="00822FAB">
        <w:rPr>
          <w:b/>
          <w:bCs/>
          <w:color w:val="0070C0"/>
        </w:rPr>
        <w:fldChar w:fldCharType="begin"/>
      </w:r>
      <w:r w:rsidR="00822FAB" w:rsidRPr="00822FAB">
        <w:rPr>
          <w:b/>
          <w:bCs/>
          <w:color w:val="0070C0"/>
        </w:rPr>
        <w:instrText xml:space="preserve"> REF _Ref155174928 \h  \* MERGEFORMAT </w:instrText>
      </w:r>
      <w:r w:rsidR="00822FAB" w:rsidRPr="00822FAB">
        <w:rPr>
          <w:b/>
          <w:bCs/>
          <w:color w:val="0070C0"/>
        </w:rPr>
      </w:r>
      <w:r w:rsidR="00822FAB" w:rsidRPr="00822FAB">
        <w:rPr>
          <w:b/>
          <w:bCs/>
          <w:color w:val="0070C0"/>
        </w:rPr>
        <w:fldChar w:fldCharType="separate"/>
      </w:r>
      <w:r w:rsidR="00822FAB" w:rsidRPr="00822FAB">
        <w:rPr>
          <w:b/>
          <w:bCs/>
          <w:color w:val="0070C0"/>
        </w:rPr>
        <w:t>Student Status Verification</w:t>
      </w:r>
      <w:r w:rsidR="00822FAB" w:rsidRPr="00822FAB">
        <w:rPr>
          <w:b/>
          <w:bCs/>
          <w:color w:val="0070C0"/>
        </w:rPr>
        <w:fldChar w:fldCharType="end"/>
      </w:r>
      <w:r w:rsidR="00FC7638">
        <w:t>)</w:t>
      </w:r>
      <w:r>
        <w:t xml:space="preserve"> who are not the head, co-head or spouse is excluded; see </w:t>
      </w:r>
      <w:r>
        <w:fldChar w:fldCharType="begin"/>
      </w:r>
      <w:r>
        <w:instrText xml:space="preserve"> REF _Ref148682998 \h  \* MERGEFORMAT </w:instrText>
      </w:r>
      <w:r>
        <w:fldChar w:fldCharType="separate"/>
      </w:r>
      <w:r w:rsidRPr="0011608B">
        <w:rPr>
          <w:b/>
          <w:bCs/>
          <w:color w:val="0070C0"/>
        </w:rPr>
        <w:t>Excluded Income – MTW Polic</w:t>
      </w:r>
      <w:r w:rsidRPr="00D46455">
        <w:rPr>
          <w:b/>
          <w:bCs/>
          <w:color w:val="0070C0"/>
        </w:rPr>
        <w:t>y</w:t>
      </w:r>
      <w:r>
        <w:fldChar w:fldCharType="end"/>
      </w:r>
      <w:r>
        <w:t>.</w:t>
      </w:r>
      <w:r w:rsidR="00822FAB">
        <w:t xml:space="preserve"> </w:t>
      </w:r>
    </w:p>
    <w:p w14:paraId="4E5A51AC" w14:textId="77777777" w:rsidR="0032294B" w:rsidRDefault="0032294B" w:rsidP="005B6BF8">
      <w:pPr>
        <w:pStyle w:val="Heading4"/>
      </w:pPr>
      <w:r>
        <w:t>Ear</w:t>
      </w:r>
      <w:r w:rsidR="005B6BF8">
        <w:t>ned Income of Minors, Live-in Aides, and Foster Children/Adults</w:t>
      </w:r>
    </w:p>
    <w:p w14:paraId="79FC0A9F" w14:textId="77777777" w:rsidR="005B6BF8" w:rsidRDefault="005B6BF8" w:rsidP="00D459DA">
      <w:r>
        <w:t xml:space="preserve">Earned income from minors, live-in aides, foster children, and foster adults is excluded from income. See </w:t>
      </w:r>
      <w:r w:rsidRPr="005B6BF8">
        <w:rPr>
          <w:b/>
          <w:bCs/>
          <w:color w:val="0070C0"/>
        </w:rPr>
        <w:fldChar w:fldCharType="begin"/>
      </w:r>
      <w:r w:rsidRPr="005B6BF8">
        <w:rPr>
          <w:b/>
          <w:bCs/>
          <w:color w:val="0070C0"/>
        </w:rPr>
        <w:instrText xml:space="preserve"> REF _Ref148682977 \h </w:instrText>
      </w:r>
      <w:r>
        <w:rPr>
          <w:b/>
          <w:bCs/>
          <w:color w:val="0070C0"/>
        </w:rPr>
        <w:instrText xml:space="preserve"> \* MERGEFORMAT </w:instrText>
      </w:r>
      <w:r w:rsidRPr="005B6BF8">
        <w:rPr>
          <w:b/>
          <w:bCs/>
          <w:color w:val="0070C0"/>
        </w:rPr>
      </w:r>
      <w:r w:rsidRPr="005B6BF8">
        <w:rPr>
          <w:b/>
          <w:bCs/>
          <w:color w:val="0070C0"/>
        </w:rPr>
        <w:fldChar w:fldCharType="separate"/>
      </w:r>
      <w:r w:rsidRPr="005B6BF8">
        <w:rPr>
          <w:b/>
          <w:bCs/>
          <w:color w:val="0070C0"/>
        </w:rPr>
        <w:t>Annual Income Exclusions</w:t>
      </w:r>
      <w:r w:rsidRPr="005B6BF8">
        <w:rPr>
          <w:b/>
          <w:bCs/>
          <w:color w:val="0070C0"/>
        </w:rPr>
        <w:fldChar w:fldCharType="end"/>
      </w:r>
      <w:r>
        <w:t>.</w:t>
      </w:r>
    </w:p>
    <w:p w14:paraId="55307F7B" w14:textId="77777777" w:rsidR="003D595F" w:rsidRDefault="003D595F" w:rsidP="006A7680">
      <w:pPr>
        <w:pStyle w:val="Heading4"/>
      </w:pPr>
      <w:bookmarkStart w:id="1661" w:name="_Ref155184928"/>
      <w:r>
        <w:t>Military Pay</w:t>
      </w:r>
      <w:bookmarkEnd w:id="1661"/>
    </w:p>
    <w:p w14:paraId="40976621" w14:textId="77777777" w:rsidR="00017B19" w:rsidRDefault="006A7680" w:rsidP="004D771E">
      <w:r>
        <w:t xml:space="preserve">All regular pay, special pay and allowances of a member of the Armed Forces are included as income </w:t>
      </w:r>
      <w:r w:rsidRPr="006A7680">
        <w:rPr>
          <w:b/>
          <w:bCs/>
        </w:rPr>
        <w:t>except</w:t>
      </w:r>
      <w:r>
        <w:t xml:space="preserve"> for the special pay to a family member serving in the Armed Forces who is exposed to hostile fire</w:t>
      </w:r>
      <w:r w:rsidR="00FC7638">
        <w:t>.</w:t>
      </w:r>
    </w:p>
    <w:p w14:paraId="0B35CEAB" w14:textId="77777777" w:rsidR="000A1C0D" w:rsidRDefault="00FD612D" w:rsidP="00677451">
      <w:pPr>
        <w:pStyle w:val="Heading3"/>
      </w:pPr>
      <w:bookmarkStart w:id="1662" w:name="_Ref155185204"/>
      <w:bookmarkStart w:id="1663" w:name="_Toc200375685"/>
      <w:r>
        <w:t>Self-Employment Income</w:t>
      </w:r>
      <w:bookmarkEnd w:id="1662"/>
      <w:bookmarkEnd w:id="1663"/>
    </w:p>
    <w:p w14:paraId="2A461EF5" w14:textId="77777777" w:rsidR="00EE44AB" w:rsidRDefault="00EE44AB" w:rsidP="00EE44AB">
      <w:r>
        <w:t xml:space="preserve">Annual income includes net income from the operation of a business or profession. </w:t>
      </w:r>
      <w:bookmarkStart w:id="1664" w:name="_Hlk147318595"/>
    </w:p>
    <w:p w14:paraId="5F1E769E" w14:textId="77777777" w:rsidR="00A410AF" w:rsidRPr="00A410AF" w:rsidRDefault="00EE44AB" w:rsidP="007F177E">
      <w:pPr>
        <w:pStyle w:val="ListParagraph"/>
        <w:numPr>
          <w:ilvl w:val="0"/>
          <w:numId w:val="153"/>
        </w:numPr>
        <w:contextualSpacing w:val="0"/>
        <w:rPr>
          <w:b/>
          <w:bCs/>
        </w:rPr>
      </w:pPr>
      <w:r w:rsidRPr="00EE44AB">
        <w:rPr>
          <w:i/>
          <w:iCs/>
        </w:rPr>
        <w:t>Net income</w:t>
      </w:r>
      <w:r>
        <w:t xml:space="preserve"> is gross income minus business expenses that allows the business to operate. </w:t>
      </w:r>
    </w:p>
    <w:p w14:paraId="2EB96E88" w14:textId="77777777" w:rsidR="00EE44AB" w:rsidRDefault="00EE44AB" w:rsidP="007F177E">
      <w:pPr>
        <w:pStyle w:val="ListParagraph"/>
        <w:numPr>
          <w:ilvl w:val="0"/>
          <w:numId w:val="153"/>
        </w:numPr>
        <w:contextualSpacing w:val="0"/>
      </w:pPr>
      <w:r w:rsidRPr="00EE44AB">
        <w:rPr>
          <w:i/>
          <w:iCs/>
        </w:rPr>
        <w:t>Gross income</w:t>
      </w:r>
      <w:r>
        <w:t xml:space="preserve"> is all income amounts received into the business, prior to the deduction of business expenses.</w:t>
      </w:r>
      <w:bookmarkEnd w:id="1664"/>
      <w:r>
        <w:t xml:space="preserve"> </w:t>
      </w:r>
    </w:p>
    <w:p w14:paraId="1AD216CC" w14:textId="77777777" w:rsidR="00BD55C1" w:rsidRDefault="00BD55C1" w:rsidP="00BD55C1">
      <w:r>
        <w:t>Net income does not include:</w:t>
      </w:r>
    </w:p>
    <w:p w14:paraId="08C15D37" w14:textId="77777777" w:rsidR="008F0A47" w:rsidRDefault="00BD55C1" w:rsidP="007F177E">
      <w:pPr>
        <w:pStyle w:val="ListParagraph"/>
        <w:numPr>
          <w:ilvl w:val="0"/>
          <w:numId w:val="153"/>
        </w:numPr>
        <w:contextualSpacing w:val="0"/>
      </w:pPr>
      <w:r>
        <w:t>Expenditures for business expansion</w:t>
      </w:r>
      <w:r w:rsidR="008F0A47">
        <w:t>;</w:t>
      </w:r>
    </w:p>
    <w:p w14:paraId="7D21B6EE" w14:textId="77777777" w:rsidR="00BD55C1" w:rsidRPr="00BD55C1" w:rsidRDefault="008F0A47" w:rsidP="007F177E">
      <w:pPr>
        <w:pStyle w:val="ListParagraph"/>
        <w:numPr>
          <w:ilvl w:val="1"/>
          <w:numId w:val="153"/>
        </w:numPr>
        <w:contextualSpacing w:val="0"/>
      </w:pPr>
      <w:r>
        <w:rPr>
          <w:i/>
          <w:iCs/>
        </w:rPr>
        <w:t xml:space="preserve">Business expansion </w:t>
      </w:r>
      <w:r>
        <w:t xml:space="preserve">is </w:t>
      </w:r>
      <w:r w:rsidR="0001547B">
        <w:t>defined as any capital expenditures made to add new business activities, to expand current facilities, or to operate the business in additional locations</w:t>
      </w:r>
      <w:r w:rsidR="00FF1CAF">
        <w:t>;</w:t>
      </w:r>
    </w:p>
    <w:p w14:paraId="1173D242" w14:textId="77777777" w:rsidR="008F0A47" w:rsidRDefault="00BD55C1" w:rsidP="007F177E">
      <w:pPr>
        <w:pStyle w:val="ListParagraph"/>
        <w:numPr>
          <w:ilvl w:val="0"/>
          <w:numId w:val="153"/>
        </w:numPr>
        <w:contextualSpacing w:val="0"/>
      </w:pPr>
      <w:r>
        <w:t xml:space="preserve">Amortization of capital indebtedness; </w:t>
      </w:r>
    </w:p>
    <w:p w14:paraId="2355E2F4" w14:textId="77777777" w:rsidR="00BD55C1" w:rsidRPr="00BD55C1" w:rsidRDefault="00C22658" w:rsidP="007F177E">
      <w:pPr>
        <w:pStyle w:val="ListParagraph"/>
        <w:numPr>
          <w:ilvl w:val="1"/>
          <w:numId w:val="153"/>
        </w:numPr>
        <w:contextualSpacing w:val="0"/>
      </w:pPr>
      <w:r>
        <w:rPr>
          <w:i/>
          <w:iCs/>
        </w:rPr>
        <w:t xml:space="preserve">Capital indebtedness </w:t>
      </w:r>
      <w:r>
        <w:t>is defined as the principal portion of the payment on a capital asset such as land, buildings, and machinery</w:t>
      </w:r>
      <w:r w:rsidR="00514D3F">
        <w:t xml:space="preserve">. This means HHA will allow as a business expense interest, but not principal, paid on capital indebtedness; </w:t>
      </w:r>
      <w:r w:rsidR="00BD55C1">
        <w:t>or</w:t>
      </w:r>
    </w:p>
    <w:p w14:paraId="30F06E3A" w14:textId="77777777" w:rsidR="00BD55C1" w:rsidRPr="00BD55C1" w:rsidRDefault="00BD55C1" w:rsidP="007F177E">
      <w:pPr>
        <w:pStyle w:val="ListParagraph"/>
        <w:numPr>
          <w:ilvl w:val="0"/>
          <w:numId w:val="153"/>
        </w:numPr>
        <w:contextualSpacing w:val="0"/>
      </w:pPr>
      <w:r>
        <w:t>Depreciation of assets on an accelerated basis (depreciation of assets based on straight line depreciation is allowable).</w:t>
      </w:r>
    </w:p>
    <w:p w14:paraId="12C17AC5" w14:textId="77777777" w:rsidR="00BD55C1" w:rsidRDefault="00BD55C1" w:rsidP="00BD55C1">
      <w:r>
        <w:t>However, any withdrawal of cash or assets from the operation of a business or profession will be included in income, except to the extent the withdrawal is reimbursement of cash or assets invested in the operation by the family.</w:t>
      </w:r>
      <w:r w:rsidR="00DA2DE0">
        <w:t xml:space="preserve"> Acceptable investments in a business include cash loa</w:t>
      </w:r>
      <w:r w:rsidR="004F0287">
        <w:t>ns and contribution of assets or equipment.</w:t>
      </w:r>
      <w:r w:rsidR="00326FAF">
        <w:t xml:space="preserve"> Investments do not include the value of labor contributed to the business without compensation.</w:t>
      </w:r>
    </w:p>
    <w:p w14:paraId="238F86EC" w14:textId="77777777" w:rsidR="00EA21AE" w:rsidRDefault="00EA21AE" w:rsidP="00BD55C1">
      <w:r>
        <w:t>If a family reports gross income from a</w:t>
      </w:r>
      <w:r w:rsidR="005A3AB7">
        <w:t xml:space="preserve"> business or self-employment income and does not claim and/or verify any expenses, the gross income will be considered the net income</w:t>
      </w:r>
      <w:r w:rsidR="00680C67">
        <w:t>.</w:t>
      </w:r>
    </w:p>
    <w:p w14:paraId="5437DDC8" w14:textId="77777777" w:rsidR="00C0331E" w:rsidRDefault="00C0331E" w:rsidP="00F135D8">
      <w:pPr>
        <w:pStyle w:val="Heading4"/>
      </w:pPr>
      <w:r>
        <w:t>Negative Business Income</w:t>
      </w:r>
    </w:p>
    <w:p w14:paraId="7E441785" w14:textId="77777777" w:rsidR="00F135D8" w:rsidRDefault="00F135D8" w:rsidP="00F135D8">
      <w:r>
        <w:t>If the net income from a business is negative, no business income will be included in annual income; a negative amount will not be used to offset other family income.</w:t>
      </w:r>
    </w:p>
    <w:p w14:paraId="15474FAA" w14:textId="77777777" w:rsidR="00C0331E" w:rsidRDefault="00263116" w:rsidP="000846D5">
      <w:pPr>
        <w:pStyle w:val="Heading4"/>
      </w:pPr>
      <w:bookmarkStart w:id="1665" w:name="_Ref155187711"/>
      <w:r>
        <w:t>Co-Owned Businesses</w:t>
      </w:r>
      <w:bookmarkEnd w:id="1665"/>
    </w:p>
    <w:p w14:paraId="6BC7FA75" w14:textId="77777777" w:rsidR="00263116" w:rsidRDefault="000846D5" w:rsidP="00BD55C1">
      <w:r>
        <w:t>If a business is co-owned with someone outside the family, the family must document the share of the business it owns. If the family</w:t>
      </w:r>
      <w:r w:rsidRPr="000158E6">
        <w:t>’</w:t>
      </w:r>
      <w:r>
        <w:t>s share of the income is lower than its share of ownership, the family must document the reasons for the difference.</w:t>
      </w:r>
    </w:p>
    <w:p w14:paraId="71E04234" w14:textId="77777777" w:rsidR="000846D5" w:rsidRDefault="000846D5" w:rsidP="005B689A">
      <w:pPr>
        <w:pStyle w:val="Heading4"/>
      </w:pPr>
      <w:bookmarkStart w:id="1666" w:name="_Ref155187626"/>
      <w:r>
        <w:t>Assets Owned by a Business Entity</w:t>
      </w:r>
      <w:bookmarkEnd w:id="1666"/>
    </w:p>
    <w:p w14:paraId="4358ADB7" w14:textId="77777777" w:rsidR="005B689A" w:rsidRDefault="005B689A" w:rsidP="00BD55C1">
      <w:r>
        <w:t>If a business entity (e.g., limited liability company or limited partnership) owns the asset, then the family’s asset is their ownership stake in the business, not some portion of the business’ assets. However, if the family holds the assets in their own name (e.g., they own one-third of a restaurant) rather than in the name of a business entity, then the percentage value of the asset owned by the family is what is counted toward net family assets (e.g., one-third of the value of the restaurant)</w:t>
      </w:r>
      <w:r w:rsidR="00804C02">
        <w:t>.</w:t>
      </w:r>
    </w:p>
    <w:p w14:paraId="3C0D23D1" w14:textId="77777777" w:rsidR="00923B29" w:rsidRPr="00923B29" w:rsidRDefault="00923B29" w:rsidP="00923B29">
      <w:r>
        <w:t>Note, however, that for determining whether the family has a present ownership interest in disqualifying real property, whether the family owns the real property through an LLC or in their own name is not decisive. If the family has a present ownership interest in real property</w:t>
      </w:r>
      <w:r w:rsidR="009B18A5">
        <w:t xml:space="preserve"> and</w:t>
      </w:r>
      <w:r>
        <w:t xml:space="preserve"> </w:t>
      </w:r>
      <w:r w:rsidR="007769B9">
        <w:t xml:space="preserve">has </w:t>
      </w:r>
      <w:r>
        <w:t>a legal right to reside in it</w:t>
      </w:r>
      <w:r w:rsidR="009B18A5">
        <w:t>,</w:t>
      </w:r>
      <w:r>
        <w:t xml:space="preserve"> the effective legal authority to sell it, and it is considered suitable for their occupancy as a residence, that ownership interest will be disqualifying</w:t>
      </w:r>
      <w:r w:rsidR="007769B9">
        <w:t xml:space="preserve"> per </w:t>
      </w:r>
      <w:r w:rsidR="007769B9" w:rsidRPr="00B77199">
        <w:rPr>
          <w:b/>
          <w:bCs/>
          <w:color w:val="0070C0"/>
        </w:rPr>
        <w:fldChar w:fldCharType="begin"/>
      </w:r>
      <w:r w:rsidR="007769B9" w:rsidRPr="00B77199">
        <w:rPr>
          <w:b/>
          <w:bCs/>
          <w:color w:val="0070C0"/>
        </w:rPr>
        <w:instrText xml:space="preserve"> REF _Ref144892635 \h </w:instrText>
      </w:r>
      <w:r w:rsidR="00B77199">
        <w:rPr>
          <w:b/>
          <w:bCs/>
          <w:color w:val="0070C0"/>
        </w:rPr>
        <w:instrText xml:space="preserve"> \* MERGEFORMAT </w:instrText>
      </w:r>
      <w:r w:rsidR="007769B9" w:rsidRPr="00B77199">
        <w:rPr>
          <w:b/>
          <w:bCs/>
          <w:color w:val="0070C0"/>
        </w:rPr>
      </w:r>
      <w:r w:rsidR="007769B9" w:rsidRPr="00B77199">
        <w:rPr>
          <w:b/>
          <w:bCs/>
          <w:color w:val="0070C0"/>
        </w:rPr>
        <w:fldChar w:fldCharType="separate"/>
      </w:r>
      <w:r w:rsidR="007769B9" w:rsidRPr="00B77199">
        <w:rPr>
          <w:b/>
          <w:bCs/>
          <w:color w:val="0070C0"/>
        </w:rPr>
        <w:t>Asset Restrictions</w:t>
      </w:r>
      <w:r w:rsidR="007769B9" w:rsidRPr="00B77199">
        <w:rPr>
          <w:b/>
          <w:bCs/>
          <w:color w:val="0070C0"/>
        </w:rPr>
        <w:fldChar w:fldCharType="end"/>
      </w:r>
      <w:r>
        <w:t>. There may be circumstances where the family does not have the effective legal authority to sell the real property due to the structure of their business. Receipt of rental income itself is not a relevant deciding factor for asset limitation compliance, however.</w:t>
      </w:r>
    </w:p>
    <w:p w14:paraId="5F23D6B3" w14:textId="77777777" w:rsidR="007869A0" w:rsidRDefault="007869A0" w:rsidP="00AB6D5B">
      <w:pPr>
        <w:pStyle w:val="Heading4"/>
      </w:pPr>
      <w:r>
        <w:t>Independent Contractors</w:t>
      </w:r>
    </w:p>
    <w:p w14:paraId="7CF07FB1" w14:textId="77777777" w:rsidR="007869A0" w:rsidRDefault="008449D9" w:rsidP="00BD55C1">
      <w:r w:rsidRPr="008A7579">
        <w:t xml:space="preserve">Income received as an independent contractor is </w:t>
      </w:r>
      <w:r w:rsidRPr="00F4424D">
        <w:t>included in annual income</w:t>
      </w:r>
      <w:r w:rsidR="006A748D" w:rsidRPr="00F4424D">
        <w:t xml:space="preserve"> as self-employment income</w:t>
      </w:r>
      <w:r w:rsidRPr="00F4424D">
        <w:t xml:space="preserve">, even if the source, date, or amount of the income varies. See </w:t>
      </w:r>
      <w:r w:rsidR="00956406" w:rsidRPr="00F4424D">
        <w:rPr>
          <w:color w:val="0070C0"/>
        </w:rPr>
        <w:fldChar w:fldCharType="begin"/>
      </w:r>
      <w:r w:rsidR="00956406" w:rsidRPr="00F4424D">
        <w:rPr>
          <w:color w:val="0070C0"/>
        </w:rPr>
        <w:instrText xml:space="preserve"> REF IndependentContractor \h </w:instrText>
      </w:r>
      <w:r w:rsidR="00F4424D">
        <w:rPr>
          <w:color w:val="0070C0"/>
        </w:rPr>
        <w:instrText xml:space="preserve"> \* MERGEFORMAT </w:instrText>
      </w:r>
      <w:r w:rsidR="00956406" w:rsidRPr="00F4424D">
        <w:rPr>
          <w:color w:val="0070C0"/>
        </w:rPr>
      </w:r>
      <w:r w:rsidR="00956406" w:rsidRPr="00F4424D">
        <w:rPr>
          <w:color w:val="0070C0"/>
        </w:rPr>
        <w:fldChar w:fldCharType="separate"/>
      </w:r>
      <w:r w:rsidR="00956406" w:rsidRPr="00F4424D">
        <w:rPr>
          <w:b/>
          <w:bCs/>
          <w:i/>
          <w:iCs/>
          <w:color w:val="0070C0"/>
        </w:rPr>
        <w:t>Independent Contractor</w:t>
      </w:r>
      <w:r w:rsidR="00956406" w:rsidRPr="00F4424D">
        <w:rPr>
          <w:color w:val="0070C0"/>
        </w:rPr>
        <w:fldChar w:fldCharType="end"/>
      </w:r>
      <w:r w:rsidR="00956406" w:rsidRPr="00F4424D">
        <w:t xml:space="preserve"> in the Glossary of this ACOP.</w:t>
      </w:r>
    </w:p>
    <w:p w14:paraId="315FB45E" w14:textId="77777777" w:rsidR="00366595" w:rsidRDefault="00366595" w:rsidP="00677451">
      <w:pPr>
        <w:pStyle w:val="Heading3"/>
      </w:pPr>
      <w:bookmarkStart w:id="1667" w:name="_Toc200375686"/>
      <w:r>
        <w:t>Periodic Payments</w:t>
      </w:r>
      <w:bookmarkEnd w:id="1667"/>
    </w:p>
    <w:p w14:paraId="3F9758C9" w14:textId="77777777" w:rsidR="00366595" w:rsidRDefault="00BA5290" w:rsidP="00BD55C1">
      <w:r>
        <w:t>Periodic payments are forms of income</w:t>
      </w:r>
      <w:r>
        <w:rPr>
          <w:color w:val="FF0000"/>
        </w:rPr>
        <w:t xml:space="preserve"> </w:t>
      </w:r>
      <w:r>
        <w:t>received on a regular basis. These will be included</w:t>
      </w:r>
      <w:r w:rsidR="009364D0">
        <w:t xml:space="preserve"> unless excluded under </w:t>
      </w:r>
      <w:r w:rsidR="009364D0" w:rsidRPr="009364D0">
        <w:rPr>
          <w:b/>
          <w:bCs/>
          <w:color w:val="0070C0"/>
        </w:rPr>
        <w:fldChar w:fldCharType="begin"/>
      </w:r>
      <w:r w:rsidR="009364D0" w:rsidRPr="009364D0">
        <w:rPr>
          <w:b/>
          <w:bCs/>
          <w:color w:val="0070C0"/>
        </w:rPr>
        <w:instrText xml:space="preserve"> REF _Ref148682977 \h </w:instrText>
      </w:r>
      <w:r w:rsidR="009364D0">
        <w:rPr>
          <w:b/>
          <w:bCs/>
          <w:color w:val="0070C0"/>
        </w:rPr>
        <w:instrText xml:space="preserve"> \* MERGEFORMAT </w:instrText>
      </w:r>
      <w:r w:rsidR="009364D0" w:rsidRPr="009364D0">
        <w:rPr>
          <w:b/>
          <w:bCs/>
          <w:color w:val="0070C0"/>
        </w:rPr>
      </w:r>
      <w:r w:rsidR="009364D0" w:rsidRPr="009364D0">
        <w:rPr>
          <w:b/>
          <w:bCs/>
          <w:color w:val="0070C0"/>
        </w:rPr>
        <w:fldChar w:fldCharType="separate"/>
      </w:r>
      <w:r w:rsidR="009364D0" w:rsidRPr="009364D0">
        <w:rPr>
          <w:b/>
          <w:bCs/>
          <w:color w:val="0070C0"/>
        </w:rPr>
        <w:t>Annual Income Exclusions</w:t>
      </w:r>
      <w:r w:rsidR="009364D0" w:rsidRPr="009364D0">
        <w:rPr>
          <w:b/>
          <w:bCs/>
          <w:color w:val="0070C0"/>
        </w:rPr>
        <w:fldChar w:fldCharType="end"/>
      </w:r>
      <w:r w:rsidR="009364D0" w:rsidRPr="009364D0">
        <w:t>.</w:t>
      </w:r>
    </w:p>
    <w:p w14:paraId="2C35DA4F" w14:textId="1ADB5BC9" w:rsidR="005B5E4B" w:rsidRDefault="000D5B18" w:rsidP="00BD55C1">
      <w:r>
        <w:t>Income that will not be re</w:t>
      </w:r>
      <w:r w:rsidR="005E2A23">
        <w:t xml:space="preserve">peated beyond the coming year (i.e., the 12 months following the effective date of the certification), based on information provided by the family, is considered nonrecurring income and is excluded from annual income. </w:t>
      </w:r>
      <w:r w:rsidR="005B5E4B">
        <w:t>Income that has a discrete end date and will not be repeated beyond the coming year is excluded from a family’s annual income because it is nonrecurring income. However, this does not include unemployment income and other types of periodic payments that are received at regular intervals (such as weekly, monthly, or yearly) for a period of greater than one year that can be extended.</w:t>
      </w:r>
      <w:r w:rsidR="004D4A06">
        <w:t xml:space="preserve"> </w:t>
      </w:r>
      <w:r w:rsidR="0053240D" w:rsidRPr="0067213C">
        <w:t>Unemployment income and other types of periodic payments are not considered nonrecurring income, unless explicitly excluded from income under 25 CFR 5.609(b)</w:t>
      </w:r>
      <w:r w:rsidR="0053240D">
        <w:t xml:space="preserve"> as updated for HOTMA</w:t>
      </w:r>
      <w:r w:rsidR="0053240D" w:rsidRPr="0067213C">
        <w:t>, and thus they are included in annual income.</w:t>
      </w:r>
    </w:p>
    <w:p w14:paraId="2904C086" w14:textId="77777777" w:rsidR="00437F6B" w:rsidRDefault="00437F6B" w:rsidP="0015786E">
      <w:r>
        <w:t xml:space="preserve">Insurance payments and settlements for personal or property losses, including but not limited to payments under health insurance, motor vehicle insurance, and workers’ compensation, are excluded from annual income. </w:t>
      </w:r>
      <w:r w:rsidR="00704CC1">
        <w:t xml:space="preserve">See </w:t>
      </w:r>
      <w:r w:rsidR="00704CC1" w:rsidRPr="009364D0">
        <w:rPr>
          <w:b/>
          <w:bCs/>
          <w:color w:val="0070C0"/>
        </w:rPr>
        <w:fldChar w:fldCharType="begin"/>
      </w:r>
      <w:r w:rsidR="00704CC1" w:rsidRPr="009364D0">
        <w:rPr>
          <w:b/>
          <w:bCs/>
          <w:color w:val="0070C0"/>
        </w:rPr>
        <w:instrText xml:space="preserve"> REF _Ref148682977 \h </w:instrText>
      </w:r>
      <w:r w:rsidR="00704CC1">
        <w:rPr>
          <w:b/>
          <w:bCs/>
          <w:color w:val="0070C0"/>
        </w:rPr>
        <w:instrText xml:space="preserve"> \* MERGEFORMAT </w:instrText>
      </w:r>
      <w:r w:rsidR="00704CC1" w:rsidRPr="009364D0">
        <w:rPr>
          <w:b/>
          <w:bCs/>
          <w:color w:val="0070C0"/>
        </w:rPr>
      </w:r>
      <w:r w:rsidR="00704CC1" w:rsidRPr="009364D0">
        <w:rPr>
          <w:b/>
          <w:bCs/>
          <w:color w:val="0070C0"/>
        </w:rPr>
        <w:fldChar w:fldCharType="separate"/>
      </w:r>
      <w:r w:rsidR="00704CC1" w:rsidRPr="009364D0">
        <w:rPr>
          <w:b/>
          <w:bCs/>
          <w:color w:val="0070C0"/>
        </w:rPr>
        <w:t>Annual Income Exclusions</w:t>
      </w:r>
      <w:r w:rsidR="00704CC1" w:rsidRPr="009364D0">
        <w:rPr>
          <w:b/>
          <w:bCs/>
          <w:color w:val="0070C0"/>
        </w:rPr>
        <w:fldChar w:fldCharType="end"/>
      </w:r>
      <w:r w:rsidR="00704CC1" w:rsidRPr="009364D0">
        <w:t>.</w:t>
      </w:r>
      <w:r w:rsidR="00704CC1">
        <w:t xml:space="preserve"> </w:t>
      </w:r>
    </w:p>
    <w:p w14:paraId="4C0082DD" w14:textId="77777777" w:rsidR="00E53DBA" w:rsidRDefault="00E53DBA" w:rsidP="00186268">
      <w:pPr>
        <w:pStyle w:val="Heading4"/>
      </w:pPr>
      <w:bookmarkStart w:id="1668" w:name="_Ref155184996"/>
      <w:r>
        <w:t>Lump</w:t>
      </w:r>
      <w:r w:rsidR="00186268">
        <w:t>-Sum Payments for the Delayed Start of a Periodic Payment</w:t>
      </w:r>
      <w:bookmarkEnd w:id="1668"/>
    </w:p>
    <w:p w14:paraId="4AA93C3D" w14:textId="77777777" w:rsidR="00E14722" w:rsidRPr="005672E8" w:rsidRDefault="00E14722" w:rsidP="00E14722">
      <w:bookmarkStart w:id="1669" w:name="_Hlk144893754"/>
      <w:r>
        <w:t>Deferred periodic amounts from Supplemental Security Income (SSI) and Social Security benefits that are received in a lump sum amount or in prospective monthly amounts, or any deferred Department of Veterans Affairs (VA) disability benefits that are received in a lump sum amount or in prospective monthly amounts are excluded from annual income.</w:t>
      </w:r>
    </w:p>
    <w:p w14:paraId="5978D5D6" w14:textId="77777777" w:rsidR="005672E8" w:rsidRDefault="009A4F22" w:rsidP="005672E8">
      <w:r>
        <w:t>HHA will include in annual income</w:t>
      </w:r>
      <w:r w:rsidRPr="000751A1">
        <w:t xml:space="preserve"> </w:t>
      </w:r>
      <w:r>
        <w:t xml:space="preserve">lump </w:t>
      </w:r>
      <w:r w:rsidRPr="000751A1">
        <w:t>sums received as a result of delays in processing periodic payments</w:t>
      </w:r>
      <w:r>
        <w:t xml:space="preserve"> (other than those specifically excluded by the regulation</w:t>
      </w:r>
      <w:r w:rsidR="005A024A">
        <w:t>),</w:t>
      </w:r>
      <w:r w:rsidRPr="000751A1">
        <w:t xml:space="preserve"> such as unemployment or welfare assistance</w:t>
      </w:r>
      <w:r>
        <w:t>.</w:t>
      </w:r>
      <w:r w:rsidR="005672E8">
        <w:t xml:space="preserve"> </w:t>
      </w:r>
      <w:bookmarkStart w:id="1670" w:name="_Hlk147319558"/>
    </w:p>
    <w:bookmarkEnd w:id="1669"/>
    <w:bookmarkEnd w:id="1670"/>
    <w:p w14:paraId="0BB05F3E" w14:textId="77777777" w:rsidR="009A4F22" w:rsidRDefault="009A4F22" w:rsidP="009A4F22">
      <w:r>
        <w:t xml:space="preserve">When a delayed-start payment is received </w:t>
      </w:r>
      <w:bookmarkStart w:id="1671" w:name="_Hlk147319605"/>
      <w:r>
        <w:t>that is to be included and the family</w:t>
      </w:r>
      <w:bookmarkEnd w:id="1671"/>
      <w:r>
        <w:t xml:space="preserve"> reports this during the period in which </w:t>
      </w:r>
      <w:r w:rsidR="00D4107E">
        <w:t>H</w:t>
      </w:r>
      <w:r>
        <w:t xml:space="preserve">HA is processing </w:t>
      </w:r>
      <w:r w:rsidR="00D4107E">
        <w:t>a regular</w:t>
      </w:r>
      <w:r>
        <w:t xml:space="preserve"> r</w:t>
      </w:r>
      <w:r w:rsidR="00615D42">
        <w:t>ecertification</w:t>
      </w:r>
      <w:r>
        <w:t xml:space="preserve">, </w:t>
      </w:r>
      <w:r w:rsidR="00D4107E">
        <w:t>HHA</w:t>
      </w:r>
      <w:r>
        <w:t xml:space="preserve"> will adjust the family’s rent retroactively for the period the payment was intended to cover.</w:t>
      </w:r>
    </w:p>
    <w:p w14:paraId="0842819A" w14:textId="77777777" w:rsidR="009A4F22" w:rsidRDefault="009A4F22" w:rsidP="009A4F22">
      <w:bookmarkStart w:id="1672" w:name="_Hlk144893765"/>
      <w:r>
        <w:t xml:space="preserve">If the delayed-start payment is received outside of the time </w:t>
      </w:r>
      <w:r w:rsidR="00D4107E">
        <w:t>HHA</w:t>
      </w:r>
      <w:r>
        <w:t xml:space="preserve"> is processing </w:t>
      </w:r>
      <w:r w:rsidR="00D4107E">
        <w:t>a regular</w:t>
      </w:r>
      <w:r>
        <w:t xml:space="preserve"> </w:t>
      </w:r>
      <w:r w:rsidR="00615D42">
        <w:t>recertification</w:t>
      </w:r>
      <w:r>
        <w:t xml:space="preserve">, then </w:t>
      </w:r>
      <w:r w:rsidR="00615D42">
        <w:t>H</w:t>
      </w:r>
      <w:r>
        <w:t xml:space="preserve">HA will consider whether the amount meets the threshold to conduct an interim reexamination. If so, </w:t>
      </w:r>
      <w:r w:rsidR="00615D42">
        <w:t>HHA</w:t>
      </w:r>
      <w:r>
        <w:t xml:space="preserve"> will conduct an interim in accordance with </w:t>
      </w:r>
      <w:r w:rsidRPr="001D73F6">
        <w:t xml:space="preserve">policies </w:t>
      </w:r>
      <w:r w:rsidRPr="00E720A3">
        <w:t xml:space="preserve">in </w:t>
      </w:r>
      <w:r w:rsidR="00615D42">
        <w:t>this ACOP.</w:t>
      </w:r>
      <w:r>
        <w:t xml:space="preserve"> If not, </w:t>
      </w:r>
      <w:r w:rsidR="00615D42">
        <w:t>HHA</w:t>
      </w:r>
      <w:r>
        <w:t xml:space="preserve"> will consider the amount when processing the family’s next annual recertification.</w:t>
      </w:r>
    </w:p>
    <w:p w14:paraId="7A72ADA2" w14:textId="77777777" w:rsidR="0032580A" w:rsidRDefault="0032580A" w:rsidP="00ED3416">
      <w:pPr>
        <w:pStyle w:val="Heading4"/>
      </w:pPr>
      <w:r>
        <w:t>Retirement Income</w:t>
      </w:r>
    </w:p>
    <w:p w14:paraId="1C7C2500" w14:textId="77777777" w:rsidR="00ED3416" w:rsidRDefault="00ED3416" w:rsidP="00ED3416">
      <w:r>
        <w:t xml:space="preserve">Income received from any account under a retirement plan recognized as such by the IRS, including individual retirement arrangements (IRAs), employer retirement plans, and retirement plans for self-employed individuals is </w:t>
      </w:r>
      <w:bookmarkStart w:id="1673" w:name="_Hlk147319728"/>
      <w:r>
        <w:t>not considered actual income from assets</w:t>
      </w:r>
      <w:bookmarkEnd w:id="1673"/>
      <w:r>
        <w:t>.</w:t>
      </w:r>
      <w:r w:rsidR="00BE5651">
        <w:t xml:space="preserve"> </w:t>
      </w:r>
      <w:r>
        <w:t>However, any distribution of periodic payments from such accounts is included in annual income at the time they are received by the family.</w:t>
      </w:r>
    </w:p>
    <w:p w14:paraId="61A4424C" w14:textId="77777777" w:rsidR="009F5DED" w:rsidRDefault="009F5DED" w:rsidP="009F5DED">
      <w:pPr>
        <w:rPr>
          <w:b/>
        </w:rPr>
      </w:pPr>
      <w:r>
        <w:t>An asset moved to a retirement account held by a member of the family is not considered to be an asset disposed of for less than fair market value.</w:t>
      </w:r>
    </w:p>
    <w:p w14:paraId="75903A84" w14:textId="77777777" w:rsidR="009A4036" w:rsidRDefault="009A4036" w:rsidP="00762CC4">
      <w:pPr>
        <w:pStyle w:val="Heading4"/>
      </w:pPr>
      <w:r>
        <w:t xml:space="preserve">Social Security </w:t>
      </w:r>
      <w:r w:rsidR="00762CC4">
        <w:t>and SSI</w:t>
      </w:r>
    </w:p>
    <w:p w14:paraId="3921E326" w14:textId="77777777" w:rsidR="005B4872" w:rsidRDefault="005B4872" w:rsidP="005B4872">
      <w:r>
        <w:t>HHA is required to use the gross benefit amount to calculate annual income from Social Security benefits</w:t>
      </w:r>
      <w:r w:rsidR="006B46D5">
        <w:t>, including Supplemental Security Income (SSI)</w:t>
      </w:r>
      <w:r w:rsidR="00F01091">
        <w:t>.</w:t>
      </w:r>
    </w:p>
    <w:p w14:paraId="6413F2C2" w14:textId="77777777" w:rsidR="00762CC4" w:rsidRDefault="005B4872" w:rsidP="005B4872">
      <w:r>
        <w:t xml:space="preserve">Annually in October, the Social Security Administration (SSA) announces the cost-of-living adjustment (COLA) by which federal Social Security and SSI benefits are adjusted to reflect the increase, if any, in the cost of living. Effective the day after the SSA has announced the COLA, HHA is required to factor in the COLA when determining Social Security and SSI annual income for regular and interim recertifications of family income that have not yet been completed and will be effective January 1 or later of the upcoming year. </w:t>
      </w:r>
      <w:r w:rsidR="00F01091">
        <w:t>The federal COLA does not apply to state-paid disability benefits.</w:t>
      </w:r>
    </w:p>
    <w:p w14:paraId="6C54E107" w14:textId="77777777" w:rsidR="007800E7" w:rsidRDefault="005B4872" w:rsidP="005B4872">
      <w:r>
        <w:t xml:space="preserve">When a </w:t>
      </w:r>
      <w:bookmarkStart w:id="1674" w:name="_Hlk152146713"/>
      <w:r>
        <w:t xml:space="preserve">family member’s benefits are garnished, levied, or withheld to pay restitution, child support, tax debt, student loan debt, or other debts, </w:t>
      </w:r>
      <w:r w:rsidR="00D5582A">
        <w:t>H</w:t>
      </w:r>
      <w:r>
        <w:t>HA must use the gross amount of the income, prior to the reduction, to determine a family’s annual income</w:t>
      </w:r>
      <w:bookmarkEnd w:id="1674"/>
      <w:r>
        <w:t>.</w:t>
      </w:r>
      <w:r w:rsidR="00A716DB">
        <w:t xml:space="preserve"> </w:t>
      </w:r>
    </w:p>
    <w:p w14:paraId="0F49C09B" w14:textId="77777777" w:rsidR="005B4872" w:rsidRDefault="00A716DB" w:rsidP="005B4872">
      <w:r>
        <w:t>However, when the SSA overpays an individual, resulting in withholding or deduction from their benefit amount until the overpayment is paid in full, HHA must use the reduced benefit amount after deducting only the amount of the overpayment withholding from the gross benefit amount.</w:t>
      </w:r>
    </w:p>
    <w:p w14:paraId="1B6EC5EA" w14:textId="77777777" w:rsidR="002020E6" w:rsidRDefault="002020E6" w:rsidP="002020E6">
      <w:pPr>
        <w:pStyle w:val="Heading4"/>
      </w:pPr>
      <w:r>
        <w:t>Child Support and Alimony</w:t>
      </w:r>
    </w:p>
    <w:p w14:paraId="03AB600D" w14:textId="77777777" w:rsidR="00151A40" w:rsidRDefault="006B03C7" w:rsidP="005B4872">
      <w:r>
        <w:t xml:space="preserve">HHA will include as annual income only those </w:t>
      </w:r>
      <w:r w:rsidR="00BB6BB9">
        <w:t xml:space="preserve">child support and/or alimony payments that are actually received by the family. </w:t>
      </w:r>
      <w:r w:rsidR="00634F30">
        <w:t xml:space="preserve">If no payments have been made in the last </w:t>
      </w:r>
      <w:r w:rsidR="00977B48">
        <w:t>30 days</w:t>
      </w:r>
      <w:r w:rsidR="00186E6A">
        <w:t>, HHA will not include child support and/or alimony in annual income. Otherwise:</w:t>
      </w:r>
    </w:p>
    <w:p w14:paraId="6090957B" w14:textId="77777777" w:rsidR="002020E6" w:rsidRDefault="00151A40" w:rsidP="007F177E">
      <w:pPr>
        <w:pStyle w:val="ListParagraph"/>
        <w:numPr>
          <w:ilvl w:val="0"/>
          <w:numId w:val="155"/>
        </w:numPr>
        <w:contextualSpacing w:val="0"/>
      </w:pPr>
      <w:r>
        <w:t>At admission or interim recertification, HHA will</w:t>
      </w:r>
      <w:r w:rsidR="00586250">
        <w:t xml:space="preserve"> </w:t>
      </w:r>
      <w:r w:rsidR="00D0283A">
        <w:t xml:space="preserve">include </w:t>
      </w:r>
      <w:r w:rsidR="00586250">
        <w:t>average</w:t>
      </w:r>
      <w:r w:rsidR="00D0283A">
        <w:t>d</w:t>
      </w:r>
      <w:r w:rsidR="00586250">
        <w:t xml:space="preserve"> and annualiz</w:t>
      </w:r>
      <w:r w:rsidR="002300B1">
        <w:t>e</w:t>
      </w:r>
      <w:r w:rsidR="00D0283A">
        <w:t>d</w:t>
      </w:r>
      <w:r w:rsidR="002300B1">
        <w:t xml:space="preserve"> payments (excluding lump sum payments)</w:t>
      </w:r>
      <w:r w:rsidR="00FC0F02">
        <w:t xml:space="preserve"> received over the last </w:t>
      </w:r>
      <w:r w:rsidR="00977B48">
        <w:t>three full</w:t>
      </w:r>
      <w:r w:rsidR="00FC0F02">
        <w:t xml:space="preserve"> </w:t>
      </w:r>
      <w:r w:rsidR="006B354E">
        <w:t>months</w:t>
      </w:r>
      <w:r w:rsidR="003D430E">
        <w:t>, unless the family can verify that they expect to receive a different amount going forward</w:t>
      </w:r>
      <w:r w:rsidR="006B354E">
        <w:t>.</w:t>
      </w:r>
    </w:p>
    <w:p w14:paraId="25C389D2" w14:textId="77777777" w:rsidR="00A54639" w:rsidRDefault="00A54639" w:rsidP="007F177E">
      <w:pPr>
        <w:pStyle w:val="ListParagraph"/>
        <w:numPr>
          <w:ilvl w:val="0"/>
          <w:numId w:val="155"/>
        </w:numPr>
        <w:contextualSpacing w:val="0"/>
      </w:pPr>
      <w:r>
        <w:t xml:space="preserve">At regular recertification, HHA will calculate child support and/or alimony payments according to </w:t>
      </w:r>
      <w:r w:rsidR="00CB5752" w:rsidRPr="00186E6A">
        <w:rPr>
          <w:b/>
          <w:bCs/>
          <w:color w:val="0070C0"/>
        </w:rPr>
        <w:fldChar w:fldCharType="begin"/>
      </w:r>
      <w:r w:rsidR="00CB5752" w:rsidRPr="00186E6A">
        <w:rPr>
          <w:b/>
          <w:bCs/>
          <w:color w:val="0070C0"/>
        </w:rPr>
        <w:instrText xml:space="preserve"> REF _Ref155182968 \h  \* MERGEFORMAT </w:instrText>
      </w:r>
      <w:r w:rsidR="00CB5752" w:rsidRPr="00186E6A">
        <w:rPr>
          <w:b/>
          <w:bCs/>
          <w:color w:val="0070C0"/>
        </w:rPr>
      </w:r>
      <w:r w:rsidR="00CB5752" w:rsidRPr="00186E6A">
        <w:rPr>
          <w:b/>
          <w:bCs/>
          <w:color w:val="0070C0"/>
        </w:rPr>
        <w:fldChar w:fldCharType="separate"/>
      </w:r>
      <w:r w:rsidR="00CB5752" w:rsidRPr="00186E6A">
        <w:rPr>
          <w:b/>
          <w:bCs/>
          <w:color w:val="0070C0"/>
        </w:rPr>
        <w:t>Income at Regular Recertifications</w:t>
      </w:r>
      <w:r w:rsidR="00CB5752" w:rsidRPr="00186E6A">
        <w:rPr>
          <w:b/>
          <w:bCs/>
          <w:color w:val="0070C0"/>
        </w:rPr>
        <w:fldChar w:fldCharType="end"/>
      </w:r>
      <w:r w:rsidR="00CB5752">
        <w:t>.</w:t>
      </w:r>
      <w:r w:rsidR="003D430E">
        <w:t xml:space="preserve"> </w:t>
      </w:r>
    </w:p>
    <w:p w14:paraId="598AF39C" w14:textId="77777777" w:rsidR="00D40C2E" w:rsidRDefault="00D40C2E" w:rsidP="00232F6F">
      <w:pPr>
        <w:pStyle w:val="Heading4"/>
      </w:pPr>
      <w:r>
        <w:t>Public Assistance</w:t>
      </w:r>
    </w:p>
    <w:p w14:paraId="42B09BF6" w14:textId="77777777" w:rsidR="00D40C2E" w:rsidRDefault="00D40C2E" w:rsidP="00D40C2E">
      <w:r>
        <w:t>Public</w:t>
      </w:r>
      <w:r w:rsidR="00E8113F">
        <w:t xml:space="preserve"> (or welfare)</w:t>
      </w:r>
      <w:r>
        <w:t xml:space="preserve"> assistance</w:t>
      </w:r>
      <w:r w:rsidR="005A6F56">
        <w:t>—i</w:t>
      </w:r>
      <w:r>
        <w:t>ncluding Temporary Assistance for Needy Families (TANF)</w:t>
      </w:r>
      <w:r w:rsidR="007E0895">
        <w:t xml:space="preserve"> and </w:t>
      </w:r>
      <w:r w:rsidR="005A6F56">
        <w:t>any payments to individuals or families based on need that are made under programs funded separately or jointly by federal, state, or local governments—is included as annual income.</w:t>
      </w:r>
    </w:p>
    <w:p w14:paraId="0C5C029D" w14:textId="77777777" w:rsidR="00FE748B" w:rsidRDefault="00E8113F" w:rsidP="00FE748B">
      <w:r>
        <w:t>When a welfare agency imposes a sanction that reduces a</w:t>
      </w:r>
      <w:r w:rsidR="00E85849">
        <w:t xml:space="preserve"> resident</w:t>
      </w:r>
      <w:r>
        <w:t xml:space="preserve"> family</w:t>
      </w:r>
      <w:r w:rsidRPr="000158E6">
        <w:t>’</w:t>
      </w:r>
      <w:r>
        <w:t>s TANF income because the family commits fraud or fails to comply with the agency</w:t>
      </w:r>
      <w:r w:rsidRPr="000158E6">
        <w:t>’</w:t>
      </w:r>
      <w:r>
        <w:t xml:space="preserve">s economic self-sufficiency program or work activities requirement, </w:t>
      </w:r>
      <w:r w:rsidR="00CD0D6D">
        <w:t>H</w:t>
      </w:r>
      <w:r>
        <w:t>HA must include in annual income</w:t>
      </w:r>
      <w:r w:rsidR="00CD0D6D">
        <w:t xml:space="preserve"> the</w:t>
      </w:r>
      <w:r>
        <w:t xml:space="preserve"> </w:t>
      </w:r>
      <w:r w:rsidRPr="00CD0D6D">
        <w:rPr>
          <w:i/>
          <w:iCs/>
        </w:rPr>
        <w:t>imputed</w:t>
      </w:r>
      <w:r>
        <w:t xml:space="preserve"> welfare income</w:t>
      </w:r>
      <w:r w:rsidR="00A11BA6">
        <w:t xml:space="preserve">; however, this requirement </w:t>
      </w:r>
      <w:r w:rsidR="00E85849">
        <w:t>does not apply to applicant househo</w:t>
      </w:r>
      <w:r w:rsidR="00A11BA6">
        <w:t>lds</w:t>
      </w:r>
      <w:r w:rsidR="0040706C">
        <w:t xml:space="preserve"> (i.e., </w:t>
      </w:r>
      <w:r w:rsidR="000A350E">
        <w:t xml:space="preserve">if the individual receiving the TANF was not </w:t>
      </w:r>
      <w:r w:rsidR="00211C3A">
        <w:t>an assisted resident at the time of the sanction</w:t>
      </w:r>
      <w:r w:rsidR="00063413">
        <w:t>, the welfare income cannot be imputed</w:t>
      </w:r>
      <w:r w:rsidR="00211C3A">
        <w:t>).</w:t>
      </w:r>
      <w:r w:rsidR="00A11BA6">
        <w:t xml:space="preserve"> </w:t>
      </w:r>
      <w:r w:rsidR="00CD0D6D">
        <w:t>HHA</w:t>
      </w:r>
      <w:r>
        <w:t xml:space="preserve"> must request </w:t>
      </w:r>
      <w:r w:rsidR="002C070E">
        <w:t xml:space="preserve">from the welfare agency </w:t>
      </w:r>
      <w:r w:rsidR="00CD0D6D">
        <w:t>verification of</w:t>
      </w:r>
      <w:r>
        <w:t xml:space="preserve"> the reason for the reduction of benefits and the amount of the reduction of benefits. The imputed welfare income is the amount that the benefits were reduced as a result of the sanction. This requirement does </w:t>
      </w:r>
      <w:r w:rsidRPr="00FE748B">
        <w:rPr>
          <w:b/>
          <w:bCs/>
        </w:rPr>
        <w:t>not</w:t>
      </w:r>
      <w:r>
        <w:t xml:space="preserve"> apply to reductions in welfare benefits: </w:t>
      </w:r>
    </w:p>
    <w:p w14:paraId="40DCF722" w14:textId="77777777" w:rsidR="00FE748B" w:rsidRDefault="00FE748B" w:rsidP="00CB52D8">
      <w:pPr>
        <w:pStyle w:val="ListParagraph"/>
        <w:numPr>
          <w:ilvl w:val="3"/>
          <w:numId w:val="28"/>
        </w:numPr>
        <w:ind w:left="720"/>
        <w:contextualSpacing w:val="0"/>
      </w:pPr>
      <w:r>
        <w:t>A</w:t>
      </w:r>
      <w:r w:rsidR="00E8113F">
        <w:t xml:space="preserve">t the expiration of the lifetime or other time limit on the payment of welfare benefits, </w:t>
      </w:r>
    </w:p>
    <w:p w14:paraId="7801B2BB" w14:textId="77777777" w:rsidR="00FE748B" w:rsidRDefault="00FE748B" w:rsidP="00CB52D8">
      <w:pPr>
        <w:pStyle w:val="ListParagraph"/>
        <w:numPr>
          <w:ilvl w:val="3"/>
          <w:numId w:val="28"/>
        </w:numPr>
        <w:ind w:left="720"/>
        <w:contextualSpacing w:val="0"/>
      </w:pPr>
      <w:r>
        <w:t>I</w:t>
      </w:r>
      <w:r w:rsidR="00E8113F">
        <w:t>f a family member is unable to find employment even though the family member has complied with the welfare agency economic self-sufficiency or work activities requirements, or</w:t>
      </w:r>
    </w:p>
    <w:p w14:paraId="7432B8E6" w14:textId="77777777" w:rsidR="00E8113F" w:rsidRDefault="00FE748B" w:rsidP="00CB52D8">
      <w:pPr>
        <w:pStyle w:val="ListParagraph"/>
        <w:numPr>
          <w:ilvl w:val="3"/>
          <w:numId w:val="28"/>
        </w:numPr>
        <w:ind w:left="720"/>
        <w:contextualSpacing w:val="0"/>
      </w:pPr>
      <w:r>
        <w:t>B</w:t>
      </w:r>
      <w:r w:rsidR="00E8113F">
        <w:t>ecause a family member has not complied with other welfare agency requirements.</w:t>
      </w:r>
    </w:p>
    <w:p w14:paraId="58EC5141" w14:textId="77777777" w:rsidR="00232F6F" w:rsidRDefault="00E85849" w:rsidP="00D40C2E">
      <w:r>
        <w:t>The amount of the imputed welfare income is offset by the amount of additional income the family begins to receive after the sanction is imposed. When the additional income equals or exceeds the imputed welfare income, the imputed income is reduced to zero</w:t>
      </w:r>
      <w:r w:rsidR="00F3248F">
        <w:t>.</w:t>
      </w:r>
    </w:p>
    <w:p w14:paraId="7CF614A2" w14:textId="77777777" w:rsidR="00A85305" w:rsidRDefault="00A85305" w:rsidP="00A85305">
      <w:pPr>
        <w:pStyle w:val="Heading4"/>
      </w:pPr>
      <w:bookmarkStart w:id="1675" w:name="_Ref155258137"/>
      <w:r>
        <w:t>Trust</w:t>
      </w:r>
      <w:bookmarkEnd w:id="1675"/>
      <w:r w:rsidR="005F0D61">
        <w:t>s</w:t>
      </w:r>
    </w:p>
    <w:p w14:paraId="07828BE2" w14:textId="77777777" w:rsidR="00A85305" w:rsidRDefault="00A85305" w:rsidP="00A85305">
      <w:r>
        <w:rPr>
          <w:bCs/>
        </w:rPr>
        <w:t xml:space="preserve">A </w:t>
      </w:r>
      <w:r w:rsidRPr="004B0E64">
        <w:rPr>
          <w:bCs/>
          <w:i/>
        </w:rPr>
        <w:t>trust</w:t>
      </w:r>
      <w:r>
        <w:rPr>
          <w:bCs/>
        </w:rPr>
        <w:t xml:space="preserve"> is a legal arrangement generally regulated by state law in which one party (the creator or grantor) transfers property to a second party (the trustee) who holds the property for the benefit of one or more third parties (the beneficiaries).</w:t>
      </w:r>
    </w:p>
    <w:p w14:paraId="363D087C" w14:textId="77777777" w:rsidR="00A85305" w:rsidRDefault="00A85305" w:rsidP="0009144E">
      <w:r w:rsidRPr="006E2B6C">
        <w:t xml:space="preserve">The following types of </w:t>
      </w:r>
      <w:r>
        <w:t xml:space="preserve">trust </w:t>
      </w:r>
      <w:r w:rsidRPr="006E2B6C">
        <w:t>distributions</w:t>
      </w:r>
      <w:r>
        <w:t xml:space="preserve"> are excluded from annual income</w:t>
      </w:r>
      <w:r w:rsidRPr="006E2B6C">
        <w:t>:</w:t>
      </w:r>
    </w:p>
    <w:p w14:paraId="5E7B5D67" w14:textId="77777777" w:rsidR="00A85305" w:rsidRDefault="00A85305" w:rsidP="007F177E">
      <w:pPr>
        <w:numPr>
          <w:ilvl w:val="0"/>
          <w:numId w:val="160"/>
        </w:numPr>
        <w:tabs>
          <w:tab w:val="num" w:pos="360"/>
        </w:tabs>
        <w:ind w:left="360"/>
      </w:pPr>
      <w:r w:rsidRPr="006E2B6C">
        <w:t>Distributions of the principal or corpus of the trust; and</w:t>
      </w:r>
    </w:p>
    <w:p w14:paraId="3DBB28E3" w14:textId="77777777" w:rsidR="00A85305" w:rsidRDefault="00A85305" w:rsidP="007F177E">
      <w:pPr>
        <w:numPr>
          <w:ilvl w:val="0"/>
          <w:numId w:val="160"/>
        </w:numPr>
        <w:tabs>
          <w:tab w:val="num" w:pos="360"/>
        </w:tabs>
        <w:ind w:left="360"/>
      </w:pPr>
      <w:r w:rsidRPr="006E2B6C">
        <w:t>Distributions of income from the trust when the distributions are used to pay the costs of health and medical care expenses for a minor</w:t>
      </w:r>
      <w:r>
        <w:t>.</w:t>
      </w:r>
    </w:p>
    <w:p w14:paraId="501C5897" w14:textId="77777777" w:rsidR="00994871" w:rsidRDefault="00994871" w:rsidP="0009144E">
      <w:r>
        <w:t xml:space="preserve">See additional information under </w:t>
      </w:r>
      <w:r w:rsidRPr="00994871">
        <w:rPr>
          <w:b/>
          <w:bCs/>
          <w:color w:val="0070C0"/>
        </w:rPr>
        <w:fldChar w:fldCharType="begin"/>
      </w:r>
      <w:r w:rsidRPr="00994871">
        <w:rPr>
          <w:b/>
          <w:bCs/>
          <w:color w:val="0070C0"/>
        </w:rPr>
        <w:instrText xml:space="preserve"> REF TrustDistributions \h  \* MERGEFORMAT </w:instrText>
      </w:r>
      <w:r w:rsidRPr="00994871">
        <w:rPr>
          <w:b/>
          <w:bCs/>
          <w:color w:val="0070C0"/>
        </w:rPr>
      </w:r>
      <w:r w:rsidRPr="00994871">
        <w:rPr>
          <w:b/>
          <w:bCs/>
          <w:color w:val="0070C0"/>
        </w:rPr>
        <w:fldChar w:fldCharType="separate"/>
      </w:r>
      <w:r w:rsidRPr="00994871">
        <w:rPr>
          <w:b/>
          <w:bCs/>
          <w:color w:val="0070C0"/>
        </w:rPr>
        <w:t>trust distributions</w:t>
      </w:r>
      <w:r w:rsidRPr="00994871">
        <w:rPr>
          <w:b/>
          <w:bCs/>
          <w:color w:val="0070C0"/>
        </w:rPr>
        <w:fldChar w:fldCharType="end"/>
      </w:r>
      <w:r>
        <w:t xml:space="preserve"> (in the section on </w:t>
      </w:r>
      <w:r w:rsidRPr="00994871">
        <w:rPr>
          <w:b/>
          <w:bCs/>
          <w:color w:val="0070C0"/>
        </w:rPr>
        <w:fldChar w:fldCharType="begin"/>
      </w:r>
      <w:r w:rsidRPr="00994871">
        <w:rPr>
          <w:b/>
          <w:bCs/>
          <w:color w:val="0070C0"/>
        </w:rPr>
        <w:instrText xml:space="preserve"> REF _Ref148682977 \h  \* MERGEFORMAT </w:instrText>
      </w:r>
      <w:r w:rsidRPr="00994871">
        <w:rPr>
          <w:b/>
          <w:bCs/>
          <w:color w:val="0070C0"/>
        </w:rPr>
      </w:r>
      <w:r w:rsidRPr="00994871">
        <w:rPr>
          <w:b/>
          <w:bCs/>
          <w:color w:val="0070C0"/>
        </w:rPr>
        <w:fldChar w:fldCharType="separate"/>
      </w:r>
      <w:r w:rsidRPr="00994871">
        <w:rPr>
          <w:b/>
          <w:bCs/>
          <w:color w:val="0070C0"/>
        </w:rPr>
        <w:t>Annual Income Exclusions</w:t>
      </w:r>
      <w:r w:rsidRPr="00994871">
        <w:rPr>
          <w:b/>
          <w:bCs/>
          <w:color w:val="0070C0"/>
        </w:rPr>
        <w:fldChar w:fldCharType="end"/>
      </w:r>
      <w:r>
        <w:t xml:space="preserve">) and </w:t>
      </w:r>
      <w:r w:rsidRPr="00994871">
        <w:rPr>
          <w:b/>
          <w:bCs/>
          <w:color w:val="0070C0"/>
        </w:rPr>
        <w:fldChar w:fldCharType="begin"/>
      </w:r>
      <w:r w:rsidRPr="00994871">
        <w:rPr>
          <w:b/>
          <w:bCs/>
          <w:color w:val="0070C0"/>
        </w:rPr>
        <w:instrText xml:space="preserve"> REF _Ref155258042 \h  \* MERGEFORMAT </w:instrText>
      </w:r>
      <w:r w:rsidRPr="00994871">
        <w:rPr>
          <w:b/>
          <w:bCs/>
          <w:color w:val="0070C0"/>
        </w:rPr>
      </w:r>
      <w:r w:rsidRPr="00994871">
        <w:rPr>
          <w:b/>
          <w:bCs/>
          <w:color w:val="0070C0"/>
        </w:rPr>
        <w:fldChar w:fldCharType="separate"/>
      </w:r>
      <w:r w:rsidRPr="00994871">
        <w:rPr>
          <w:b/>
          <w:bCs/>
          <w:color w:val="0070C0"/>
        </w:rPr>
        <w:t>Trusts as Assets</w:t>
      </w:r>
      <w:r w:rsidRPr="00994871">
        <w:rPr>
          <w:b/>
          <w:bCs/>
          <w:color w:val="0070C0"/>
        </w:rPr>
        <w:fldChar w:fldCharType="end"/>
      </w:r>
      <w:r>
        <w:t xml:space="preserve"> in this chapter.</w:t>
      </w:r>
    </w:p>
    <w:p w14:paraId="6A7F87AC" w14:textId="77777777" w:rsidR="001C7277" w:rsidRDefault="001C7277" w:rsidP="001C7277">
      <w:pPr>
        <w:pStyle w:val="Heading4"/>
      </w:pPr>
      <w:r>
        <w:t>Non</w:t>
      </w:r>
      <w:r w:rsidR="00853D9E">
        <w:t>r</w:t>
      </w:r>
      <w:r>
        <w:t>ecurring Income</w:t>
      </w:r>
    </w:p>
    <w:p w14:paraId="3984C420" w14:textId="77777777" w:rsidR="001C7277" w:rsidRDefault="00AC0688" w:rsidP="001C7277">
      <w:bookmarkStart w:id="1676" w:name="_Hlk135221491"/>
      <w:r w:rsidRPr="008A33D8">
        <w:t xml:space="preserve">Nonrecurring income, which is income that will not be repeated </w:t>
      </w:r>
      <w:r>
        <w:t xml:space="preserve">beyond </w:t>
      </w:r>
      <w:r w:rsidRPr="008A33D8">
        <w:t xml:space="preserve">the coming year </w:t>
      </w:r>
      <w:bookmarkStart w:id="1677" w:name="_Hlk147320453"/>
      <w:r>
        <w:t>(e.g., 12 months following the effective date of the certification)</w:t>
      </w:r>
      <w:bookmarkEnd w:id="1677"/>
      <w:r>
        <w:t xml:space="preserve"> </w:t>
      </w:r>
      <w:r w:rsidRPr="008A33D8">
        <w:t>based on information provided by the family, is excluded from annual income.</w:t>
      </w:r>
      <w:r w:rsidR="00D125E3">
        <w:t xml:space="preserve"> See </w:t>
      </w:r>
      <w:r w:rsidR="00D125E3" w:rsidRPr="00D125E3">
        <w:rPr>
          <w:b/>
          <w:bCs/>
          <w:color w:val="0070C0"/>
        </w:rPr>
        <w:fldChar w:fldCharType="begin"/>
      </w:r>
      <w:r w:rsidR="00D125E3" w:rsidRPr="00D125E3">
        <w:rPr>
          <w:b/>
          <w:bCs/>
          <w:color w:val="0070C0"/>
        </w:rPr>
        <w:instrText xml:space="preserve"> REF NonrecurringIncome \h  \* MERGEFORMAT </w:instrText>
      </w:r>
      <w:r w:rsidR="00D125E3" w:rsidRPr="00D125E3">
        <w:rPr>
          <w:b/>
          <w:bCs/>
          <w:color w:val="0070C0"/>
        </w:rPr>
      </w:r>
      <w:r w:rsidR="00D125E3" w:rsidRPr="00D125E3">
        <w:rPr>
          <w:b/>
          <w:bCs/>
          <w:color w:val="0070C0"/>
        </w:rPr>
        <w:fldChar w:fldCharType="separate"/>
      </w:r>
      <w:r w:rsidR="00D125E3" w:rsidRPr="00D125E3">
        <w:rPr>
          <w:b/>
          <w:bCs/>
          <w:color w:val="0070C0"/>
        </w:rPr>
        <w:t>Nonrecurring income</w:t>
      </w:r>
      <w:r w:rsidR="00D125E3" w:rsidRPr="00D125E3">
        <w:rPr>
          <w:b/>
          <w:bCs/>
          <w:color w:val="0070C0"/>
        </w:rPr>
        <w:fldChar w:fldCharType="end"/>
      </w:r>
      <w:r w:rsidR="00D125E3">
        <w:t xml:space="preserve"> in the </w:t>
      </w:r>
      <w:r w:rsidR="00D125E3" w:rsidRPr="00D125E3">
        <w:rPr>
          <w:b/>
          <w:bCs/>
          <w:color w:val="0070C0"/>
        </w:rPr>
        <w:fldChar w:fldCharType="begin"/>
      </w:r>
      <w:r w:rsidR="00D125E3" w:rsidRPr="00D125E3">
        <w:rPr>
          <w:b/>
          <w:bCs/>
          <w:color w:val="0070C0"/>
        </w:rPr>
        <w:instrText xml:space="preserve"> REF _Ref148682977 \h </w:instrText>
      </w:r>
      <w:r w:rsidR="00D125E3">
        <w:rPr>
          <w:b/>
          <w:bCs/>
          <w:color w:val="0070C0"/>
        </w:rPr>
        <w:instrText xml:space="preserve"> \* MERGEFORMAT </w:instrText>
      </w:r>
      <w:r w:rsidR="00D125E3" w:rsidRPr="00D125E3">
        <w:rPr>
          <w:b/>
          <w:bCs/>
          <w:color w:val="0070C0"/>
        </w:rPr>
      </w:r>
      <w:r w:rsidR="00D125E3" w:rsidRPr="00D125E3">
        <w:rPr>
          <w:b/>
          <w:bCs/>
          <w:color w:val="0070C0"/>
        </w:rPr>
        <w:fldChar w:fldCharType="separate"/>
      </w:r>
      <w:r w:rsidR="00D125E3" w:rsidRPr="00D125E3">
        <w:rPr>
          <w:b/>
          <w:bCs/>
          <w:color w:val="0070C0"/>
        </w:rPr>
        <w:t>Annual Income Exclusions</w:t>
      </w:r>
      <w:r w:rsidR="00D125E3" w:rsidRPr="00D125E3">
        <w:rPr>
          <w:b/>
          <w:bCs/>
          <w:color w:val="0070C0"/>
        </w:rPr>
        <w:fldChar w:fldCharType="end"/>
      </w:r>
      <w:r w:rsidR="00D125E3">
        <w:t xml:space="preserve"> section of this chapter. </w:t>
      </w:r>
      <w:bookmarkEnd w:id="1676"/>
    </w:p>
    <w:p w14:paraId="3564D605" w14:textId="77777777" w:rsidR="00853D9E" w:rsidRDefault="00853D9E" w:rsidP="00853D9E">
      <w:r>
        <w:t xml:space="preserve">Income received as an independent contractor, day laborer, or seasonal worker is </w:t>
      </w:r>
      <w:r w:rsidRPr="00853D9E">
        <w:rPr>
          <w:b/>
          <w:bCs/>
        </w:rPr>
        <w:t>not</w:t>
      </w:r>
      <w:r>
        <w:t xml:space="preserve"> excluded from income as nonrecurring income, even if the source, date, or amount of the income varies. </w:t>
      </w:r>
    </w:p>
    <w:p w14:paraId="787341D9" w14:textId="77777777" w:rsidR="00500686" w:rsidRDefault="00853D9E" w:rsidP="00853D9E">
      <w:r>
        <w:t xml:space="preserve">Income that has a discrete end date and will not be repeated beyond the coming year during the family’s upcoming </w:t>
      </w:r>
      <w:r w:rsidR="00E24108">
        <w:t>regular recertification</w:t>
      </w:r>
      <w:r>
        <w:t xml:space="preserve"> period will be excluded from a family’s annual income as nonrecurring income. This exclusion does not include unemployment income and other types of periodic payments that are received at regular intervals (such as weekly, monthly, or yearly) for a period of greater than one year that can be extended. </w:t>
      </w:r>
    </w:p>
    <w:p w14:paraId="78B21F55" w14:textId="77777777" w:rsidR="00BC0DB5" w:rsidRPr="00765546" w:rsidRDefault="00BC0DB5" w:rsidP="00677451">
      <w:pPr>
        <w:pStyle w:val="Heading3"/>
      </w:pPr>
      <w:bookmarkStart w:id="1678" w:name="_Ref448463968"/>
      <w:bookmarkStart w:id="1679" w:name="_Toc512346260"/>
      <w:bookmarkStart w:id="1680" w:name="_Toc521054882"/>
      <w:bookmarkStart w:id="1681" w:name="_Toc527019404"/>
      <w:bookmarkStart w:id="1682" w:name="_Toc534706939"/>
      <w:bookmarkStart w:id="1683" w:name="_Toc534707617"/>
      <w:bookmarkStart w:id="1684" w:name="_Toc534708425"/>
      <w:bookmarkStart w:id="1685" w:name="_Toc118116007"/>
      <w:bookmarkStart w:id="1686" w:name="_Ref155184856"/>
      <w:bookmarkStart w:id="1687" w:name="_Toc200375687"/>
      <w:bookmarkEnd w:id="1646"/>
      <w:bookmarkEnd w:id="1647"/>
      <w:bookmarkEnd w:id="1648"/>
      <w:bookmarkEnd w:id="1649"/>
      <w:bookmarkEnd w:id="1650"/>
      <w:bookmarkEnd w:id="1651"/>
      <w:bookmarkEnd w:id="1672"/>
      <w:r w:rsidRPr="00765546">
        <w:t>Student Financial Assistance</w:t>
      </w:r>
      <w:bookmarkEnd w:id="1678"/>
      <w:bookmarkEnd w:id="1679"/>
      <w:bookmarkEnd w:id="1680"/>
      <w:bookmarkEnd w:id="1681"/>
      <w:bookmarkEnd w:id="1682"/>
      <w:bookmarkEnd w:id="1683"/>
      <w:bookmarkEnd w:id="1684"/>
      <w:bookmarkEnd w:id="1685"/>
      <w:bookmarkEnd w:id="1686"/>
      <w:bookmarkEnd w:id="1687"/>
    </w:p>
    <w:p w14:paraId="46BA2480" w14:textId="77777777" w:rsidR="003F0362" w:rsidRDefault="003F0362" w:rsidP="003F0362">
      <w:pPr>
        <w:rPr>
          <w:b/>
          <w:bCs/>
        </w:rPr>
      </w:pPr>
      <w:r>
        <w:t>The regulations under HOTMA distinguish between two categories of student financial assistance</w:t>
      </w:r>
      <w:r w:rsidRPr="0038473D">
        <w:t xml:space="preserve"> </w:t>
      </w:r>
      <w:r>
        <w:t>paid to both full-time and part-time students.</w:t>
      </w:r>
      <w:r>
        <w:rPr>
          <w:b/>
          <w:bCs/>
        </w:rPr>
        <w:t xml:space="preserve"> </w:t>
      </w:r>
    </w:p>
    <w:p w14:paraId="6E170FC0" w14:textId="77777777" w:rsidR="003F0362" w:rsidRPr="009F37B8" w:rsidRDefault="003F0362" w:rsidP="003F0362">
      <w:pPr>
        <w:pStyle w:val="ListParagraph"/>
        <w:numPr>
          <w:ilvl w:val="0"/>
          <w:numId w:val="311"/>
        </w:numPr>
        <w:spacing w:after="120"/>
        <w:contextualSpacing w:val="0"/>
        <w:rPr>
          <w:b/>
          <w:bCs/>
        </w:rPr>
      </w:pPr>
      <w:r>
        <w:t>Title IV HEA Assistance: any assistance to students under section 479B of the Higher Education Act of 1965 (Tile IV of the HEA) must be excluded from the family’s annual income [24 CFR 5.609(b)(9)(i)].</w:t>
      </w:r>
      <w:r w:rsidRPr="00BB47BE">
        <w:rPr>
          <w:b/>
          <w:bCs/>
        </w:rPr>
        <w:t xml:space="preserve"> </w:t>
      </w:r>
      <w:r>
        <w:t>Examples of assistance under title IV of the HEA include:</w:t>
      </w:r>
    </w:p>
    <w:p w14:paraId="05C41D02" w14:textId="77777777" w:rsidR="003F0362" w:rsidRDefault="003F0362" w:rsidP="00153FC1">
      <w:pPr>
        <w:pStyle w:val="ListParagraph"/>
        <w:numPr>
          <w:ilvl w:val="1"/>
          <w:numId w:val="313"/>
        </w:numPr>
        <w:spacing w:after="120"/>
        <w:contextualSpacing w:val="0"/>
      </w:pPr>
      <w:r>
        <w:t>Federal Pell Grants;</w:t>
      </w:r>
    </w:p>
    <w:p w14:paraId="4F998AB3" w14:textId="77777777" w:rsidR="003F0362" w:rsidRDefault="003F0362" w:rsidP="00153FC1">
      <w:pPr>
        <w:pStyle w:val="ListParagraph"/>
        <w:numPr>
          <w:ilvl w:val="1"/>
          <w:numId w:val="313"/>
        </w:numPr>
        <w:spacing w:after="120"/>
        <w:contextualSpacing w:val="0"/>
      </w:pPr>
      <w:r>
        <w:t>Teach Grants;</w:t>
      </w:r>
    </w:p>
    <w:p w14:paraId="506ADEFA" w14:textId="77777777" w:rsidR="003F0362" w:rsidRDefault="003F0362" w:rsidP="00153FC1">
      <w:pPr>
        <w:pStyle w:val="ListParagraph"/>
        <w:numPr>
          <w:ilvl w:val="1"/>
          <w:numId w:val="313"/>
        </w:numPr>
        <w:spacing w:after="120"/>
        <w:contextualSpacing w:val="0"/>
      </w:pPr>
      <w:r>
        <w:t>Federal Work Study Programs;</w:t>
      </w:r>
    </w:p>
    <w:p w14:paraId="2EF8F084" w14:textId="77777777" w:rsidR="003F0362" w:rsidRDefault="003F0362" w:rsidP="00153FC1">
      <w:pPr>
        <w:pStyle w:val="ListParagraph"/>
        <w:numPr>
          <w:ilvl w:val="1"/>
          <w:numId w:val="313"/>
        </w:numPr>
        <w:spacing w:after="120"/>
        <w:contextualSpacing w:val="0"/>
      </w:pPr>
      <w:r>
        <w:t>Federal Perkins Loans;</w:t>
      </w:r>
    </w:p>
    <w:p w14:paraId="1F2FCDAC" w14:textId="77777777" w:rsidR="003F0362" w:rsidRDefault="003F0362" w:rsidP="00153FC1">
      <w:pPr>
        <w:pStyle w:val="ListParagraph"/>
        <w:numPr>
          <w:ilvl w:val="1"/>
          <w:numId w:val="313"/>
        </w:numPr>
        <w:spacing w:after="120"/>
        <w:contextualSpacing w:val="0"/>
      </w:pPr>
      <w:r>
        <w:t>Income earned in employment and training programs under section 134 of the Workforce Innovation and Opportunity Act (WIOA); or</w:t>
      </w:r>
    </w:p>
    <w:p w14:paraId="07F21189" w14:textId="77777777" w:rsidR="003F0362" w:rsidRPr="00BB47BE" w:rsidRDefault="003F0362" w:rsidP="00153FC1">
      <w:pPr>
        <w:pStyle w:val="ListParagraph"/>
        <w:numPr>
          <w:ilvl w:val="1"/>
          <w:numId w:val="313"/>
        </w:numPr>
        <w:spacing w:after="120"/>
        <w:contextualSpacing w:val="0"/>
      </w:pPr>
      <w:r>
        <w:t xml:space="preserve"> Bureau of Indian Affairs/Education student assistance programs</w:t>
      </w:r>
    </w:p>
    <w:p w14:paraId="6C976446" w14:textId="77777777" w:rsidR="003F0362" w:rsidRPr="00BB47BE" w:rsidRDefault="003F0362" w:rsidP="003F0362">
      <w:pPr>
        <w:pStyle w:val="ListParagraph"/>
        <w:numPr>
          <w:ilvl w:val="0"/>
          <w:numId w:val="311"/>
        </w:numPr>
        <w:spacing w:after="120"/>
        <w:contextualSpacing w:val="0"/>
        <w:rPr>
          <w:b/>
          <w:bCs/>
        </w:rPr>
      </w:pPr>
      <w:r>
        <w:t xml:space="preserve">Other Student Financial Assistance: Any other grant-in-aid, scholarship, or other assistance amounts an individual receives for the actual covered costs charged by the institute of higher education not otherwise excluded by the federally mandated income exclusions are excluded [24 CFR 5.609(b)(9)(ii)]. </w:t>
      </w:r>
    </w:p>
    <w:p w14:paraId="31EDD247" w14:textId="77777777" w:rsidR="00BC0DB5" w:rsidRDefault="00BC0DB5" w:rsidP="00BC0DB5">
      <w:r>
        <w:t>HHA</w:t>
      </w:r>
      <w:r w:rsidRPr="00765546">
        <w:t xml:space="preserve"> will verify tuition and fees according to its verification policies. </w:t>
      </w:r>
      <w:r w:rsidR="00A940C5">
        <w:t xml:space="preserve">See </w:t>
      </w:r>
      <w:r w:rsidR="00A940C5" w:rsidRPr="002C6008">
        <w:rPr>
          <w:b/>
          <w:bCs/>
          <w:color w:val="0070C0"/>
        </w:rPr>
        <w:fldChar w:fldCharType="begin"/>
      </w:r>
      <w:r w:rsidR="00A940C5" w:rsidRPr="002C6008">
        <w:rPr>
          <w:b/>
          <w:bCs/>
          <w:color w:val="0070C0"/>
        </w:rPr>
        <w:instrText xml:space="preserve"> REF _Ref155179307 \h  \* MERGEFORMAT </w:instrText>
      </w:r>
      <w:r w:rsidR="00A940C5" w:rsidRPr="002C6008">
        <w:rPr>
          <w:b/>
          <w:bCs/>
          <w:color w:val="0070C0"/>
        </w:rPr>
      </w:r>
      <w:r w:rsidR="00A940C5" w:rsidRPr="002C6008">
        <w:rPr>
          <w:b/>
          <w:bCs/>
          <w:color w:val="0070C0"/>
        </w:rPr>
        <w:fldChar w:fldCharType="separate"/>
      </w:r>
      <w:r w:rsidR="00A940C5" w:rsidRPr="002C6008">
        <w:rPr>
          <w:b/>
          <w:bCs/>
          <w:color w:val="0070C0"/>
        </w:rPr>
        <w:t>Verification of Student Financial Assistance and Fees</w:t>
      </w:r>
      <w:r w:rsidR="00A940C5" w:rsidRPr="002C6008">
        <w:rPr>
          <w:b/>
          <w:bCs/>
          <w:color w:val="0070C0"/>
        </w:rPr>
        <w:fldChar w:fldCharType="end"/>
      </w:r>
      <w:r w:rsidR="00A940C5" w:rsidRPr="002C6008">
        <w:t xml:space="preserve">. </w:t>
      </w:r>
      <w:r w:rsidR="00A50C3B" w:rsidRPr="002C6008">
        <w:t xml:space="preserve">See </w:t>
      </w:r>
      <w:r w:rsidR="00A50C3B" w:rsidRPr="002C6008">
        <w:rPr>
          <w:b/>
          <w:bCs/>
          <w:color w:val="0070C0"/>
        </w:rPr>
        <w:fldChar w:fldCharType="begin"/>
      </w:r>
      <w:r w:rsidR="00A50C3B" w:rsidRPr="002C6008">
        <w:rPr>
          <w:b/>
          <w:bCs/>
          <w:color w:val="0070C0"/>
        </w:rPr>
        <w:instrText xml:space="preserve"> REF _Ref148682977 \h </w:instrText>
      </w:r>
      <w:r w:rsidR="0097688E" w:rsidRPr="002C6008">
        <w:rPr>
          <w:b/>
          <w:bCs/>
          <w:color w:val="0070C0"/>
        </w:rPr>
        <w:instrText xml:space="preserve"> \* MERGEFORMAT </w:instrText>
      </w:r>
      <w:r w:rsidR="00A50C3B" w:rsidRPr="002C6008">
        <w:rPr>
          <w:b/>
          <w:bCs/>
          <w:color w:val="0070C0"/>
        </w:rPr>
      </w:r>
      <w:r w:rsidR="00A50C3B" w:rsidRPr="002C6008">
        <w:rPr>
          <w:b/>
          <w:bCs/>
          <w:color w:val="0070C0"/>
        </w:rPr>
        <w:fldChar w:fldCharType="separate"/>
      </w:r>
      <w:r w:rsidR="00A50C3B" w:rsidRPr="002C6008">
        <w:rPr>
          <w:b/>
          <w:bCs/>
          <w:color w:val="0070C0"/>
        </w:rPr>
        <w:t>Annual Income Exclusions</w:t>
      </w:r>
      <w:r w:rsidR="00A50C3B" w:rsidRPr="002C6008">
        <w:rPr>
          <w:b/>
          <w:bCs/>
          <w:color w:val="0070C0"/>
        </w:rPr>
        <w:fldChar w:fldCharType="end"/>
      </w:r>
      <w:r w:rsidR="0097688E" w:rsidRPr="002C6008">
        <w:t xml:space="preserve"> for the portion of student financial assistance that is excluded.</w:t>
      </w:r>
    </w:p>
    <w:p w14:paraId="0BA8BFD8" w14:textId="77777777" w:rsidR="006C1F9B" w:rsidRDefault="006C1F9B" w:rsidP="00E45276">
      <w:pPr>
        <w:keepNext/>
      </w:pPr>
      <w:r>
        <w:t>HHA will calculate student financial assistance as follows:</w:t>
      </w:r>
    </w:p>
    <w:p w14:paraId="63D470F9" w14:textId="77777777" w:rsidR="006E5497" w:rsidRDefault="006E5497" w:rsidP="007F177E">
      <w:pPr>
        <w:pStyle w:val="ListParagraph"/>
        <w:keepNext/>
        <w:numPr>
          <w:ilvl w:val="0"/>
          <w:numId w:val="187"/>
        </w:numPr>
        <w:contextualSpacing w:val="0"/>
      </w:pPr>
      <w:r>
        <w:t xml:space="preserve">If a student only receives financial assistance under Title IV of the HEA and does not receive any other student financial assistance, </w:t>
      </w:r>
      <w:r w:rsidR="006C1F9B">
        <w:t>HHA</w:t>
      </w:r>
      <w:r>
        <w:t xml:space="preserve"> will exclude the full amount of the assistance received under Title IV from the family’s annual income. </w:t>
      </w:r>
      <w:r w:rsidR="006C1F9B">
        <w:t>HHA</w:t>
      </w:r>
      <w:r>
        <w:t xml:space="preserve"> will not calculate actual covered costs in this case. </w:t>
      </w:r>
    </w:p>
    <w:p w14:paraId="67FEE070" w14:textId="77777777" w:rsidR="000E60C2" w:rsidRDefault="006E5497" w:rsidP="007F177E">
      <w:pPr>
        <w:pStyle w:val="ListParagraph"/>
        <w:numPr>
          <w:ilvl w:val="0"/>
          <w:numId w:val="187"/>
        </w:numPr>
        <w:contextualSpacing w:val="0"/>
      </w:pPr>
      <w:r>
        <w:t xml:space="preserve">If the student does not receive any assistance under Title IV of the HEA but does receive assistance from another source, </w:t>
      </w:r>
      <w:r w:rsidR="006C1F9B">
        <w:t xml:space="preserve">HHA </w:t>
      </w:r>
      <w:r>
        <w:t xml:space="preserve">will first calculate the actual covered costs to the student in accordance with 24 CFR 5.609(b)(ii). </w:t>
      </w:r>
      <w:r w:rsidR="006C1F9B">
        <w:t>HHA</w:t>
      </w:r>
      <w:r>
        <w:t xml:space="preserve"> will then subtract the total amount of the student’s financial assistance from the student’s actual covered costs. </w:t>
      </w:r>
      <w:r w:rsidR="006C1F9B">
        <w:t>HHA</w:t>
      </w:r>
      <w:r>
        <w:t xml:space="preserve"> will include any amount of financial assistance in excess of the student’s actual covered costs in the family’s annual income.</w:t>
      </w:r>
    </w:p>
    <w:p w14:paraId="37F51CAD" w14:textId="77777777" w:rsidR="00913826" w:rsidRDefault="00221FF8" w:rsidP="007F177E">
      <w:pPr>
        <w:pStyle w:val="ListParagraph"/>
        <w:numPr>
          <w:ilvl w:val="0"/>
          <w:numId w:val="187"/>
        </w:numPr>
        <w:contextualSpacing w:val="0"/>
      </w:pPr>
      <w:r>
        <w:t xml:space="preserve">When a student receives assistance from both Title IV of the HEA and from other sources, HHA will first calculate the actual covered costs to the student in accordance with 24 CFR 5.609(b)(ii). The assistance received under Title IV of the HEA will be applied to the student’s actual covered costs first and then the other student financial assistance will be applied to any remaining actual covered costs. </w:t>
      </w:r>
    </w:p>
    <w:p w14:paraId="5159F994" w14:textId="77777777" w:rsidR="00913826" w:rsidRDefault="00221FF8" w:rsidP="007F177E">
      <w:pPr>
        <w:pStyle w:val="ListParagraph"/>
        <w:numPr>
          <w:ilvl w:val="1"/>
          <w:numId w:val="259"/>
        </w:numPr>
        <w:contextualSpacing w:val="0"/>
      </w:pPr>
      <w:r>
        <w:t xml:space="preserve">If the amount of assistance excluded under Title IV of the HEA </w:t>
      </w:r>
      <w:r w:rsidRPr="00913826">
        <w:rPr>
          <w:b/>
          <w:bCs/>
        </w:rPr>
        <w:t>equals or exceeds</w:t>
      </w:r>
      <w:r>
        <w:t xml:space="preserve"> the actual covered costs, none of the assistance included under other student financial assistance would be excluded from income.</w:t>
      </w:r>
    </w:p>
    <w:p w14:paraId="03C88FB7" w14:textId="77777777" w:rsidR="00913826" w:rsidRDefault="00913826" w:rsidP="007F177E">
      <w:pPr>
        <w:pStyle w:val="ListParagraph"/>
        <w:numPr>
          <w:ilvl w:val="1"/>
          <w:numId w:val="259"/>
        </w:numPr>
        <w:contextualSpacing w:val="0"/>
      </w:pPr>
      <w:r>
        <w:t xml:space="preserve">If the amount of assistance excluded under Title IV of the HEA is </w:t>
      </w:r>
      <w:r w:rsidRPr="00913826">
        <w:rPr>
          <w:b/>
          <w:bCs/>
        </w:rPr>
        <w:t>less than</w:t>
      </w:r>
      <w:r>
        <w:t xml:space="preserve"> the actual covered costs, HHA will exclude the amount of other student financial assistance up to the amount of the remaining actual covered costs.</w:t>
      </w:r>
    </w:p>
    <w:p w14:paraId="403E1701" w14:textId="77777777" w:rsidR="00366595" w:rsidRPr="00765546" w:rsidRDefault="00366595" w:rsidP="007F177E">
      <w:pPr>
        <w:pStyle w:val="Heading3"/>
        <w:numPr>
          <w:ilvl w:val="2"/>
          <w:numId w:val="154"/>
        </w:numPr>
        <w:ind w:left="360"/>
      </w:pPr>
      <w:bookmarkStart w:id="1688" w:name="_Toc200375688"/>
      <w:r w:rsidRPr="00765546">
        <w:t xml:space="preserve">Income </w:t>
      </w:r>
      <w:r>
        <w:t>o</w:t>
      </w:r>
      <w:r w:rsidRPr="00765546">
        <w:t>f Temporarily Absent Family Members</w:t>
      </w:r>
      <w:bookmarkEnd w:id="1688"/>
    </w:p>
    <w:p w14:paraId="29054BB2" w14:textId="77777777" w:rsidR="00366595" w:rsidRPr="00765546" w:rsidRDefault="00366595" w:rsidP="00366595">
      <w:r w:rsidRPr="00765546">
        <w:t xml:space="preserve">The income of family members approved to live in the unit will be counted, even if the family member is temporarily absent from the unit. See policies on </w:t>
      </w:r>
      <w:r w:rsidRPr="007E1AC5">
        <w:rPr>
          <w:b/>
          <w:color w:val="0070C0"/>
        </w:rPr>
        <w:fldChar w:fldCharType="begin"/>
      </w:r>
      <w:r w:rsidRPr="007E1AC5">
        <w:rPr>
          <w:b/>
          <w:color w:val="0070C0"/>
        </w:rPr>
        <w:instrText xml:space="preserve"> REF _Ref148685285 \h  \* MERGEFORMAT </w:instrText>
      </w:r>
      <w:r w:rsidRPr="007E1AC5">
        <w:rPr>
          <w:b/>
          <w:color w:val="0070C0"/>
        </w:rPr>
      </w:r>
      <w:r w:rsidRPr="007E1AC5">
        <w:rPr>
          <w:b/>
          <w:color w:val="0070C0"/>
        </w:rPr>
        <w:fldChar w:fldCharType="separate"/>
      </w:r>
      <w:r w:rsidRPr="007E1AC5">
        <w:rPr>
          <w:b/>
          <w:color w:val="0070C0"/>
        </w:rPr>
        <w:t>Temporarily and Permanently Absent Family Members</w:t>
      </w:r>
      <w:r w:rsidRPr="007E1AC5">
        <w:rPr>
          <w:b/>
          <w:color w:val="0070C0"/>
        </w:rPr>
        <w:fldChar w:fldCharType="end"/>
      </w:r>
      <w:r w:rsidRPr="00765546">
        <w:t xml:space="preserve"> for definition of </w:t>
      </w:r>
      <w:r w:rsidRPr="00765546">
        <w:rPr>
          <w:i/>
          <w:iCs/>
        </w:rPr>
        <w:t>Temporarily Absent</w:t>
      </w:r>
      <w:r w:rsidRPr="00765546">
        <w:t xml:space="preserve">.  </w:t>
      </w:r>
    </w:p>
    <w:p w14:paraId="4B35A655" w14:textId="77777777" w:rsidR="009E12F7" w:rsidRPr="00765546" w:rsidRDefault="009E12F7" w:rsidP="00677451">
      <w:pPr>
        <w:pStyle w:val="Heading3"/>
      </w:pPr>
      <w:bookmarkStart w:id="1689" w:name="_Toc521054879"/>
      <w:bookmarkStart w:id="1690" w:name="_Toc527019401"/>
      <w:bookmarkStart w:id="1691" w:name="_Toc534706936"/>
      <w:bookmarkStart w:id="1692" w:name="_Toc534707614"/>
      <w:bookmarkStart w:id="1693" w:name="_Toc534708422"/>
      <w:bookmarkStart w:id="1694" w:name="_Toc118116004"/>
      <w:bookmarkStart w:id="1695" w:name="_Toc200375689"/>
      <w:r w:rsidRPr="00765546">
        <w:t>Earned Income Disallowance</w:t>
      </w:r>
      <w:bookmarkEnd w:id="1689"/>
      <w:bookmarkEnd w:id="1690"/>
      <w:bookmarkEnd w:id="1691"/>
      <w:bookmarkEnd w:id="1692"/>
      <w:bookmarkEnd w:id="1693"/>
      <w:bookmarkEnd w:id="1694"/>
      <w:bookmarkEnd w:id="1695"/>
    </w:p>
    <w:p w14:paraId="643AED55" w14:textId="77777777" w:rsidR="009E12F7" w:rsidRDefault="009E12F7" w:rsidP="009E12F7">
      <w:r w:rsidRPr="00851339">
        <w:t>HUD is discontinuing the Earned Income Disregard (EID). As a result, no new individuals may qualify for the EID after December 31, 2023. Any individual who has an EID as of December 31, 2023 may continue to use the EID—as described in this section—until it expires</w:t>
      </w:r>
      <w:r>
        <w:t xml:space="preserve"> as of January 1, 2026</w:t>
      </w:r>
      <w:r w:rsidRPr="00851339">
        <w:t xml:space="preserve">. </w:t>
      </w:r>
    </w:p>
    <w:p w14:paraId="1AD8E1BE" w14:textId="77777777" w:rsidR="009E12F7" w:rsidRDefault="009E12F7" w:rsidP="009E12F7">
      <w:pPr>
        <w:pStyle w:val="Heading4"/>
      </w:pPr>
      <w:r>
        <w:t>Initial 12-Month Exclusion</w:t>
      </w:r>
    </w:p>
    <w:p w14:paraId="0D58EFB9" w14:textId="77777777" w:rsidR="009E12F7" w:rsidRDefault="009E12F7" w:rsidP="009E12F7">
      <w:r>
        <w:t>During the 12-month period beginning on the date a qualified family is first employed or the family first experiences an increase in annual income attributable to employment, HHA will exclude from annual income of a qualified family member any increase in income of the family member who is a person with disabilities as a result of employment over prior income of that family member.</w:t>
      </w:r>
    </w:p>
    <w:p w14:paraId="27F13A71" w14:textId="77777777" w:rsidR="009E12F7" w:rsidRDefault="009E12F7" w:rsidP="009E12F7">
      <w:pPr>
        <w:pStyle w:val="Heading4"/>
      </w:pPr>
      <w:r>
        <w:t xml:space="preserve">Second 12-Month Exclusion </w:t>
      </w:r>
    </w:p>
    <w:p w14:paraId="6C5BB74C" w14:textId="77777777" w:rsidR="009E12F7" w:rsidRDefault="009E12F7" w:rsidP="009E12F7">
      <w:r>
        <w:t>During the second 12-month exclusion period, HHA will exclude 100 percent of any increase in income attributable to new employment or increased earnings.</w:t>
      </w:r>
    </w:p>
    <w:p w14:paraId="1593CBEF" w14:textId="77777777" w:rsidR="009E12F7" w:rsidRDefault="009E12F7" w:rsidP="009E12F7">
      <w:pPr>
        <w:pStyle w:val="Heading4"/>
      </w:pPr>
      <w:r>
        <w:t>Lifetime Limitation</w:t>
      </w:r>
    </w:p>
    <w:p w14:paraId="620343E6" w14:textId="77777777" w:rsidR="009E12F7" w:rsidRPr="00F20C72" w:rsidRDefault="009E12F7" w:rsidP="009E12F7">
      <w:r>
        <w:t>The EID has a two-year (24-month) lifetime maximum.</w:t>
      </w:r>
      <w:r w:rsidRPr="009A5E45">
        <w:t xml:space="preserve"> </w:t>
      </w:r>
      <w:r>
        <w:t>The two-year eligibility period begins at the same time that the initial exclusion period begins and ends 24 months later.</w:t>
      </w:r>
      <w:r w:rsidRPr="009A5E45">
        <w:t xml:space="preserve"> </w:t>
      </w:r>
      <w:r>
        <w:t>During the 24-month period, an individual remains eligible for EID even if they begin to receive assistance from a different housing agency, move between public housing and HCV assistance, or have breaks in assistance. The EID will sunset on January 1, 2026.</w:t>
      </w:r>
      <w:bookmarkStart w:id="1696" w:name="_Hlk144816793"/>
      <w:r w:rsidRPr="00932BF3">
        <w:t xml:space="preserve"> </w:t>
      </w:r>
      <w:r>
        <w:t>In no circumstances will a family member’s exclusion period continue past January 1, 2026.</w:t>
      </w:r>
      <w:bookmarkEnd w:id="1696"/>
    </w:p>
    <w:p w14:paraId="3250B19C" w14:textId="77777777" w:rsidR="00BC0DB5" w:rsidRPr="00765546" w:rsidRDefault="00CC3614" w:rsidP="00CC3614">
      <w:pPr>
        <w:pStyle w:val="Heading2"/>
      </w:pPr>
      <w:bookmarkStart w:id="1697" w:name="_Asset_Income"/>
      <w:bookmarkStart w:id="1698" w:name="_Toc521054883"/>
      <w:bookmarkStart w:id="1699" w:name="_Toc527019407"/>
      <w:bookmarkStart w:id="1700" w:name="_Toc534706942"/>
      <w:bookmarkStart w:id="1701" w:name="_Toc534707620"/>
      <w:bookmarkStart w:id="1702" w:name="_Toc534708428"/>
      <w:bookmarkStart w:id="1703" w:name="_Toc118116010"/>
      <w:bookmarkStart w:id="1704" w:name="_Ref148683087"/>
      <w:bookmarkStart w:id="1705" w:name="_Ref165032401"/>
      <w:bookmarkStart w:id="1706" w:name="_Ref165032411"/>
      <w:bookmarkStart w:id="1707" w:name="_Toc173222710"/>
      <w:bookmarkStart w:id="1708" w:name="_Ref200025377"/>
      <w:bookmarkStart w:id="1709" w:name="_Toc200375690"/>
      <w:bookmarkStart w:id="1710" w:name="_Toc200376976"/>
      <w:bookmarkEnd w:id="1697"/>
      <w:r>
        <w:t xml:space="preserve">Determining Income from </w:t>
      </w:r>
      <w:r w:rsidR="00BC0DB5" w:rsidRPr="00765546">
        <w:t>Asset</w:t>
      </w:r>
      <w:r>
        <w:t>s</w:t>
      </w:r>
      <w:bookmarkEnd w:id="1698"/>
      <w:bookmarkEnd w:id="1699"/>
      <w:bookmarkEnd w:id="1700"/>
      <w:bookmarkEnd w:id="1701"/>
      <w:bookmarkEnd w:id="1702"/>
      <w:bookmarkEnd w:id="1703"/>
      <w:bookmarkEnd w:id="1704"/>
      <w:bookmarkEnd w:id="1705"/>
      <w:bookmarkEnd w:id="1706"/>
      <w:bookmarkEnd w:id="1707"/>
      <w:bookmarkEnd w:id="1708"/>
      <w:bookmarkEnd w:id="1709"/>
      <w:bookmarkEnd w:id="1710"/>
    </w:p>
    <w:p w14:paraId="5CBA8C74" w14:textId="77777777" w:rsidR="00195F91" w:rsidRDefault="00195F91" w:rsidP="00195F91">
      <w:r>
        <w:t>Briefly, n</w:t>
      </w:r>
      <w:r w:rsidRPr="00DA072D">
        <w:t>et family assets is the net cash value of all assets owned</w:t>
      </w:r>
      <w:r>
        <w:t xml:space="preserve"> </w:t>
      </w:r>
      <w:r w:rsidRPr="00DA072D">
        <w:t>by the family, after deducting reasonable costs that would be incurred in disposing real property, savings, stocks, bonds, and other forms of capital</w:t>
      </w:r>
      <w:r>
        <w:t xml:space="preserve"> </w:t>
      </w:r>
      <w:r w:rsidRPr="00DA072D">
        <w:t>investment.</w:t>
      </w:r>
      <w:r>
        <w:t xml:space="preserve"> </w:t>
      </w:r>
      <w:r w:rsidR="00DC15A3">
        <w:t>However, see the following for additional information:</w:t>
      </w:r>
    </w:p>
    <w:p w14:paraId="7BAB35B9" w14:textId="77777777" w:rsidR="00195F91" w:rsidRDefault="00DC15A3" w:rsidP="007F177E">
      <w:pPr>
        <w:pStyle w:val="ListParagraph"/>
        <w:numPr>
          <w:ilvl w:val="0"/>
          <w:numId w:val="157"/>
        </w:numPr>
        <w:contextualSpacing w:val="0"/>
      </w:pPr>
      <w:r>
        <w:t>T</w:t>
      </w:r>
      <w:r w:rsidR="00195F91">
        <w:t>he full</w:t>
      </w:r>
      <w:r w:rsidR="00195F91" w:rsidRPr="00BA2F83">
        <w:t xml:space="preserve"> definition of </w:t>
      </w:r>
      <w:r w:rsidR="00195F91" w:rsidRPr="000972E1">
        <w:rPr>
          <w:b/>
          <w:bCs/>
          <w:color w:val="0070C0"/>
        </w:rPr>
        <w:fldChar w:fldCharType="begin"/>
      </w:r>
      <w:r w:rsidR="00195F91" w:rsidRPr="000972E1">
        <w:rPr>
          <w:b/>
          <w:bCs/>
          <w:color w:val="0070C0"/>
        </w:rPr>
        <w:instrText xml:space="preserve"> REF NetFamilyAssets \h  \* MERGEFORMAT </w:instrText>
      </w:r>
      <w:r w:rsidR="00195F91" w:rsidRPr="000972E1">
        <w:rPr>
          <w:b/>
          <w:bCs/>
          <w:color w:val="0070C0"/>
        </w:rPr>
      </w:r>
      <w:r w:rsidR="00195F91" w:rsidRPr="000972E1">
        <w:rPr>
          <w:b/>
          <w:bCs/>
          <w:color w:val="0070C0"/>
        </w:rPr>
        <w:fldChar w:fldCharType="separate"/>
      </w:r>
      <w:r w:rsidR="00195F91" w:rsidRPr="000972E1">
        <w:rPr>
          <w:b/>
          <w:bCs/>
          <w:i/>
          <w:iCs/>
          <w:color w:val="0070C0"/>
        </w:rPr>
        <w:t>Net family assets</w:t>
      </w:r>
      <w:r w:rsidR="00195F91" w:rsidRPr="000972E1">
        <w:rPr>
          <w:b/>
          <w:bCs/>
          <w:color w:val="0070C0"/>
        </w:rPr>
        <w:fldChar w:fldCharType="end"/>
      </w:r>
      <w:r w:rsidR="00195F91" w:rsidRPr="000972E1">
        <w:rPr>
          <w:color w:val="0070C0"/>
        </w:rPr>
        <w:t xml:space="preserve"> </w:t>
      </w:r>
      <w:r w:rsidR="00195F91" w:rsidRPr="00BA2F83">
        <w:t>in</w:t>
      </w:r>
      <w:r w:rsidR="00195F91">
        <w:t xml:space="preserve"> </w:t>
      </w:r>
      <w:r w:rsidR="00195F91" w:rsidRPr="000972E1">
        <w:rPr>
          <w:b/>
          <w:bCs/>
          <w:color w:val="0070C0"/>
          <w:highlight w:val="yellow"/>
        </w:rPr>
        <w:fldChar w:fldCharType="begin"/>
      </w:r>
      <w:r w:rsidR="00195F91" w:rsidRPr="000972E1">
        <w:rPr>
          <w:b/>
          <w:bCs/>
          <w:color w:val="0070C0"/>
        </w:rPr>
        <w:instrText xml:space="preserve"> REF _Ref144994107 \h </w:instrText>
      </w:r>
      <w:r w:rsidR="00195F91" w:rsidRPr="000972E1">
        <w:rPr>
          <w:b/>
          <w:bCs/>
          <w:color w:val="0070C0"/>
          <w:highlight w:val="yellow"/>
        </w:rPr>
        <w:instrText xml:space="preserve"> \* MERGEFORMAT </w:instrText>
      </w:r>
      <w:r w:rsidR="00195F91" w:rsidRPr="000972E1">
        <w:rPr>
          <w:b/>
          <w:bCs/>
          <w:color w:val="0070C0"/>
          <w:highlight w:val="yellow"/>
        </w:rPr>
      </w:r>
      <w:r w:rsidR="00195F91" w:rsidRPr="000972E1">
        <w:rPr>
          <w:b/>
          <w:bCs/>
          <w:color w:val="0070C0"/>
          <w:highlight w:val="yellow"/>
        </w:rPr>
        <w:fldChar w:fldCharType="separate"/>
      </w:r>
      <w:r w:rsidR="00195F91" w:rsidRPr="000972E1">
        <w:rPr>
          <w:b/>
          <w:bCs/>
          <w:color w:val="0070C0"/>
        </w:rPr>
        <w:t>GLOSSARY OF TERMS AND DEFINITIONS</w:t>
      </w:r>
      <w:r w:rsidR="00195F91" w:rsidRPr="000972E1">
        <w:rPr>
          <w:b/>
          <w:bCs/>
          <w:color w:val="0070C0"/>
          <w:highlight w:val="yellow"/>
        </w:rPr>
        <w:fldChar w:fldCharType="end"/>
      </w:r>
      <w:r>
        <w:t>;</w:t>
      </w:r>
      <w:r w:rsidR="00195F91" w:rsidRPr="00BA2F83">
        <w:t xml:space="preserve"> </w:t>
      </w:r>
      <w:r w:rsidR="00195F91">
        <w:t xml:space="preserve"> </w:t>
      </w:r>
    </w:p>
    <w:p w14:paraId="7238F683" w14:textId="77777777" w:rsidR="00195F91" w:rsidRPr="00BA2F83" w:rsidRDefault="005A6D07" w:rsidP="007F177E">
      <w:pPr>
        <w:pStyle w:val="ListParagraph"/>
        <w:numPr>
          <w:ilvl w:val="0"/>
          <w:numId w:val="157"/>
        </w:numPr>
        <w:contextualSpacing w:val="0"/>
      </w:pPr>
      <w:r w:rsidRPr="005A6D07">
        <w:t xml:space="preserve">The section on </w:t>
      </w:r>
      <w:r w:rsidR="00195F91" w:rsidRPr="000972E1">
        <w:rPr>
          <w:color w:val="0070C0"/>
        </w:rPr>
        <w:fldChar w:fldCharType="begin"/>
      </w:r>
      <w:r w:rsidR="00195F91" w:rsidRPr="000972E1">
        <w:rPr>
          <w:color w:val="0070C0"/>
        </w:rPr>
        <w:instrText xml:space="preserve"> REF _Ref155251571 \h </w:instrText>
      </w:r>
      <w:r w:rsidR="00195F91" w:rsidRPr="000972E1">
        <w:rPr>
          <w:color w:val="0070C0"/>
        </w:rPr>
      </w:r>
      <w:r w:rsidR="00195F91" w:rsidRPr="000972E1">
        <w:rPr>
          <w:color w:val="0070C0"/>
        </w:rPr>
        <w:fldChar w:fldCharType="separate"/>
      </w:r>
      <w:r w:rsidR="00195F91" w:rsidRPr="000972E1">
        <w:rPr>
          <w:b/>
          <w:color w:val="0070C0"/>
        </w:rPr>
        <w:t>Exclusions from Assets</w:t>
      </w:r>
      <w:r w:rsidR="00195F91" w:rsidRPr="000972E1">
        <w:rPr>
          <w:color w:val="0070C0"/>
        </w:rPr>
        <w:fldChar w:fldCharType="end"/>
      </w:r>
      <w:r w:rsidR="00195F91">
        <w:t xml:space="preserve"> for what is </w:t>
      </w:r>
      <w:r w:rsidR="00195F91" w:rsidRPr="00601997">
        <w:rPr>
          <w:b/>
          <w:bCs/>
        </w:rPr>
        <w:t>not</w:t>
      </w:r>
      <w:r w:rsidR="00195F91">
        <w:t xml:space="preserve"> considered an asset</w:t>
      </w:r>
      <w:r w:rsidR="00DC15A3">
        <w:t>; and</w:t>
      </w:r>
    </w:p>
    <w:p w14:paraId="0E55E69F" w14:textId="77777777" w:rsidR="00195F91" w:rsidRDefault="005A6D07" w:rsidP="007F177E">
      <w:pPr>
        <w:pStyle w:val="ListParagraph"/>
        <w:numPr>
          <w:ilvl w:val="0"/>
          <w:numId w:val="157"/>
        </w:numPr>
        <w:contextualSpacing w:val="0"/>
      </w:pPr>
      <w:r>
        <w:t>The</w:t>
      </w:r>
      <w:r w:rsidR="00195F91" w:rsidRPr="00BA2F83">
        <w:t xml:space="preserve"> section on </w:t>
      </w:r>
      <w:r w:rsidR="00195F91" w:rsidRPr="000972E1">
        <w:rPr>
          <w:b/>
          <w:bCs/>
          <w:color w:val="0070C0"/>
          <w:highlight w:val="yellow"/>
        </w:rPr>
        <w:fldChar w:fldCharType="begin"/>
      </w:r>
      <w:r w:rsidR="00195F91" w:rsidRPr="000972E1">
        <w:rPr>
          <w:b/>
          <w:bCs/>
          <w:color w:val="0070C0"/>
        </w:rPr>
        <w:instrText xml:space="preserve"> REF _Ref144892635 \h </w:instrText>
      </w:r>
      <w:r w:rsidR="00195F91" w:rsidRPr="000972E1">
        <w:rPr>
          <w:b/>
          <w:bCs/>
          <w:color w:val="0070C0"/>
          <w:highlight w:val="yellow"/>
        </w:rPr>
        <w:instrText xml:space="preserve"> \* MERGEFORMAT </w:instrText>
      </w:r>
      <w:r w:rsidR="00195F91" w:rsidRPr="000972E1">
        <w:rPr>
          <w:b/>
          <w:bCs/>
          <w:color w:val="0070C0"/>
          <w:highlight w:val="yellow"/>
        </w:rPr>
      </w:r>
      <w:r w:rsidR="00195F91" w:rsidRPr="000972E1">
        <w:rPr>
          <w:b/>
          <w:bCs/>
          <w:color w:val="0070C0"/>
          <w:highlight w:val="yellow"/>
        </w:rPr>
        <w:fldChar w:fldCharType="separate"/>
      </w:r>
      <w:r w:rsidR="00195F91" w:rsidRPr="000972E1">
        <w:rPr>
          <w:b/>
          <w:bCs/>
          <w:color w:val="0070C0"/>
        </w:rPr>
        <w:t>Asset Restrictions</w:t>
      </w:r>
      <w:r w:rsidR="00195F91" w:rsidRPr="000972E1">
        <w:rPr>
          <w:b/>
          <w:bCs/>
          <w:color w:val="0070C0"/>
          <w:highlight w:val="yellow"/>
        </w:rPr>
        <w:fldChar w:fldCharType="end"/>
      </w:r>
      <w:r>
        <w:t xml:space="preserve">, </w:t>
      </w:r>
      <w:r w:rsidR="00195F91" w:rsidRPr="00BA2F83">
        <w:t>under which a household may be disqualified from admission or continued occupancy.</w:t>
      </w:r>
    </w:p>
    <w:p w14:paraId="107D0BF3" w14:textId="77777777" w:rsidR="00BC0DB5" w:rsidRPr="007A44D3" w:rsidRDefault="005A6D07" w:rsidP="007A44D3">
      <w:r>
        <w:t>Under MTW,</w:t>
      </w:r>
      <w:r w:rsidR="00195F91">
        <w:t xml:space="preserve"> HHA uses </w:t>
      </w:r>
      <w:r w:rsidR="00195F91" w:rsidRPr="007A44D3">
        <w:t>market value</w:t>
      </w:r>
      <w:r w:rsidR="00195F91" w:rsidRPr="00765546">
        <w:t xml:space="preserve"> </w:t>
      </w:r>
      <w:r w:rsidR="007A44D3">
        <w:t xml:space="preserve">in calculating assets. </w:t>
      </w:r>
      <w:r w:rsidR="007A44D3">
        <w:rPr>
          <w:i/>
          <w:iCs/>
        </w:rPr>
        <w:t xml:space="preserve">Market value </w:t>
      </w:r>
      <w:r w:rsidR="00195F91" w:rsidRPr="00765546">
        <w:t>is the face value of an asset, its worth in the market (i.e., the amount a buyer would pay for real estate or the total value of an investment account).</w:t>
      </w:r>
    </w:p>
    <w:p w14:paraId="284026DF" w14:textId="77777777" w:rsidR="00B010F0" w:rsidRDefault="00B83EF9" w:rsidP="00677451">
      <w:pPr>
        <w:pStyle w:val="Heading3"/>
      </w:pPr>
      <w:bookmarkStart w:id="1711" w:name="_Toc200375691"/>
      <w:r>
        <w:t>Necessary and Non-Necessary Property</w:t>
      </w:r>
      <w:bookmarkEnd w:id="1711"/>
    </w:p>
    <w:p w14:paraId="463DC179" w14:textId="77777777" w:rsidR="00DE048C" w:rsidRPr="0018067A" w:rsidRDefault="00DE048C" w:rsidP="00DE048C">
      <w:pPr>
        <w:pStyle w:val="ListParagraph"/>
        <w:pBdr>
          <w:top w:val="single" w:sz="4" w:space="1" w:color="auto"/>
          <w:left w:val="single" w:sz="4" w:space="4" w:color="auto"/>
          <w:bottom w:val="single" w:sz="4" w:space="1" w:color="auto"/>
          <w:right w:val="single" w:sz="4" w:space="4" w:color="auto"/>
        </w:pBdr>
        <w:ind w:left="0"/>
        <w:rPr>
          <w:b/>
          <w:bCs/>
          <w:i/>
          <w:iCs/>
          <w:u w:val="single"/>
        </w:rPr>
      </w:pPr>
      <w:bookmarkStart w:id="1712" w:name="_Hlk147324805"/>
      <w:bookmarkStart w:id="1713" w:name="_Hlk135223987"/>
      <w:bookmarkStart w:id="1714" w:name="_Hlk144887237"/>
      <w:r w:rsidRPr="0018067A">
        <w:rPr>
          <w:b/>
          <w:bCs/>
          <w:i/>
          <w:iCs/>
        </w:rPr>
        <w:t xml:space="preserve">Note: the following </w:t>
      </w:r>
      <w:r>
        <w:rPr>
          <w:b/>
          <w:bCs/>
          <w:i/>
          <w:iCs/>
        </w:rPr>
        <w:t>section is</w:t>
      </w:r>
      <w:r w:rsidRPr="0018067A">
        <w:rPr>
          <w:b/>
          <w:bCs/>
          <w:i/>
          <w:iCs/>
        </w:rPr>
        <w:t xml:space="preserve"> only applicable upon implementation of the HOTMA Final Rule (Sections 102 and 104). Prior to implementation, the following </w:t>
      </w:r>
      <w:r>
        <w:rPr>
          <w:b/>
          <w:bCs/>
          <w:i/>
          <w:iCs/>
        </w:rPr>
        <w:t>does not apply.</w:t>
      </w:r>
    </w:p>
    <w:p w14:paraId="401FF854" w14:textId="77777777" w:rsidR="003B16A8" w:rsidRDefault="003B16A8" w:rsidP="002B1B5B">
      <w:pPr>
        <w:keepNext/>
      </w:pPr>
      <w:r>
        <w:t xml:space="preserve">All assets are categorized as either </w:t>
      </w:r>
      <w:r w:rsidRPr="00A57FEE">
        <w:rPr>
          <w:i/>
          <w:iCs/>
        </w:rPr>
        <w:t>real property</w:t>
      </w:r>
      <w:r>
        <w:t xml:space="preserve"> (e.g., land, a home) or </w:t>
      </w:r>
      <w:r w:rsidRPr="00A57FEE">
        <w:rPr>
          <w:i/>
          <w:iCs/>
        </w:rPr>
        <w:t>personal property</w:t>
      </w:r>
      <w:r>
        <w:t>.</w:t>
      </w:r>
    </w:p>
    <w:p w14:paraId="258674A7" w14:textId="77777777" w:rsidR="003B16A8" w:rsidRDefault="003B16A8" w:rsidP="00AC46F6">
      <w:r w:rsidRPr="00A57FEE">
        <w:rPr>
          <w:i/>
          <w:iCs/>
        </w:rPr>
        <w:t>Personal property</w:t>
      </w:r>
      <w:r>
        <w:t xml:space="preserve"> includes tangible items, like boats, as well as intangible items, like bank accounts.</w:t>
      </w:r>
      <w:bookmarkEnd w:id="1712"/>
      <w:r w:rsidR="009200EC">
        <w:t xml:space="preserve"> Persona</w:t>
      </w:r>
      <w:r w:rsidR="00D058D6">
        <w:t>l</w:t>
      </w:r>
      <w:r w:rsidR="009200EC">
        <w:t xml:space="preserve"> property</w:t>
      </w:r>
      <w:r w:rsidR="00D058D6">
        <w:t xml:space="preserve"> </w:t>
      </w:r>
      <w:r w:rsidR="00E1073C">
        <w:t>may be</w:t>
      </w:r>
      <w:r w:rsidR="00D058D6">
        <w:t xml:space="preserve"> necessary or non-necessary, which d</w:t>
      </w:r>
      <w:r w:rsidR="00603DBA">
        <w:t>etermines whether they are considered to be assets.</w:t>
      </w:r>
    </w:p>
    <w:p w14:paraId="3235DEBF" w14:textId="77777777" w:rsidR="00CA3DB6" w:rsidRDefault="00235C07" w:rsidP="007F177E">
      <w:pPr>
        <w:pStyle w:val="ListParagraph"/>
        <w:keepNext/>
        <w:numPr>
          <w:ilvl w:val="0"/>
          <w:numId w:val="158"/>
        </w:numPr>
        <w:contextualSpacing w:val="0"/>
      </w:pPr>
      <w:r w:rsidRPr="00CD296C">
        <w:rPr>
          <w:i/>
          <w:iCs/>
        </w:rPr>
        <w:t>N</w:t>
      </w:r>
      <w:r w:rsidR="003B16A8" w:rsidRPr="00CD296C">
        <w:rPr>
          <w:i/>
          <w:iCs/>
        </w:rPr>
        <w:t>ecessary personal property</w:t>
      </w:r>
      <w:r w:rsidR="003B16A8">
        <w:t xml:space="preserve"> </w:t>
      </w:r>
      <w:r>
        <w:t>are</w:t>
      </w:r>
      <w:r w:rsidR="003B16A8">
        <w:t xml:space="preserve"> items essential to the family for the maintenance, use, and occupancy of the premises as a home; or they are necessary for employment, education, or health and wellness. </w:t>
      </w:r>
      <w:r w:rsidR="00D1617A">
        <w:t>This</w:t>
      </w:r>
      <w:r w:rsidR="003B16A8">
        <w:t xml:space="preserve"> may include</w:t>
      </w:r>
      <w:r w:rsidR="00D1617A">
        <w:t>:</w:t>
      </w:r>
    </w:p>
    <w:p w14:paraId="57AF0214" w14:textId="77777777" w:rsidR="00D1617A" w:rsidRDefault="00D1617A" w:rsidP="007F177E">
      <w:pPr>
        <w:pStyle w:val="ListParagraph"/>
        <w:keepNext/>
        <w:numPr>
          <w:ilvl w:val="1"/>
          <w:numId w:val="158"/>
        </w:numPr>
        <w:contextualSpacing w:val="0"/>
      </w:pPr>
      <w:r>
        <w:t>P</w:t>
      </w:r>
      <w:r w:rsidR="003B16A8">
        <w:t xml:space="preserve">ersonal effects (such as items that are ordinarily worn or utilized by the individual), </w:t>
      </w:r>
    </w:p>
    <w:p w14:paraId="6FEF980C" w14:textId="77777777" w:rsidR="00D1617A" w:rsidRDefault="00D1617A" w:rsidP="007F177E">
      <w:pPr>
        <w:pStyle w:val="ListParagraph"/>
        <w:keepNext/>
        <w:numPr>
          <w:ilvl w:val="1"/>
          <w:numId w:val="158"/>
        </w:numPr>
        <w:contextualSpacing w:val="0"/>
      </w:pPr>
      <w:r>
        <w:t>I</w:t>
      </w:r>
      <w:r w:rsidR="003B16A8">
        <w:t>tems that are convenient or useful to a reasonable existence</w:t>
      </w:r>
      <w:r w:rsidR="00894D56">
        <w:t xml:space="preserve"> (such as a car used for commuting)</w:t>
      </w:r>
      <w:r w:rsidR="003B16A8">
        <w:t xml:space="preserve">, </w:t>
      </w:r>
    </w:p>
    <w:p w14:paraId="55A8FBF2" w14:textId="77777777" w:rsidR="00D1617A" w:rsidRDefault="00D1617A" w:rsidP="007F177E">
      <w:pPr>
        <w:pStyle w:val="ListParagraph"/>
        <w:keepNext/>
        <w:numPr>
          <w:ilvl w:val="1"/>
          <w:numId w:val="158"/>
        </w:numPr>
        <w:contextualSpacing w:val="0"/>
      </w:pPr>
      <w:r>
        <w:t>I</w:t>
      </w:r>
      <w:r w:rsidR="003B16A8">
        <w:t xml:space="preserve">tems that support and facilitate daily life within the family’s home. </w:t>
      </w:r>
    </w:p>
    <w:p w14:paraId="4ED648DB" w14:textId="77777777" w:rsidR="00D1617A" w:rsidRDefault="00D1617A" w:rsidP="007F177E">
      <w:pPr>
        <w:pStyle w:val="ListParagraph"/>
        <w:keepNext/>
        <w:numPr>
          <w:ilvl w:val="1"/>
          <w:numId w:val="158"/>
        </w:numPr>
        <w:contextualSpacing w:val="0"/>
      </w:pPr>
      <w:r>
        <w:t>I</w:t>
      </w:r>
      <w:r w:rsidR="003B16A8">
        <w:t xml:space="preserve">tems that assist a household member with a disability, including any items related to disability-related needs, or that may be required for a reasonable accommodation for a person with a disability. </w:t>
      </w:r>
    </w:p>
    <w:p w14:paraId="0DB5E083" w14:textId="77777777" w:rsidR="00CA2D47" w:rsidRDefault="00CA2D47" w:rsidP="00CA2D47">
      <w:pPr>
        <w:pStyle w:val="ListParagraph"/>
        <w:contextualSpacing w:val="0"/>
      </w:pPr>
      <w:r>
        <w:t xml:space="preserve">The value of necessary items of personal property is </w:t>
      </w:r>
      <w:r w:rsidRPr="0008706A">
        <w:rPr>
          <w:b/>
          <w:bCs/>
        </w:rPr>
        <w:t>excluded</w:t>
      </w:r>
      <w:r>
        <w:t xml:space="preserve"> from the calculation of net family assets. </w:t>
      </w:r>
    </w:p>
    <w:p w14:paraId="1572CB19" w14:textId="77777777" w:rsidR="00801C5A" w:rsidRDefault="00CA3DB6" w:rsidP="007F177E">
      <w:pPr>
        <w:pStyle w:val="ListParagraph"/>
        <w:keepNext/>
        <w:numPr>
          <w:ilvl w:val="0"/>
          <w:numId w:val="159"/>
        </w:numPr>
        <w:contextualSpacing w:val="0"/>
      </w:pPr>
      <w:r>
        <w:t xml:space="preserve">Items of personal property that do not qualify as necessary personal property are classified as </w:t>
      </w:r>
      <w:r w:rsidRPr="00CA3DB6">
        <w:rPr>
          <w:i/>
          <w:iCs/>
        </w:rPr>
        <w:t>non-necessary personal property</w:t>
      </w:r>
      <w:r w:rsidR="00964827">
        <w:t>, such as bank accounts, other financial investments, or luxury items.</w:t>
      </w:r>
      <w:r w:rsidR="00261D96">
        <w:t xml:space="preserve"> These items are considered assets for HUD purposes.</w:t>
      </w:r>
    </w:p>
    <w:p w14:paraId="6FE638D3" w14:textId="77777777" w:rsidR="00634733" w:rsidRDefault="003B16A8" w:rsidP="007F177E">
      <w:pPr>
        <w:pStyle w:val="ListParagraph"/>
        <w:keepNext/>
        <w:numPr>
          <w:ilvl w:val="1"/>
          <w:numId w:val="159"/>
        </w:numPr>
        <w:contextualSpacing w:val="0"/>
      </w:pPr>
      <w:r>
        <w:t>The combined value of all non-necessary items of personal property is only included in annual income when the combined total value exceeds $50,000 (adjusted annually).</w:t>
      </w:r>
      <w:r w:rsidRPr="00A2760A">
        <w:t xml:space="preserve"> </w:t>
      </w:r>
    </w:p>
    <w:p w14:paraId="6E1EE013" w14:textId="77777777" w:rsidR="003B16A8" w:rsidRDefault="003B16A8" w:rsidP="007F177E">
      <w:pPr>
        <w:pStyle w:val="ListParagraph"/>
        <w:keepNext/>
        <w:numPr>
          <w:ilvl w:val="1"/>
          <w:numId w:val="159"/>
        </w:numPr>
        <w:contextualSpacing w:val="0"/>
      </w:pPr>
      <w:r>
        <w:t>When the combined value of all non-necessary personal property does not exceed $50,000, as adjusted by inflation, all non-necessary personal property is excluded from net family assets.</w:t>
      </w:r>
    </w:p>
    <w:p w14:paraId="3187289F" w14:textId="77777777" w:rsidR="00775874" w:rsidRPr="00765546" w:rsidRDefault="00775874" w:rsidP="00677451">
      <w:pPr>
        <w:pStyle w:val="Heading3"/>
      </w:pPr>
      <w:bookmarkStart w:id="1715" w:name="_Toc521054884"/>
      <w:bookmarkStart w:id="1716" w:name="_Toc527019408"/>
      <w:bookmarkStart w:id="1717" w:name="_Toc534706943"/>
      <w:bookmarkStart w:id="1718" w:name="_Toc534707621"/>
      <w:bookmarkStart w:id="1719" w:name="_Toc534708429"/>
      <w:bookmarkStart w:id="1720" w:name="_Toc118116011"/>
      <w:bookmarkStart w:id="1721" w:name="_Ref165035080"/>
      <w:bookmarkStart w:id="1722" w:name="_Ref165035085"/>
      <w:bookmarkStart w:id="1723" w:name="_Toc200375692"/>
      <w:bookmarkEnd w:id="1713"/>
      <w:bookmarkEnd w:id="1714"/>
      <w:r w:rsidRPr="00765546">
        <w:t>General Calculation of Asset Income</w:t>
      </w:r>
      <w:bookmarkEnd w:id="1715"/>
      <w:bookmarkEnd w:id="1716"/>
      <w:bookmarkEnd w:id="1717"/>
      <w:bookmarkEnd w:id="1718"/>
      <w:bookmarkEnd w:id="1719"/>
      <w:bookmarkEnd w:id="1720"/>
      <w:bookmarkEnd w:id="1721"/>
      <w:bookmarkEnd w:id="1722"/>
      <w:bookmarkEnd w:id="1723"/>
    </w:p>
    <w:p w14:paraId="292E2F02" w14:textId="77777777" w:rsidR="00775874" w:rsidRDefault="005D2171" w:rsidP="00775874">
      <w:r>
        <w:t>Annual income includes all actual anticipated income from assets (unless otherwise excluded by the regulations) even if the asset itself is excluded from net family assets</w:t>
      </w:r>
      <w:r w:rsidR="00775874">
        <w:t>.</w:t>
      </w:r>
    </w:p>
    <w:p w14:paraId="6BCE31FF" w14:textId="77777777" w:rsidR="00775874" w:rsidRDefault="00775874" w:rsidP="00775874">
      <w:pPr>
        <w:pStyle w:val="MTWBox"/>
      </w:pPr>
      <w:r w:rsidRPr="009C5DDB">
        <w:t>MTW Policy</w:t>
      </w:r>
    </w:p>
    <w:p w14:paraId="6060EE68" w14:textId="77777777" w:rsidR="00775874" w:rsidRPr="00770040" w:rsidRDefault="00775874" w:rsidP="00775874">
      <w:pPr>
        <w:pStyle w:val="MTWBox"/>
        <w:rPr>
          <w:b w:val="0"/>
          <w:bCs/>
          <w:i w:val="0"/>
          <w:iCs w:val="0"/>
        </w:rPr>
      </w:pPr>
      <w:r w:rsidRPr="00770040">
        <w:rPr>
          <w:i w:val="0"/>
          <w:iCs w:val="0"/>
        </w:rPr>
        <w:t>MTW Waiver</w:t>
      </w:r>
      <w:r w:rsidRPr="00770040">
        <w:rPr>
          <w:b w:val="0"/>
          <w:bCs/>
          <w:i w:val="0"/>
          <w:iCs w:val="0"/>
        </w:rPr>
        <w:t xml:space="preserve">: </w:t>
      </w:r>
      <w:r w:rsidR="00B72885">
        <w:rPr>
          <w:b w:val="0"/>
          <w:bCs/>
          <w:i w:val="0"/>
          <w:iCs w:val="0"/>
        </w:rPr>
        <w:t xml:space="preserve">1.v. – </w:t>
      </w:r>
      <w:r w:rsidRPr="00770040">
        <w:rPr>
          <w:b w:val="0"/>
          <w:bCs/>
          <w:i w:val="0"/>
          <w:iCs w:val="0"/>
        </w:rPr>
        <w:t>Alternative Income Inclusions/Exclusions</w:t>
      </w:r>
    </w:p>
    <w:p w14:paraId="01A705D8" w14:textId="77777777" w:rsidR="00775874" w:rsidRPr="000C5CB4" w:rsidRDefault="00775874" w:rsidP="00775874">
      <w:pPr>
        <w:pStyle w:val="MTWBox"/>
        <w:rPr>
          <w:b w:val="0"/>
          <w:bCs/>
          <w:i w:val="0"/>
          <w:iCs w:val="0"/>
        </w:rPr>
      </w:pPr>
      <w:r w:rsidRPr="00770040">
        <w:rPr>
          <w:i w:val="0"/>
          <w:iCs w:val="0"/>
        </w:rPr>
        <w:t>Approval Date</w:t>
      </w:r>
      <w:r w:rsidRPr="00770040">
        <w:rPr>
          <w:b w:val="0"/>
          <w:bCs/>
          <w:i w:val="0"/>
          <w:iCs w:val="0"/>
        </w:rPr>
        <w:t>: FY 2022</w:t>
      </w:r>
      <w:r w:rsidRPr="000C5CB4">
        <w:rPr>
          <w:b w:val="0"/>
          <w:bCs/>
          <w:i w:val="0"/>
          <w:iCs w:val="0"/>
        </w:rPr>
        <w:t xml:space="preserve"> </w:t>
      </w:r>
    </w:p>
    <w:p w14:paraId="7F97DED2" w14:textId="77777777" w:rsidR="00775874" w:rsidRPr="000C5CB4" w:rsidRDefault="00775874" w:rsidP="00775874">
      <w:pPr>
        <w:pStyle w:val="MTWBox"/>
        <w:rPr>
          <w:b w:val="0"/>
          <w:bCs/>
          <w:i w:val="0"/>
          <w:iCs w:val="0"/>
        </w:rPr>
      </w:pPr>
      <w:r w:rsidRPr="000C5CB4">
        <w:rPr>
          <w:i w:val="0"/>
          <w:iCs w:val="0"/>
        </w:rPr>
        <w:t>Applicable to</w:t>
      </w:r>
      <w:r w:rsidRPr="000C5CB4">
        <w:rPr>
          <w:b w:val="0"/>
          <w:bCs/>
          <w:i w:val="0"/>
          <w:iCs w:val="0"/>
        </w:rPr>
        <w:t>:</w:t>
      </w:r>
      <w:r>
        <w:rPr>
          <w:b w:val="0"/>
          <w:bCs/>
          <w:i w:val="0"/>
          <w:iCs w:val="0"/>
        </w:rPr>
        <w:t xml:space="preserve"> All </w:t>
      </w:r>
      <w:r w:rsidR="00B72885">
        <w:rPr>
          <w:b w:val="0"/>
          <w:bCs/>
          <w:i w:val="0"/>
          <w:iCs w:val="0"/>
        </w:rPr>
        <w:t>MTW-assisted households</w:t>
      </w:r>
    </w:p>
    <w:p w14:paraId="004C16B4" w14:textId="77777777" w:rsidR="00775874" w:rsidRPr="006533C3" w:rsidRDefault="00775874" w:rsidP="00775874">
      <w:pPr>
        <w:pStyle w:val="MTWBox"/>
        <w:rPr>
          <w:b w:val="0"/>
          <w:bCs/>
          <w:i w:val="0"/>
          <w:iCs w:val="0"/>
        </w:rPr>
      </w:pPr>
      <w:r w:rsidRPr="000C5CB4">
        <w:rPr>
          <w:i w:val="0"/>
          <w:iCs w:val="0"/>
        </w:rPr>
        <w:t>Description</w:t>
      </w:r>
      <w:r w:rsidRPr="006533C3">
        <w:rPr>
          <w:b w:val="0"/>
          <w:bCs/>
          <w:i w:val="0"/>
          <w:iCs w:val="0"/>
        </w:rPr>
        <w:t xml:space="preserve">: </w:t>
      </w:r>
      <w:bookmarkStart w:id="1724" w:name="_Toc118116013"/>
      <w:r w:rsidRPr="006533C3">
        <w:rPr>
          <w:b w:val="0"/>
          <w:bCs/>
          <w:i w:val="0"/>
          <w:iCs w:val="0"/>
        </w:rPr>
        <w:t xml:space="preserve">HHA will exclude the income from assets where the market value of the household’s combined assets is $50,000 or below.  </w:t>
      </w:r>
    </w:p>
    <w:p w14:paraId="020FB283" w14:textId="77777777" w:rsidR="00775874" w:rsidRPr="006533C3" w:rsidRDefault="00775874" w:rsidP="00775874">
      <w:pPr>
        <w:pStyle w:val="MTWBox"/>
        <w:rPr>
          <w:b w:val="0"/>
          <w:bCs/>
          <w:i w:val="0"/>
          <w:iCs w:val="0"/>
        </w:rPr>
      </w:pPr>
      <w:r w:rsidRPr="006533C3">
        <w:rPr>
          <w:b w:val="0"/>
          <w:bCs/>
          <w:i w:val="0"/>
          <w:iCs w:val="0"/>
        </w:rPr>
        <w:t>Where the market value of the asset</w:t>
      </w:r>
      <w:r w:rsidR="001A2545">
        <w:rPr>
          <w:b w:val="0"/>
          <w:bCs/>
          <w:i w:val="0"/>
          <w:iCs w:val="0"/>
        </w:rPr>
        <w:t>s</w:t>
      </w:r>
      <w:r w:rsidRPr="006533C3">
        <w:rPr>
          <w:b w:val="0"/>
          <w:bCs/>
          <w:i w:val="0"/>
          <w:iCs w:val="0"/>
        </w:rPr>
        <w:t xml:space="preserve"> is greater than $50,000, annual income shall include the greater of the actual income derived from all family assets or a percentage of the value of such assets based on the HUD-established passbook savings rate.</w:t>
      </w:r>
      <w:bookmarkEnd w:id="1724"/>
    </w:p>
    <w:p w14:paraId="2F400B22" w14:textId="77777777" w:rsidR="003B16A8" w:rsidRDefault="002C3914" w:rsidP="00677451">
      <w:pPr>
        <w:pStyle w:val="Heading3"/>
      </w:pPr>
      <w:bookmarkStart w:id="1725" w:name="_Toc200375693"/>
      <w:r>
        <w:t xml:space="preserve">Treatment of </w:t>
      </w:r>
      <w:r w:rsidR="009E497F">
        <w:t xml:space="preserve">Specific </w:t>
      </w:r>
      <w:r>
        <w:t>Assets</w:t>
      </w:r>
      <w:bookmarkEnd w:id="1725"/>
    </w:p>
    <w:p w14:paraId="46F7DA67" w14:textId="77777777" w:rsidR="002C3914" w:rsidRDefault="002C3914" w:rsidP="002C3914">
      <w:pPr>
        <w:pStyle w:val="Heading4"/>
      </w:pPr>
      <w:r>
        <w:t>Bank Accounts</w:t>
      </w:r>
    </w:p>
    <w:p w14:paraId="2D826AD0" w14:textId="77777777" w:rsidR="002C3914" w:rsidRDefault="002C3914" w:rsidP="008C1FC6">
      <w:r>
        <w:rPr>
          <w:iCs/>
        </w:rPr>
        <w:t xml:space="preserve">HUD considers bank accounts—checking, savings, credit union accounts—as </w:t>
      </w:r>
      <w:r w:rsidR="00E06720">
        <w:rPr>
          <w:iCs/>
        </w:rPr>
        <w:t>non-</w:t>
      </w:r>
      <w:r>
        <w:rPr>
          <w:iCs/>
        </w:rPr>
        <w:t>necessary items of personal property</w:t>
      </w:r>
      <w:r w:rsidR="00E06720">
        <w:rPr>
          <w:iCs/>
        </w:rPr>
        <w:t xml:space="preserve"> to be included as assets</w:t>
      </w:r>
      <w:r>
        <w:rPr>
          <w:iCs/>
        </w:rPr>
        <w:t xml:space="preserve">. </w:t>
      </w:r>
      <w:r w:rsidR="009B0EDC">
        <w:rPr>
          <w:iCs/>
        </w:rPr>
        <w:t xml:space="preserve">When the </w:t>
      </w:r>
      <w:r w:rsidR="001A2545">
        <w:rPr>
          <w:iCs/>
        </w:rPr>
        <w:t xml:space="preserve">value of the </w:t>
      </w:r>
      <w:r w:rsidR="009B0EDC">
        <w:rPr>
          <w:iCs/>
        </w:rPr>
        <w:t xml:space="preserve">household’s combined assets </w:t>
      </w:r>
      <w:r w:rsidR="001A2545">
        <w:rPr>
          <w:iCs/>
        </w:rPr>
        <w:t>is greater than $50,000,</w:t>
      </w:r>
      <w:r w:rsidR="009B0EDC">
        <w:rPr>
          <w:iCs/>
        </w:rPr>
        <w:t xml:space="preserve"> </w:t>
      </w:r>
      <w:r w:rsidR="008C1FC6">
        <w:rPr>
          <w:iCs/>
        </w:rPr>
        <w:t xml:space="preserve">HHA will use the current balance of </w:t>
      </w:r>
      <w:r w:rsidR="002216B7">
        <w:rPr>
          <w:iCs/>
        </w:rPr>
        <w:t xml:space="preserve">each account in determining its </w:t>
      </w:r>
      <w:r w:rsidR="0097505C">
        <w:rPr>
          <w:iCs/>
        </w:rPr>
        <w:t xml:space="preserve">market </w:t>
      </w:r>
      <w:r w:rsidR="002216B7">
        <w:rPr>
          <w:iCs/>
        </w:rPr>
        <w:t>value.</w:t>
      </w:r>
    </w:p>
    <w:p w14:paraId="7F4870FF" w14:textId="77777777" w:rsidR="009E497F" w:rsidRDefault="00BA587D" w:rsidP="003363D1">
      <w:pPr>
        <w:pStyle w:val="Heading4"/>
      </w:pPr>
      <w:r>
        <w:t>Investment Accounts</w:t>
      </w:r>
    </w:p>
    <w:p w14:paraId="1923D2C3" w14:textId="77777777" w:rsidR="003363D1" w:rsidRDefault="003363D1" w:rsidP="005B4889">
      <w:pPr>
        <w:rPr>
          <w:iCs/>
        </w:rPr>
      </w:pPr>
      <w:bookmarkStart w:id="1726" w:name="_Hlk147324699"/>
      <w:r>
        <w:rPr>
          <w:iCs/>
        </w:rPr>
        <w:t>HUD considers financial investments such as stocks, bonds, saving certificat</w:t>
      </w:r>
      <w:r w:rsidR="00BF0B71">
        <w:rPr>
          <w:iCs/>
        </w:rPr>
        <w:t>es, and money market funds</w:t>
      </w:r>
      <w:r>
        <w:rPr>
          <w:iCs/>
        </w:rPr>
        <w:t xml:space="preserve"> </w:t>
      </w:r>
      <w:r w:rsidRPr="00804B7A">
        <w:rPr>
          <w:iCs/>
        </w:rPr>
        <w:t>non-necessary items of personal property</w:t>
      </w:r>
      <w:r w:rsidR="00E06720">
        <w:rPr>
          <w:iCs/>
        </w:rPr>
        <w:t xml:space="preserve"> to be included as assets</w:t>
      </w:r>
      <w:r w:rsidRPr="00804B7A">
        <w:rPr>
          <w:iCs/>
        </w:rPr>
        <w:t>.</w:t>
      </w:r>
      <w:r w:rsidR="00702E5B">
        <w:rPr>
          <w:iCs/>
        </w:rPr>
        <w:t xml:space="preserve"> When the value of the household’s combined assets is greater than $50,000,</w:t>
      </w:r>
      <w:r w:rsidRPr="00804B7A">
        <w:rPr>
          <w:iCs/>
        </w:rPr>
        <w:t xml:space="preserve"> </w:t>
      </w:r>
      <w:r w:rsidR="00E06720">
        <w:rPr>
          <w:iCs/>
        </w:rPr>
        <w:t>HHA will use the current balance of each account as listed on its most recent statement</w:t>
      </w:r>
      <w:r w:rsidR="0097505C">
        <w:rPr>
          <w:iCs/>
        </w:rPr>
        <w:t xml:space="preserve"> as its market value.</w:t>
      </w:r>
    </w:p>
    <w:p w14:paraId="0E593A84" w14:textId="77777777" w:rsidR="00F559F2" w:rsidRDefault="00F559F2" w:rsidP="00247C70">
      <w:pPr>
        <w:pStyle w:val="Heading4"/>
      </w:pPr>
      <w:r>
        <w:t>Lump-Sum Additions to Family Assets</w:t>
      </w:r>
    </w:p>
    <w:p w14:paraId="10268BDC" w14:textId="77777777" w:rsidR="00F559F2" w:rsidRDefault="00247C70" w:rsidP="00F559F2">
      <w:r>
        <w:t>Any l</w:t>
      </w:r>
      <w:r w:rsidRPr="00580821">
        <w:t xml:space="preserve">ump-sum receipts are </w:t>
      </w:r>
      <w:r>
        <w:t xml:space="preserve">only </w:t>
      </w:r>
      <w:r w:rsidRPr="00580821">
        <w:t>counted as assets if they are retained by a family in a form recognizable as an asset</w:t>
      </w:r>
      <w:r>
        <w:t>.</w:t>
      </w:r>
      <w:r w:rsidR="00C46CA1">
        <w:t xml:space="preserve"> While lump sum additions to family assets, such as lottery or contest winnings</w:t>
      </w:r>
      <w:r w:rsidR="007B304F">
        <w:t xml:space="preserve"> or </w:t>
      </w:r>
      <w:r w:rsidR="007B304F" w:rsidRPr="007F43D5">
        <w:rPr>
          <w:b/>
          <w:bCs/>
          <w:color w:val="0070C0"/>
        </w:rPr>
        <w:fldChar w:fldCharType="begin"/>
      </w:r>
      <w:r w:rsidR="007B304F" w:rsidRPr="007F43D5">
        <w:rPr>
          <w:b/>
          <w:bCs/>
          <w:color w:val="0070C0"/>
        </w:rPr>
        <w:instrText xml:space="preserve"> REF _Ref155184996 \h </w:instrText>
      </w:r>
      <w:r w:rsidR="007F43D5" w:rsidRPr="007F43D5">
        <w:rPr>
          <w:b/>
          <w:bCs/>
          <w:color w:val="0070C0"/>
        </w:rPr>
        <w:instrText xml:space="preserve"> \* MERGEFORMAT </w:instrText>
      </w:r>
      <w:r w:rsidR="007B304F" w:rsidRPr="007F43D5">
        <w:rPr>
          <w:b/>
          <w:bCs/>
          <w:color w:val="0070C0"/>
        </w:rPr>
      </w:r>
      <w:r w:rsidR="007B304F" w:rsidRPr="007F43D5">
        <w:rPr>
          <w:b/>
          <w:bCs/>
          <w:color w:val="0070C0"/>
        </w:rPr>
        <w:fldChar w:fldCharType="separate"/>
      </w:r>
      <w:r w:rsidR="007B304F" w:rsidRPr="007F43D5">
        <w:rPr>
          <w:b/>
          <w:bCs/>
          <w:color w:val="0070C0"/>
        </w:rPr>
        <w:t>Lump-Sum Payments for the Delayed Start of a Periodic Payment</w:t>
      </w:r>
      <w:r w:rsidR="007B304F" w:rsidRPr="007F43D5">
        <w:rPr>
          <w:b/>
          <w:bCs/>
          <w:color w:val="0070C0"/>
        </w:rPr>
        <w:fldChar w:fldCharType="end"/>
      </w:r>
      <w:r w:rsidR="007F43D5">
        <w:t>, or other nonrecurring lump sum payments are not considered asset</w:t>
      </w:r>
      <w:r w:rsidR="000C0215">
        <w:t>s, HHA must consider any imputed returns from assets as income (provided total family assets exceed $50,000) at the family’s next regular recertification.</w:t>
      </w:r>
    </w:p>
    <w:p w14:paraId="31D0295A" w14:textId="77777777" w:rsidR="00C01A8E" w:rsidRDefault="00C01A8E" w:rsidP="00745559">
      <w:pPr>
        <w:pStyle w:val="Heading4"/>
      </w:pPr>
      <w:r>
        <w:t>Life Insurance</w:t>
      </w:r>
    </w:p>
    <w:p w14:paraId="19CF1E8A" w14:textId="77777777" w:rsidR="00032515" w:rsidRDefault="00745559" w:rsidP="00745559">
      <w:r>
        <w:t xml:space="preserve">The cash value of a life insurance policy available to a family member before death, such as a whole life or universal life policy, is included in the calculation of the </w:t>
      </w:r>
      <w:r w:rsidRPr="002C22EE">
        <w:t>value</w:t>
      </w:r>
      <w:r>
        <w:t xml:space="preserve"> of the family</w:t>
      </w:r>
      <w:r w:rsidRPr="000158E6">
        <w:t>’</w:t>
      </w:r>
      <w:r>
        <w:t xml:space="preserve">s assets. </w:t>
      </w:r>
      <w:r w:rsidR="009D5D6C">
        <w:t>HHA will use</w:t>
      </w:r>
      <w:r>
        <w:t xml:space="preserve"> the </w:t>
      </w:r>
      <w:r w:rsidR="009D5D6C">
        <w:t xml:space="preserve">policy’s </w:t>
      </w:r>
      <w:r>
        <w:t>current surrender value</w:t>
      </w:r>
      <w:r w:rsidR="009D5D6C">
        <w:t xml:space="preserve"> as the market value of the asset.</w:t>
      </w:r>
    </w:p>
    <w:p w14:paraId="39D35A7E" w14:textId="77777777" w:rsidR="00745559" w:rsidRDefault="00745559" w:rsidP="00745559">
      <w:bookmarkStart w:id="1727" w:name="_Hlk147326241"/>
      <w:r>
        <w:t>Net family assets do not include the value of term life insurance, which has no cash value to the individual before death.</w:t>
      </w:r>
      <w:bookmarkEnd w:id="1727"/>
    </w:p>
    <w:p w14:paraId="098416BE" w14:textId="77777777" w:rsidR="009B6870" w:rsidRDefault="009B6870" w:rsidP="00A85305">
      <w:pPr>
        <w:pStyle w:val="Heading4"/>
      </w:pPr>
      <w:bookmarkStart w:id="1728" w:name="_Ref155258042"/>
      <w:r>
        <w:t>Trusts</w:t>
      </w:r>
      <w:r w:rsidR="00E82103">
        <w:t xml:space="preserve"> as Assets</w:t>
      </w:r>
      <w:bookmarkEnd w:id="1728"/>
    </w:p>
    <w:p w14:paraId="2B693D9C" w14:textId="77777777" w:rsidR="00A85305" w:rsidRDefault="00A85305" w:rsidP="00A85305">
      <w:pPr>
        <w:rPr>
          <w:bCs/>
        </w:rPr>
      </w:pPr>
      <w:bookmarkStart w:id="1729" w:name="_Hlk135303164"/>
      <w:r>
        <w:rPr>
          <w:bCs/>
        </w:rPr>
        <w:t xml:space="preserve">There are two types of </w:t>
      </w:r>
      <w:r w:rsidR="00E7278B" w:rsidRPr="00127014">
        <w:rPr>
          <w:b/>
          <w:color w:val="0070C0"/>
        </w:rPr>
        <w:fldChar w:fldCharType="begin"/>
      </w:r>
      <w:r w:rsidR="00E7278B" w:rsidRPr="00127014">
        <w:rPr>
          <w:b/>
          <w:color w:val="0070C0"/>
        </w:rPr>
        <w:instrText xml:space="preserve"> REF _Ref155258137 \h  \* MERGEFORMAT </w:instrText>
      </w:r>
      <w:r w:rsidR="00E7278B" w:rsidRPr="00127014">
        <w:rPr>
          <w:b/>
          <w:color w:val="0070C0"/>
        </w:rPr>
      </w:r>
      <w:r w:rsidR="00E7278B" w:rsidRPr="00127014">
        <w:rPr>
          <w:b/>
          <w:color w:val="0070C0"/>
        </w:rPr>
        <w:fldChar w:fldCharType="separate"/>
      </w:r>
      <w:r w:rsidR="00E7278B" w:rsidRPr="00127014">
        <w:rPr>
          <w:b/>
          <w:color w:val="0070C0"/>
        </w:rPr>
        <w:t>Trusts</w:t>
      </w:r>
      <w:r w:rsidR="00E7278B" w:rsidRPr="00127014">
        <w:rPr>
          <w:b/>
          <w:color w:val="0070C0"/>
        </w:rPr>
        <w:fldChar w:fldCharType="end"/>
      </w:r>
      <w:r>
        <w:rPr>
          <w:bCs/>
        </w:rPr>
        <w:t xml:space="preserve">, </w:t>
      </w:r>
      <w:r w:rsidRPr="00800A74">
        <w:rPr>
          <w:bCs/>
          <w:i/>
          <w:iCs/>
        </w:rPr>
        <w:t>revocable</w:t>
      </w:r>
      <w:r>
        <w:rPr>
          <w:bCs/>
        </w:rPr>
        <w:t xml:space="preserve"> and </w:t>
      </w:r>
      <w:r w:rsidRPr="00800A74">
        <w:rPr>
          <w:bCs/>
          <w:i/>
          <w:iCs/>
        </w:rPr>
        <w:t>irrevocable</w:t>
      </w:r>
      <w:r>
        <w:rPr>
          <w:bCs/>
        </w:rPr>
        <w:t>.</w:t>
      </w:r>
      <w:r w:rsidRPr="00800A74">
        <w:rPr>
          <w:bCs/>
        </w:rPr>
        <w:t xml:space="preserve"> </w:t>
      </w:r>
      <w:r w:rsidR="00E5184B">
        <w:rPr>
          <w:bCs/>
        </w:rPr>
        <w:t xml:space="preserve"> </w:t>
      </w:r>
    </w:p>
    <w:p w14:paraId="7F6D4131" w14:textId="77777777" w:rsidR="00A85305" w:rsidRDefault="00E7278B" w:rsidP="008F344C">
      <w:r w:rsidRPr="0017182A">
        <w:rPr>
          <w:i/>
          <w:iCs/>
        </w:rPr>
        <w:t>Irrevocable trust</w:t>
      </w:r>
      <w:r w:rsidR="0017182A" w:rsidRPr="0017182A">
        <w:rPr>
          <w:i/>
          <w:iCs/>
        </w:rPr>
        <w:t>s</w:t>
      </w:r>
      <w:r w:rsidR="0017182A">
        <w:t xml:space="preserve">—which include special needs trusts—are </w:t>
      </w:r>
      <w:r w:rsidR="00A85305">
        <w:t>not under the control of any member of the family or household are not</w:t>
      </w:r>
      <w:r w:rsidR="004F00F5">
        <w:t xml:space="preserve"> included as</w:t>
      </w:r>
      <w:r w:rsidR="00A85305">
        <w:t xml:space="preserve"> assets.</w:t>
      </w:r>
      <w:bookmarkStart w:id="1730" w:name="_Hlk147325935"/>
      <w:r w:rsidR="004F00F5">
        <w:t xml:space="preserve"> HHA will also not include </w:t>
      </w:r>
      <w:r w:rsidR="00382F1C">
        <w:t>as income and amounts earned by the trust</w:t>
      </w:r>
      <w:bookmarkStart w:id="1731" w:name="_Hlk147325968"/>
      <w:bookmarkEnd w:id="1730"/>
      <w:r w:rsidR="00A85305">
        <w:t xml:space="preserve"> (e.g., interest earned, rental income if property is held in the trust) for so long as the income from the trust is not distributed.</w:t>
      </w:r>
      <w:r w:rsidR="00A85305" w:rsidRPr="008F1658">
        <w:t xml:space="preserve"> </w:t>
      </w:r>
    </w:p>
    <w:bookmarkEnd w:id="1731"/>
    <w:p w14:paraId="1D6AE57F" w14:textId="77777777" w:rsidR="00015847" w:rsidRDefault="00A85305" w:rsidP="00A85305">
      <w:r>
        <w:t xml:space="preserve">A </w:t>
      </w:r>
      <w:r w:rsidRPr="00800A74">
        <w:rPr>
          <w:i/>
          <w:iCs/>
        </w:rPr>
        <w:t>revocable trust</w:t>
      </w:r>
      <w:r>
        <w:t xml:space="preserve"> is a trust that the creator of the trust may amend or end (revoke). When there is a revocable trust, the creator has access to the funds in the trust account.</w:t>
      </w:r>
      <w:r w:rsidR="00015847">
        <w:t xml:space="preserve"> </w:t>
      </w:r>
    </w:p>
    <w:p w14:paraId="28F2F3CF" w14:textId="77777777" w:rsidR="00093F85" w:rsidRDefault="00093F85" w:rsidP="007F177E">
      <w:pPr>
        <w:pStyle w:val="ListParagraph"/>
        <w:numPr>
          <w:ilvl w:val="0"/>
          <w:numId w:val="159"/>
        </w:numPr>
        <w:contextualSpacing w:val="0"/>
      </w:pPr>
      <w:r>
        <w:t xml:space="preserve">Revocable trusts under the control of the family or household </w:t>
      </w:r>
      <w:bookmarkStart w:id="1732" w:name="_Hlk150270305"/>
      <w:r>
        <w:t xml:space="preserve">(e.g., the grantor is a member of the assisted family or household) </w:t>
      </w:r>
      <w:bookmarkEnd w:id="1732"/>
      <w:r>
        <w:t xml:space="preserve">are considered assets and must be included in family assets. </w:t>
      </w:r>
      <w:r w:rsidR="004F6190">
        <w:t>In this case, HHA will:</w:t>
      </w:r>
    </w:p>
    <w:p w14:paraId="0B80084C" w14:textId="77777777" w:rsidR="00963E24" w:rsidRDefault="004F6190" w:rsidP="007F177E">
      <w:pPr>
        <w:pStyle w:val="ListParagraph"/>
        <w:numPr>
          <w:ilvl w:val="1"/>
          <w:numId w:val="159"/>
        </w:numPr>
        <w:contextualSpacing w:val="0"/>
      </w:pPr>
      <w:r>
        <w:t>Exclude as income</w:t>
      </w:r>
      <w:r w:rsidR="00963E24">
        <w:t xml:space="preserve"> any</w:t>
      </w:r>
      <w:r w:rsidR="00E21DE8">
        <w:t xml:space="preserve"> distributions from the trust to the family</w:t>
      </w:r>
      <w:r w:rsidR="00963E24">
        <w:t>;</w:t>
      </w:r>
    </w:p>
    <w:p w14:paraId="49CAF2A6" w14:textId="77777777" w:rsidR="00E21DE8" w:rsidRPr="00397003" w:rsidRDefault="00963E24" w:rsidP="007F177E">
      <w:pPr>
        <w:pStyle w:val="ListParagraph"/>
        <w:numPr>
          <w:ilvl w:val="1"/>
          <w:numId w:val="159"/>
        </w:numPr>
        <w:contextualSpacing w:val="0"/>
      </w:pPr>
      <w:r>
        <w:t xml:space="preserve">Include </w:t>
      </w:r>
      <w:r w:rsidR="00E21DE8">
        <w:t xml:space="preserve">imputed </w:t>
      </w:r>
      <w:r w:rsidR="00AE4C88">
        <w:t>income from the assets if the family’s total assets exceed $50,000.</w:t>
      </w:r>
    </w:p>
    <w:p w14:paraId="09CB9623" w14:textId="77777777" w:rsidR="006C4067" w:rsidRDefault="00EA3059" w:rsidP="007F177E">
      <w:pPr>
        <w:pStyle w:val="ListParagraph"/>
        <w:numPr>
          <w:ilvl w:val="0"/>
          <w:numId w:val="159"/>
        </w:numPr>
        <w:contextualSpacing w:val="0"/>
      </w:pPr>
      <w:r>
        <w:t>R</w:t>
      </w:r>
      <w:r w:rsidR="00A85305">
        <w:t xml:space="preserve">evocable trusts that are </w:t>
      </w:r>
      <w:r w:rsidR="00A85305" w:rsidRPr="00EA3059">
        <w:rPr>
          <w:b/>
          <w:bCs/>
        </w:rPr>
        <w:t>not</w:t>
      </w:r>
      <w:r w:rsidR="00A85305">
        <w:t xml:space="preserve"> under the control of the family are excluded from family assets. This happens when a member of the assisted family is the beneficiary of a revocable trust, but the grantor is not a member of the assisted family. For the revocable trust to be considered excluded from family assets, no family or household member may be the account’s trustee.</w:t>
      </w:r>
      <w:r w:rsidR="00A85305" w:rsidRPr="006A5F96">
        <w:t xml:space="preserve"> </w:t>
      </w:r>
    </w:p>
    <w:bookmarkEnd w:id="1726"/>
    <w:bookmarkEnd w:id="1729"/>
    <w:p w14:paraId="624B694C" w14:textId="77777777" w:rsidR="00E06720" w:rsidRDefault="00E06720" w:rsidP="00E06720">
      <w:pPr>
        <w:pStyle w:val="Heading4"/>
      </w:pPr>
      <w:r>
        <w:t>ABLE Accounts</w:t>
      </w:r>
    </w:p>
    <w:p w14:paraId="02136560" w14:textId="77777777" w:rsidR="00E06720" w:rsidRDefault="00E06720" w:rsidP="00E06720">
      <w:r>
        <w:t xml:space="preserve">An Achieving a Better Life Experience (ABLE) account is a type of tax-advantaged savings account that an eligible individual can use to pay for qualified disability expenses. Section 103 of the ABLE Act mandates that an individual’s ABLE account (specifically, its account balance, contributions to the account, and distributions from the account) is excluded when determining the designated beneficiary’s eligibility and continued occupancy under certain federal means-tested programs. </w:t>
      </w:r>
    </w:p>
    <w:p w14:paraId="3D24C268" w14:textId="77777777" w:rsidR="00E06720" w:rsidRDefault="00E06720" w:rsidP="00E06720">
      <w:r>
        <w:t>HHA will exclude the entire value of the individual’s ABLE account from the household’s assets. Distributions from the ABLE account are also not considered income. However, all wage income received, regardless of which account the money is paid to, is included as income.</w:t>
      </w:r>
    </w:p>
    <w:p w14:paraId="4642E1E8" w14:textId="77777777" w:rsidR="005132D3" w:rsidRDefault="005132D3" w:rsidP="005132D3">
      <w:pPr>
        <w:pStyle w:val="Heading4"/>
      </w:pPr>
      <w:r>
        <w:t>Luxury Items and Other Non-Necessary Personal Property</w:t>
      </w:r>
    </w:p>
    <w:p w14:paraId="5DFBBF60" w14:textId="77777777" w:rsidR="001C292F" w:rsidRPr="00AE2C10" w:rsidRDefault="001C292F" w:rsidP="001C292F">
      <w:pPr>
        <w:pStyle w:val="ListParagraph"/>
        <w:pBdr>
          <w:top w:val="single" w:sz="4" w:space="1" w:color="auto"/>
          <w:left w:val="single" w:sz="4" w:space="0" w:color="auto"/>
          <w:bottom w:val="single" w:sz="4" w:space="1" w:color="auto"/>
          <w:right w:val="single" w:sz="4" w:space="4" w:color="auto"/>
        </w:pBdr>
        <w:ind w:left="0"/>
        <w:rPr>
          <w:b/>
          <w:bCs/>
          <w:i/>
          <w:iCs/>
        </w:rPr>
      </w:pPr>
      <w:r w:rsidRPr="0018067A">
        <w:rPr>
          <w:b/>
          <w:bCs/>
          <w:i/>
          <w:iCs/>
        </w:rPr>
        <w:t xml:space="preserve">Note: the following </w:t>
      </w:r>
      <w:r>
        <w:rPr>
          <w:b/>
          <w:bCs/>
          <w:i/>
          <w:iCs/>
        </w:rPr>
        <w:t>section is</w:t>
      </w:r>
      <w:r w:rsidRPr="0018067A">
        <w:rPr>
          <w:b/>
          <w:bCs/>
          <w:i/>
          <w:iCs/>
        </w:rPr>
        <w:t xml:space="preserve"> only applicable upon implementation of the HOTMA Final Rule (Sections 102 and 104). Prior to implementation, the following </w:t>
      </w:r>
      <w:r>
        <w:rPr>
          <w:b/>
          <w:bCs/>
          <w:i/>
          <w:iCs/>
        </w:rPr>
        <w:t>does not apply.</w:t>
      </w:r>
    </w:p>
    <w:p w14:paraId="0EE14EC3" w14:textId="77777777" w:rsidR="005132D3" w:rsidRDefault="005132D3" w:rsidP="005132D3">
      <w:r>
        <w:t xml:space="preserve">In determining the </w:t>
      </w:r>
      <w:r w:rsidRPr="00E74BCC">
        <w:t>value</w:t>
      </w:r>
      <w:r>
        <w:t xml:space="preserve"> of non-necessary personal property where the market value cannot be readily quantified (such as through a financial statement), HHA will use the family</w:t>
      </w:r>
      <w:r w:rsidRPr="000158E6">
        <w:t>’</w:t>
      </w:r>
      <w:r>
        <w:t>s estimate of the value.</w:t>
      </w:r>
      <w:r w:rsidRPr="009A5E45">
        <w:t xml:space="preserve"> </w:t>
      </w:r>
      <w:r>
        <w:t>HHA may obtain an appraisal if there is reason to believe that the family’s estimated value is off by $50 or more. The family must cooperate with the appraiser but cannot be charged any costs related to the appraisal.</w:t>
      </w:r>
    </w:p>
    <w:p w14:paraId="74973B45" w14:textId="77777777" w:rsidR="00BC0DB5" w:rsidRDefault="00BC0DB5" w:rsidP="00677451">
      <w:pPr>
        <w:pStyle w:val="Heading3"/>
        <w:rPr>
          <w:rFonts w:cs="Arial"/>
          <w:szCs w:val="20"/>
        </w:rPr>
      </w:pPr>
      <w:bookmarkStart w:id="1733" w:name="_Toc200375694"/>
      <w:r w:rsidRPr="00765546">
        <w:t>Jointly Owned Assets</w:t>
      </w:r>
      <w:bookmarkEnd w:id="1733"/>
    </w:p>
    <w:p w14:paraId="68C9BB41" w14:textId="77777777" w:rsidR="00073EC1" w:rsidRDefault="00BC0DB5" w:rsidP="00563BB6">
      <w:r w:rsidRPr="00765546">
        <w:t xml:space="preserve">If an asset is owned by more than one person and any family member has unrestricted access to the asset, the </w:t>
      </w:r>
      <w:r>
        <w:t>HHA</w:t>
      </w:r>
      <w:r w:rsidRPr="00765546">
        <w:t xml:space="preserve"> will count the full value of the asset</w:t>
      </w:r>
      <w:r w:rsidR="00073EC1">
        <w:t xml:space="preserve"> unless:</w:t>
      </w:r>
    </w:p>
    <w:p w14:paraId="1E2189C0" w14:textId="77777777" w:rsidR="00073EC1" w:rsidRDefault="00073EC1" w:rsidP="007F177E">
      <w:pPr>
        <w:pStyle w:val="ListParagraph"/>
        <w:numPr>
          <w:ilvl w:val="0"/>
          <w:numId w:val="188"/>
        </w:numPr>
        <w:contextualSpacing w:val="0"/>
      </w:pPr>
      <w:r>
        <w:t>The asset is otherwise excluded;</w:t>
      </w:r>
    </w:p>
    <w:p w14:paraId="07AE5C20" w14:textId="77777777" w:rsidR="00073EC1" w:rsidRDefault="00073EC1" w:rsidP="007F177E">
      <w:pPr>
        <w:pStyle w:val="ListParagraph"/>
        <w:numPr>
          <w:ilvl w:val="0"/>
          <w:numId w:val="188"/>
        </w:numPr>
        <w:contextualSpacing w:val="0"/>
      </w:pPr>
      <w:r>
        <w:t>The family can demonstrate that the asset is inaccessible to them, or</w:t>
      </w:r>
    </w:p>
    <w:p w14:paraId="4710F524" w14:textId="77777777" w:rsidR="00073EC1" w:rsidRDefault="00073EC1" w:rsidP="007F177E">
      <w:pPr>
        <w:pStyle w:val="ListParagraph"/>
        <w:numPr>
          <w:ilvl w:val="0"/>
          <w:numId w:val="188"/>
        </w:numPr>
        <w:contextualSpacing w:val="0"/>
      </w:pPr>
      <w:r>
        <w:t>The family cannot</w:t>
      </w:r>
      <w:r w:rsidR="00D50261">
        <w:t xml:space="preserve"> dispose of any portion of the asset without the consent of another owner who refuses to comply.</w:t>
      </w:r>
    </w:p>
    <w:p w14:paraId="709944C9" w14:textId="77777777" w:rsidR="00BC0DB5" w:rsidRPr="00765546" w:rsidRDefault="00BC0DB5" w:rsidP="00563BB6">
      <w:r w:rsidRPr="00765546">
        <w:t>A family member has unrestricted access to an asset when he or she can legally dispose of the asset without the consent of any of the other owners.</w:t>
      </w:r>
    </w:p>
    <w:p w14:paraId="42F0C3A3" w14:textId="77777777" w:rsidR="000C76B5" w:rsidRDefault="000C76B5" w:rsidP="00563BB6">
      <w:r>
        <w:t>If the family demonstrates that they can only access a portion of an asset, then only that portion’s value is included in the calculation of net family assets for the family.</w:t>
      </w:r>
    </w:p>
    <w:p w14:paraId="298E1E5B" w14:textId="77777777" w:rsidR="000C76B5" w:rsidRDefault="000C76B5" w:rsidP="00563BB6">
      <w:r>
        <w:t>Any income from a jointly owned asset must be included in annual income, unless:</w:t>
      </w:r>
    </w:p>
    <w:p w14:paraId="4C2F503D" w14:textId="77777777" w:rsidR="000C76B5" w:rsidRDefault="000C76B5" w:rsidP="007F177E">
      <w:pPr>
        <w:numPr>
          <w:ilvl w:val="0"/>
          <w:numId w:val="189"/>
        </w:numPr>
        <w:jc w:val="left"/>
      </w:pPr>
      <w:r>
        <w:t>The income is specifically excluded;</w:t>
      </w:r>
    </w:p>
    <w:p w14:paraId="4E26236E" w14:textId="77777777" w:rsidR="000C76B5" w:rsidRDefault="000C76B5" w:rsidP="007F177E">
      <w:pPr>
        <w:numPr>
          <w:ilvl w:val="0"/>
          <w:numId w:val="189"/>
        </w:numPr>
        <w:jc w:val="left"/>
      </w:pPr>
      <w:r>
        <w:t>The family demonstrates that they do not have access to the income from that asset; or</w:t>
      </w:r>
    </w:p>
    <w:p w14:paraId="282A02B0" w14:textId="77777777" w:rsidR="00BC0DB5" w:rsidRDefault="000C76B5" w:rsidP="007F177E">
      <w:pPr>
        <w:pStyle w:val="ListParagraph"/>
        <w:numPr>
          <w:ilvl w:val="0"/>
          <w:numId w:val="189"/>
        </w:numPr>
        <w:contextualSpacing w:val="0"/>
      </w:pPr>
      <w:r>
        <w:t>The family only has access to a portion of the income from that asset.</w:t>
      </w:r>
    </w:p>
    <w:p w14:paraId="6EB5D79A" w14:textId="77777777" w:rsidR="00EE5150" w:rsidRDefault="00EE5150" w:rsidP="00563BB6">
      <w:r>
        <w:t xml:space="preserve">See also </w:t>
      </w:r>
      <w:r w:rsidRPr="00EE5150">
        <w:rPr>
          <w:b/>
          <w:bCs/>
          <w:color w:val="0070C0"/>
        </w:rPr>
        <w:fldChar w:fldCharType="begin"/>
      </w:r>
      <w:r w:rsidRPr="00EE5150">
        <w:rPr>
          <w:b/>
          <w:bCs/>
          <w:color w:val="0070C0"/>
        </w:rPr>
        <w:instrText xml:space="preserve"> REF _Ref155187711 \h  \* MERGEFORMAT </w:instrText>
      </w:r>
      <w:r w:rsidRPr="00EE5150">
        <w:rPr>
          <w:b/>
          <w:bCs/>
          <w:color w:val="0070C0"/>
        </w:rPr>
      </w:r>
      <w:r w:rsidRPr="00EE5150">
        <w:rPr>
          <w:b/>
          <w:bCs/>
          <w:color w:val="0070C0"/>
        </w:rPr>
        <w:fldChar w:fldCharType="separate"/>
      </w:r>
      <w:r w:rsidRPr="00EE5150">
        <w:rPr>
          <w:b/>
          <w:bCs/>
          <w:color w:val="0070C0"/>
        </w:rPr>
        <w:t>Co-Owned Businesses</w:t>
      </w:r>
      <w:r w:rsidRPr="00EE5150">
        <w:rPr>
          <w:b/>
          <w:bCs/>
          <w:color w:val="0070C0"/>
        </w:rPr>
        <w:fldChar w:fldCharType="end"/>
      </w:r>
      <w:r w:rsidR="00F25A5E">
        <w:rPr>
          <w:b/>
          <w:bCs/>
          <w:color w:val="0070C0"/>
        </w:rPr>
        <w:t xml:space="preserve"> </w:t>
      </w:r>
      <w:r w:rsidR="00F25A5E" w:rsidRPr="00F25A5E">
        <w:t>and</w:t>
      </w:r>
      <w:r w:rsidR="00F25A5E">
        <w:rPr>
          <w:b/>
          <w:bCs/>
          <w:color w:val="0070C0"/>
        </w:rPr>
        <w:t xml:space="preserve"> </w:t>
      </w:r>
      <w:r w:rsidR="00F25A5E" w:rsidRPr="00F66FF5">
        <w:rPr>
          <w:b/>
          <w:bCs/>
          <w:color w:val="0070C0"/>
        </w:rPr>
        <w:fldChar w:fldCharType="begin"/>
      </w:r>
      <w:r w:rsidR="00F25A5E" w:rsidRPr="00F66FF5">
        <w:rPr>
          <w:b/>
          <w:bCs/>
          <w:color w:val="0070C0"/>
        </w:rPr>
        <w:instrText xml:space="preserve"> REF _Ref155187626 \h  \* MERGEFORMAT </w:instrText>
      </w:r>
      <w:r w:rsidR="00F25A5E" w:rsidRPr="00F66FF5">
        <w:rPr>
          <w:b/>
          <w:bCs/>
          <w:color w:val="0070C0"/>
        </w:rPr>
      </w:r>
      <w:r w:rsidR="00F25A5E" w:rsidRPr="00F66FF5">
        <w:rPr>
          <w:b/>
          <w:bCs/>
          <w:color w:val="0070C0"/>
        </w:rPr>
        <w:fldChar w:fldCharType="separate"/>
      </w:r>
      <w:r w:rsidR="00F25A5E" w:rsidRPr="00F66FF5">
        <w:rPr>
          <w:b/>
          <w:bCs/>
          <w:color w:val="0070C0"/>
        </w:rPr>
        <w:t>Assets Owned by a Business Entity</w:t>
      </w:r>
      <w:r w:rsidR="00F25A5E" w:rsidRPr="00F66FF5">
        <w:rPr>
          <w:b/>
          <w:bCs/>
          <w:color w:val="0070C0"/>
        </w:rPr>
        <w:fldChar w:fldCharType="end"/>
      </w:r>
      <w:r w:rsidR="00F25A5E">
        <w:t xml:space="preserve"> in this chapter.</w:t>
      </w:r>
    </w:p>
    <w:p w14:paraId="511D1B97" w14:textId="77777777" w:rsidR="001C5603" w:rsidRDefault="001C5603" w:rsidP="00563BB6">
      <w:r>
        <w:t>If an individual is a beneficiary who is entitled to access the account’s funds only upon the death of the account’s owner, and may not otherwise withdraw funds from an account, then the account is not an asset to the assisted family, and the family should provide proper documentation demonstrating that they are only a beneficiary on the account.</w:t>
      </w:r>
    </w:p>
    <w:p w14:paraId="64B85861" w14:textId="77777777" w:rsidR="00BC0DB5" w:rsidRPr="00765546" w:rsidRDefault="00BC0DB5" w:rsidP="00677451">
      <w:pPr>
        <w:pStyle w:val="Heading3"/>
      </w:pPr>
      <w:bookmarkStart w:id="1734" w:name="_Toc118116014"/>
      <w:bookmarkStart w:id="1735" w:name="_Toc200375695"/>
      <w:r w:rsidRPr="00765546">
        <w:t>Assets Disposed of for Less than Fair Market Value</w:t>
      </w:r>
      <w:bookmarkEnd w:id="1734"/>
      <w:bookmarkEnd w:id="1735"/>
    </w:p>
    <w:p w14:paraId="0F2369FE" w14:textId="77777777" w:rsidR="00047CEC" w:rsidRDefault="00AF7B16" w:rsidP="00BC0DB5">
      <w:r>
        <w:t xml:space="preserve">HHA will include the value of any business or family assets disposed of by a family for less than fair market value (including a disposition in trust, but not in a foreclosure or bankruptcy sale) during the two years preceding the date of application or recertification, as applicable, in excess of the consideration received for the asset. However, </w:t>
      </w:r>
      <w:r w:rsidR="00BC0DB5">
        <w:t>HHA</w:t>
      </w:r>
      <w:r w:rsidR="00BC0DB5" w:rsidRPr="00765546">
        <w:t xml:space="preserve"> will not include the value of assets disposed of for less than fair market value</w:t>
      </w:r>
      <w:r w:rsidR="00047CEC">
        <w:t>:</w:t>
      </w:r>
    </w:p>
    <w:p w14:paraId="5CA5E633" w14:textId="77777777" w:rsidR="00BC0DB5" w:rsidRDefault="00047CEC" w:rsidP="007F177E">
      <w:pPr>
        <w:pStyle w:val="ListParagraph"/>
        <w:numPr>
          <w:ilvl w:val="0"/>
          <w:numId w:val="156"/>
        </w:numPr>
        <w:contextualSpacing w:val="0"/>
      </w:pPr>
      <w:r>
        <w:t>U</w:t>
      </w:r>
      <w:r w:rsidR="00BC0DB5" w:rsidRPr="00765546">
        <w:t>nless the cumulative fair market value of all assets disposed of during the past two years exceeds the gross amount received for the assets by more than $1,000</w:t>
      </w:r>
      <w:r w:rsidR="008417EF">
        <w:t>;</w:t>
      </w:r>
    </w:p>
    <w:p w14:paraId="637D23D1" w14:textId="77777777" w:rsidR="008417EF" w:rsidRDefault="006D79FD" w:rsidP="007F177E">
      <w:pPr>
        <w:pStyle w:val="ListParagraph"/>
        <w:numPr>
          <w:ilvl w:val="0"/>
          <w:numId w:val="156"/>
        </w:numPr>
        <w:contextualSpacing w:val="0"/>
      </w:pPr>
      <w:r>
        <w:t>If they are disposed of as part of a separation or divorce settlement and the family receives important consideration not measurable in dollar terms; and/or</w:t>
      </w:r>
    </w:p>
    <w:p w14:paraId="52D3FB57" w14:textId="77777777" w:rsidR="003B4EB2" w:rsidRDefault="000B6C24" w:rsidP="007F177E">
      <w:pPr>
        <w:pStyle w:val="ListParagraph"/>
        <w:numPr>
          <w:ilvl w:val="0"/>
          <w:numId w:val="156"/>
        </w:numPr>
        <w:contextualSpacing w:val="0"/>
      </w:pPr>
      <w:r>
        <w:t>When the disposition is the result of a foreclosure or bankruptcy sale</w:t>
      </w:r>
      <w:r w:rsidR="003B4EB2">
        <w:t xml:space="preserve">. </w:t>
      </w:r>
    </w:p>
    <w:p w14:paraId="10B234B1" w14:textId="77777777" w:rsidR="00B31EF4" w:rsidRDefault="00B31EF4" w:rsidP="00B31EF4">
      <w:r>
        <w:t xml:space="preserve">See also </w:t>
      </w:r>
      <w:r w:rsidRPr="00B31EF4">
        <w:rPr>
          <w:b/>
          <w:bCs/>
          <w:color w:val="0070C0"/>
        </w:rPr>
        <w:fldChar w:fldCharType="begin"/>
      </w:r>
      <w:r w:rsidRPr="00B31EF4">
        <w:rPr>
          <w:b/>
          <w:bCs/>
          <w:color w:val="0070C0"/>
        </w:rPr>
        <w:instrText xml:space="preserve"> REF _Ref155187626 \h  \* MERGEFORMAT </w:instrText>
      </w:r>
      <w:r w:rsidRPr="00B31EF4">
        <w:rPr>
          <w:b/>
          <w:bCs/>
          <w:color w:val="0070C0"/>
        </w:rPr>
      </w:r>
      <w:r w:rsidRPr="00B31EF4">
        <w:rPr>
          <w:b/>
          <w:bCs/>
          <w:color w:val="0070C0"/>
        </w:rPr>
        <w:fldChar w:fldCharType="separate"/>
      </w:r>
      <w:r w:rsidRPr="00B31EF4">
        <w:rPr>
          <w:b/>
          <w:bCs/>
          <w:color w:val="0070C0"/>
        </w:rPr>
        <w:t>Assets Owned by a Business Entity</w:t>
      </w:r>
      <w:r w:rsidRPr="00B31EF4">
        <w:rPr>
          <w:b/>
          <w:bCs/>
          <w:color w:val="0070C0"/>
        </w:rPr>
        <w:fldChar w:fldCharType="end"/>
      </w:r>
      <w:r>
        <w:t xml:space="preserve"> in this chapter. </w:t>
      </w:r>
    </w:p>
    <w:p w14:paraId="295E2075" w14:textId="5435F94E" w:rsidR="003B4EB2" w:rsidRDefault="003B4EB2" w:rsidP="00B31EF4">
      <w:r>
        <w:t>Negative equity in real property or other investments does not prohibit the owner from selling the property or other investments, so negative equity alone would not justify excluding the property or other investments from family assets.</w:t>
      </w:r>
    </w:p>
    <w:p w14:paraId="4ECC8BEF" w14:textId="77777777" w:rsidR="009A4036" w:rsidRDefault="009A4036" w:rsidP="009A4036">
      <w:r>
        <w:t>An asset moved to a retirement account held by a member of the family is not considered to be an asset disposed of for less than fair market value.</w:t>
      </w:r>
    </w:p>
    <w:p w14:paraId="18213DBF" w14:textId="77777777" w:rsidR="006B0339" w:rsidRDefault="0039018F" w:rsidP="00677451">
      <w:pPr>
        <w:pStyle w:val="Heading3"/>
      </w:pPr>
      <w:bookmarkStart w:id="1736" w:name="_Ref155251571"/>
      <w:bookmarkStart w:id="1737" w:name="_Toc200375696"/>
      <w:r>
        <w:t>Exclusions from Assets</w:t>
      </w:r>
      <w:bookmarkEnd w:id="1736"/>
      <w:bookmarkEnd w:id="1737"/>
    </w:p>
    <w:p w14:paraId="4E4A8DC5" w14:textId="77777777" w:rsidR="0039018F" w:rsidRPr="0039018F" w:rsidRDefault="0039018F" w:rsidP="0039018F">
      <w:pPr>
        <w:rPr>
          <w:rFonts w:cs="Arial"/>
        </w:rPr>
      </w:pPr>
      <w:r>
        <w:t>The following are e</w:t>
      </w:r>
      <w:r w:rsidRPr="00DA072D">
        <w:t>xcluded from the calculation of net family assets:</w:t>
      </w:r>
      <w:r>
        <w:t xml:space="preserve"> </w:t>
      </w:r>
    </w:p>
    <w:p w14:paraId="55426A63" w14:textId="77777777" w:rsidR="0039018F" w:rsidRPr="0039018F" w:rsidRDefault="0039018F" w:rsidP="007F177E">
      <w:pPr>
        <w:pStyle w:val="ListParagraph"/>
        <w:numPr>
          <w:ilvl w:val="2"/>
          <w:numId w:val="146"/>
        </w:numPr>
        <w:ind w:left="720"/>
        <w:contextualSpacing w:val="0"/>
      </w:pPr>
      <w:r w:rsidRPr="00DA072D">
        <w:t>The value of real property that the family does not have the effective legal</w:t>
      </w:r>
      <w:r>
        <w:t xml:space="preserve"> </w:t>
      </w:r>
      <w:r w:rsidRPr="00DA072D">
        <w:t>authority to sell in the jurisdiction in which the property is located;</w:t>
      </w:r>
      <w:r>
        <w:t xml:space="preserve"> </w:t>
      </w:r>
    </w:p>
    <w:p w14:paraId="22337FA3" w14:textId="77777777" w:rsidR="007322AB" w:rsidRDefault="0039018F" w:rsidP="007F177E">
      <w:pPr>
        <w:pStyle w:val="ListParagraph"/>
        <w:numPr>
          <w:ilvl w:val="2"/>
          <w:numId w:val="146"/>
        </w:numPr>
        <w:ind w:left="720"/>
        <w:contextualSpacing w:val="0"/>
      </w:pPr>
      <w:r w:rsidRPr="00DA072D">
        <w:t>The value of any Coverdell education savings account under section</w:t>
      </w:r>
      <w:r>
        <w:t xml:space="preserve"> </w:t>
      </w:r>
      <w:r w:rsidRPr="00DA072D">
        <w:t xml:space="preserve">530 of the Internal Revenue Code of 1986, </w:t>
      </w:r>
    </w:p>
    <w:p w14:paraId="2CB44A70" w14:textId="77777777" w:rsidR="00D07F1E" w:rsidRDefault="007322AB" w:rsidP="007F177E">
      <w:pPr>
        <w:pStyle w:val="ListParagraph"/>
        <w:numPr>
          <w:ilvl w:val="2"/>
          <w:numId w:val="146"/>
        </w:numPr>
        <w:ind w:left="720"/>
        <w:contextualSpacing w:val="0"/>
      </w:pPr>
      <w:r>
        <w:t>T</w:t>
      </w:r>
      <w:r w:rsidR="0039018F" w:rsidRPr="00DA072D">
        <w:t>he value of any qualified tuition</w:t>
      </w:r>
      <w:r w:rsidR="0039018F">
        <w:t xml:space="preserve"> </w:t>
      </w:r>
      <w:r w:rsidR="0039018F" w:rsidRPr="00DA072D">
        <w:t xml:space="preserve">program under section 529 of such Code, </w:t>
      </w:r>
    </w:p>
    <w:p w14:paraId="1B986356" w14:textId="77777777" w:rsidR="00D07F1E" w:rsidRDefault="00D07F1E" w:rsidP="007F177E">
      <w:pPr>
        <w:pStyle w:val="ListParagraph"/>
        <w:numPr>
          <w:ilvl w:val="2"/>
          <w:numId w:val="146"/>
        </w:numPr>
        <w:ind w:left="720"/>
        <w:contextualSpacing w:val="0"/>
      </w:pPr>
      <w:r>
        <w:t>T</w:t>
      </w:r>
      <w:r w:rsidR="0039018F" w:rsidRPr="00DA072D">
        <w:t xml:space="preserve">he value of any Achieving a Better Life Experience (ABLE) account authorized under Section 529A of such Code, </w:t>
      </w:r>
    </w:p>
    <w:p w14:paraId="4A4C084E" w14:textId="77777777" w:rsidR="0039018F" w:rsidRPr="0039018F" w:rsidRDefault="0039018F" w:rsidP="007F177E">
      <w:pPr>
        <w:pStyle w:val="ListParagraph"/>
        <w:numPr>
          <w:ilvl w:val="2"/>
          <w:numId w:val="146"/>
        </w:numPr>
        <w:ind w:left="720"/>
        <w:contextualSpacing w:val="0"/>
      </w:pPr>
      <w:r w:rsidRPr="00DA072D">
        <w:t>Interests in Indian trust land;</w:t>
      </w:r>
      <w:r>
        <w:t xml:space="preserve"> </w:t>
      </w:r>
    </w:p>
    <w:p w14:paraId="61E78069" w14:textId="77777777" w:rsidR="0039018F" w:rsidRPr="0039018F" w:rsidRDefault="0039018F" w:rsidP="007F177E">
      <w:pPr>
        <w:pStyle w:val="ListParagraph"/>
        <w:numPr>
          <w:ilvl w:val="2"/>
          <w:numId w:val="146"/>
        </w:numPr>
        <w:ind w:left="720"/>
        <w:contextualSpacing w:val="0"/>
      </w:pPr>
      <w:r w:rsidRPr="00DA072D">
        <w:t>Equity in a manufactured home where the family receives assistance under 24 CFR 982;</w:t>
      </w:r>
      <w:r>
        <w:t xml:space="preserve"> </w:t>
      </w:r>
    </w:p>
    <w:p w14:paraId="09362174" w14:textId="77777777" w:rsidR="0039018F" w:rsidRPr="0039018F" w:rsidRDefault="0039018F" w:rsidP="007F177E">
      <w:pPr>
        <w:pStyle w:val="ListParagraph"/>
        <w:numPr>
          <w:ilvl w:val="2"/>
          <w:numId w:val="146"/>
        </w:numPr>
        <w:ind w:left="720"/>
        <w:contextualSpacing w:val="0"/>
      </w:pPr>
      <w:r w:rsidRPr="00DA072D">
        <w:t>Equity in property under the Homeownership Option for which a family receives assistance under 24 CFR 982;</w:t>
      </w:r>
      <w:r>
        <w:t xml:space="preserve"> </w:t>
      </w:r>
    </w:p>
    <w:p w14:paraId="7CAE026E" w14:textId="77777777" w:rsidR="0039018F" w:rsidRPr="0039018F" w:rsidRDefault="0039018F" w:rsidP="007F177E">
      <w:pPr>
        <w:pStyle w:val="ListParagraph"/>
        <w:numPr>
          <w:ilvl w:val="2"/>
          <w:numId w:val="146"/>
        </w:numPr>
        <w:ind w:left="720"/>
        <w:contextualSpacing w:val="0"/>
      </w:pPr>
      <w:r w:rsidRPr="00DA072D">
        <w:t xml:space="preserve">Family Self-Sufficiency Accounts; </w:t>
      </w:r>
    </w:p>
    <w:p w14:paraId="2CB878B2" w14:textId="77777777" w:rsidR="008344FD" w:rsidRDefault="008344FD" w:rsidP="007F177E">
      <w:pPr>
        <w:pStyle w:val="ListParagraph"/>
        <w:numPr>
          <w:ilvl w:val="2"/>
          <w:numId w:val="146"/>
        </w:numPr>
        <w:ind w:left="720"/>
        <w:contextualSpacing w:val="0"/>
      </w:pPr>
      <w:bookmarkStart w:id="1738" w:name="_Hlk147326408"/>
      <w:bookmarkStart w:id="1739" w:name="_Ref154643904"/>
      <w:r>
        <w:t xml:space="preserve">The full amount of assets held in an irrevocable trust; and </w:t>
      </w:r>
    </w:p>
    <w:p w14:paraId="7F1AED34" w14:textId="2E2D2D89" w:rsidR="009D2912" w:rsidRDefault="008344FD" w:rsidP="009D2912">
      <w:pPr>
        <w:pStyle w:val="ListParagraph"/>
        <w:numPr>
          <w:ilvl w:val="2"/>
          <w:numId w:val="146"/>
        </w:numPr>
        <w:ind w:left="720"/>
        <w:contextualSpacing w:val="0"/>
      </w:pPr>
      <w:r>
        <w:t>The full amount of assets held in a revocable trust where a member of the family is the beneficiary, but the grantor/owner and trustee of the trust is not a member of the participant family or household.</w:t>
      </w:r>
      <w:bookmarkEnd w:id="1738"/>
    </w:p>
    <w:p w14:paraId="04052CB9" w14:textId="77777777" w:rsidR="009D2912" w:rsidRDefault="009D2912" w:rsidP="009D2912">
      <w:pPr>
        <w:ind w:left="360"/>
      </w:pPr>
      <w:r>
        <w:t>And, upon implementation of HOTMA:</w:t>
      </w:r>
    </w:p>
    <w:p w14:paraId="559176D8" w14:textId="77777777" w:rsidR="009D2912" w:rsidRPr="00552C25" w:rsidRDefault="009D2912" w:rsidP="009D2912">
      <w:pPr>
        <w:pBdr>
          <w:top w:val="single" w:sz="4" w:space="1" w:color="auto"/>
          <w:left w:val="single" w:sz="4" w:space="0" w:color="auto"/>
          <w:bottom w:val="single" w:sz="4" w:space="1" w:color="auto"/>
          <w:right w:val="single" w:sz="4" w:space="4" w:color="auto"/>
        </w:pBdr>
        <w:ind w:left="360"/>
        <w:rPr>
          <w:b/>
          <w:bCs/>
          <w:i/>
          <w:iCs/>
        </w:rPr>
      </w:pPr>
      <w:r w:rsidRPr="00552C25">
        <w:rPr>
          <w:b/>
          <w:bCs/>
          <w:i/>
          <w:iCs/>
        </w:rPr>
        <w:t xml:space="preserve">Note: the following </w:t>
      </w:r>
      <w:r>
        <w:rPr>
          <w:b/>
          <w:bCs/>
          <w:i/>
          <w:iCs/>
        </w:rPr>
        <w:t>bullets</w:t>
      </w:r>
      <w:r w:rsidRPr="00552C25">
        <w:rPr>
          <w:b/>
          <w:bCs/>
          <w:i/>
          <w:iCs/>
        </w:rPr>
        <w:t xml:space="preserve"> </w:t>
      </w:r>
      <w:r>
        <w:rPr>
          <w:b/>
          <w:bCs/>
          <w:i/>
          <w:iCs/>
        </w:rPr>
        <w:t>are</w:t>
      </w:r>
      <w:r w:rsidRPr="00552C25">
        <w:rPr>
          <w:b/>
          <w:bCs/>
          <w:i/>
          <w:iCs/>
        </w:rPr>
        <w:t xml:space="preserve"> only applicable upon implementation of the HOTMA Final Rule (Sections 102 and 104). Prior to implementation, the following does not apply.</w:t>
      </w:r>
    </w:p>
    <w:p w14:paraId="48891ACE" w14:textId="77777777" w:rsidR="009D2912" w:rsidRDefault="009D2912" w:rsidP="009D2912">
      <w:pPr>
        <w:pStyle w:val="ListParagraph"/>
        <w:numPr>
          <w:ilvl w:val="2"/>
          <w:numId w:val="146"/>
        </w:numPr>
        <w:ind w:left="720"/>
        <w:contextualSpacing w:val="0"/>
      </w:pPr>
      <w:r>
        <w:t xml:space="preserve">The value of necessary items of personal property; </w:t>
      </w:r>
    </w:p>
    <w:p w14:paraId="4ED61E9C" w14:textId="77777777" w:rsidR="009D2912" w:rsidRDefault="009D2912" w:rsidP="009D2912">
      <w:pPr>
        <w:pStyle w:val="ListParagraph"/>
        <w:numPr>
          <w:ilvl w:val="2"/>
          <w:numId w:val="146"/>
        </w:numPr>
        <w:ind w:left="720"/>
        <w:contextualSpacing w:val="0"/>
      </w:pPr>
      <w:r>
        <w:t xml:space="preserve">The combined value of all non-necessary items of personal property if the combined total value does not exceed $50,000 (which amount will be adjusted by HUD in accordance with the Consumer Price Index for Urban Wage Earners and Clerical Workers); </w:t>
      </w:r>
    </w:p>
    <w:p w14:paraId="07613558" w14:textId="77777777" w:rsidR="009D2912" w:rsidRDefault="009D2912" w:rsidP="009D2912">
      <w:pPr>
        <w:pStyle w:val="ListParagraph"/>
        <w:numPr>
          <w:ilvl w:val="2"/>
          <w:numId w:val="146"/>
        </w:numPr>
        <w:ind w:left="720"/>
        <w:contextualSpacing w:val="0"/>
      </w:pPr>
      <w:r>
        <w:t>The value of any account under a retirement plan recognized as such by the Internal Revenue Service, including individual retirement arrangements (IRAs), employer retirement plans, and retirement plans for self-employed individuals;</w:t>
      </w:r>
    </w:p>
    <w:p w14:paraId="37482F4F" w14:textId="77777777" w:rsidR="009D2912" w:rsidRPr="00FC3F66" w:rsidRDefault="009D2912" w:rsidP="009D2912">
      <w:pPr>
        <w:pStyle w:val="ListParagraph"/>
        <w:numPr>
          <w:ilvl w:val="2"/>
          <w:numId w:val="146"/>
        </w:numPr>
        <w:ind w:left="720"/>
        <w:contextualSpacing w:val="0"/>
      </w:pPr>
      <w:r w:rsidRPr="00FC3F66">
        <w:t xml:space="preserve">The value of any </w:t>
      </w:r>
      <w:r w:rsidRPr="00682E9E">
        <w:rPr>
          <w:i/>
          <w:iCs/>
        </w:rPr>
        <w:t>baby bond</w:t>
      </w:r>
      <w:r w:rsidRPr="00FC3F66">
        <w:t xml:space="preserve"> account created, authorized, or funded by Federal, State, or local government. </w:t>
      </w:r>
    </w:p>
    <w:p w14:paraId="674BC855" w14:textId="77777777" w:rsidR="009D2912" w:rsidRPr="0039018F" w:rsidRDefault="009D2912" w:rsidP="009D2912">
      <w:pPr>
        <w:pStyle w:val="ListParagraph"/>
        <w:numPr>
          <w:ilvl w:val="2"/>
          <w:numId w:val="146"/>
        </w:numPr>
        <w:ind w:left="720"/>
        <w:contextualSpacing w:val="0"/>
      </w:pPr>
      <w:r w:rsidRPr="00DA072D">
        <w:t>Any amounts recovered in any civil action or settlement based on a claim of malpractice, negligence, or other breach of duty owed to a family member arising out of law, that resulted in a family member being a person with a disability;</w:t>
      </w:r>
      <w:r>
        <w:t xml:space="preserve"> and</w:t>
      </w:r>
    </w:p>
    <w:p w14:paraId="77510D72" w14:textId="08C34255" w:rsidR="009D2912" w:rsidRDefault="009D2912" w:rsidP="009D2912">
      <w:pPr>
        <w:pStyle w:val="ListParagraph"/>
        <w:numPr>
          <w:ilvl w:val="2"/>
          <w:numId w:val="146"/>
        </w:numPr>
        <w:ind w:left="720"/>
        <w:contextualSpacing w:val="0"/>
      </w:pPr>
      <w:r w:rsidRPr="00FC3F66">
        <w:t>Federal tax refunds or refundable tax credits for a period of 12 months after receipt by the family</w:t>
      </w:r>
      <w:r>
        <w:t>.</w:t>
      </w:r>
    </w:p>
    <w:p w14:paraId="2B862FC5" w14:textId="77777777" w:rsidR="00BC0DB5" w:rsidRDefault="00BC0DB5" w:rsidP="00BB64BD">
      <w:pPr>
        <w:pStyle w:val="Heading2"/>
      </w:pPr>
      <w:bookmarkStart w:id="1740" w:name="_Ref165031378"/>
      <w:bookmarkStart w:id="1741" w:name="_Ref165031779"/>
      <w:bookmarkStart w:id="1742" w:name="_Toc173222711"/>
      <w:bookmarkStart w:id="1743" w:name="_Toc200375697"/>
      <w:bookmarkStart w:id="1744" w:name="_Toc200376977"/>
      <w:r>
        <w:t>Adjusted Income</w:t>
      </w:r>
      <w:bookmarkEnd w:id="1739"/>
      <w:bookmarkEnd w:id="1740"/>
      <w:bookmarkEnd w:id="1741"/>
      <w:bookmarkEnd w:id="1742"/>
      <w:bookmarkEnd w:id="1743"/>
      <w:bookmarkEnd w:id="1744"/>
    </w:p>
    <w:p w14:paraId="55E365E4" w14:textId="77777777" w:rsidR="00BC0DB5" w:rsidRDefault="00BC0DB5" w:rsidP="00BC0DB5">
      <w:r w:rsidRPr="00765546">
        <w:t>Adjusted income is calculated by subtracting allowable deductions and allowances from annual income.</w:t>
      </w:r>
    </w:p>
    <w:tbl>
      <w:tblPr>
        <w:tblStyle w:val="TableGrid"/>
        <w:tblW w:w="0" w:type="auto"/>
        <w:tblInd w:w="625" w:type="dxa"/>
        <w:tblLook w:val="04A0" w:firstRow="1" w:lastRow="0" w:firstColumn="1" w:lastColumn="0" w:noHBand="0" w:noVBand="1"/>
      </w:tblPr>
      <w:tblGrid>
        <w:gridCol w:w="8100"/>
      </w:tblGrid>
      <w:tr w:rsidR="00B82554" w14:paraId="542B8F98" w14:textId="77777777" w:rsidTr="00B82554">
        <w:tc>
          <w:tcPr>
            <w:tcW w:w="8100" w:type="dxa"/>
          </w:tcPr>
          <w:p w14:paraId="0FC8C70E" w14:textId="77777777" w:rsidR="00B82554" w:rsidRDefault="00553C4E" w:rsidP="00553C4E">
            <w:pPr>
              <w:spacing w:after="160" w:line="259" w:lineRule="auto"/>
            </w:pPr>
            <w:r>
              <w:rPr>
                <w:b/>
                <w:bCs/>
                <w:i/>
                <w:iCs/>
              </w:rPr>
              <w:t>MTW Policy</w:t>
            </w:r>
          </w:p>
          <w:p w14:paraId="248914CB" w14:textId="77777777" w:rsidR="00553C4E" w:rsidRPr="0040378C" w:rsidRDefault="00553C4E" w:rsidP="00553C4E">
            <w:pPr>
              <w:spacing w:after="160" w:line="259" w:lineRule="auto"/>
              <w:rPr>
                <w:b/>
                <w:bCs/>
              </w:rPr>
            </w:pPr>
            <w:r w:rsidRPr="0040378C">
              <w:rPr>
                <w:b/>
                <w:bCs/>
              </w:rPr>
              <w:t>MTW Waiver</w:t>
            </w:r>
            <w:r w:rsidRPr="0040378C">
              <w:t>:</w:t>
            </w:r>
            <w:r w:rsidR="0040378C" w:rsidRPr="0040378C">
              <w:t xml:space="preserve"> Elimination of Deductions</w:t>
            </w:r>
          </w:p>
          <w:p w14:paraId="39EF65C5" w14:textId="77777777" w:rsidR="00553C4E" w:rsidRPr="0040378C" w:rsidRDefault="00553C4E" w:rsidP="00553C4E">
            <w:pPr>
              <w:spacing w:after="160" w:line="259" w:lineRule="auto"/>
              <w:rPr>
                <w:b/>
                <w:bCs/>
              </w:rPr>
            </w:pPr>
            <w:r w:rsidRPr="0040378C">
              <w:rPr>
                <w:b/>
                <w:bCs/>
              </w:rPr>
              <w:t>Approval Date</w:t>
            </w:r>
            <w:r w:rsidRPr="0040378C">
              <w:t>:</w:t>
            </w:r>
            <w:r w:rsidR="0040378C" w:rsidRPr="0040378C">
              <w:t xml:space="preserve"> FY 2022</w:t>
            </w:r>
          </w:p>
          <w:p w14:paraId="30200EFC" w14:textId="77777777" w:rsidR="00553C4E" w:rsidRDefault="00553C4E" w:rsidP="00553C4E">
            <w:pPr>
              <w:spacing w:after="160" w:line="259" w:lineRule="auto"/>
            </w:pPr>
            <w:r w:rsidRPr="0040378C">
              <w:rPr>
                <w:b/>
                <w:bCs/>
              </w:rPr>
              <w:t>Applicable to</w:t>
            </w:r>
            <w:r w:rsidRPr="0040378C">
              <w:t>: Treatment</w:t>
            </w:r>
            <w:r>
              <w:t xml:space="preserve"> Group</w:t>
            </w:r>
          </w:p>
          <w:p w14:paraId="58EB99E9" w14:textId="77777777" w:rsidR="00553C4E" w:rsidRDefault="00553C4E" w:rsidP="00553C4E">
            <w:pPr>
              <w:spacing w:after="160" w:line="259" w:lineRule="auto"/>
            </w:pPr>
            <w:r>
              <w:rPr>
                <w:b/>
                <w:bCs/>
              </w:rPr>
              <w:t>Description</w:t>
            </w:r>
            <w:r>
              <w:t>: For families in the Treatment group, there are no deductions for the following:</w:t>
            </w:r>
          </w:p>
          <w:p w14:paraId="617C5A9B" w14:textId="77777777" w:rsidR="00553C4E" w:rsidRDefault="00553C4E" w:rsidP="007F177E">
            <w:pPr>
              <w:pStyle w:val="ListParagraph"/>
              <w:numPr>
                <w:ilvl w:val="0"/>
                <w:numId w:val="85"/>
              </w:numPr>
              <w:spacing w:after="160" w:line="259" w:lineRule="auto"/>
              <w:contextualSpacing w:val="0"/>
            </w:pPr>
            <w:r>
              <w:t>Dependents;</w:t>
            </w:r>
            <w:r w:rsidR="005138A7">
              <w:t xml:space="preserve"> or</w:t>
            </w:r>
          </w:p>
          <w:p w14:paraId="7AACD9C7" w14:textId="77777777" w:rsidR="00553C4E" w:rsidRPr="00553C4E" w:rsidRDefault="00553C4E" w:rsidP="007F177E">
            <w:pPr>
              <w:pStyle w:val="ListParagraph"/>
              <w:numPr>
                <w:ilvl w:val="0"/>
                <w:numId w:val="85"/>
              </w:numPr>
              <w:spacing w:line="259" w:lineRule="auto"/>
              <w:contextualSpacing w:val="0"/>
            </w:pPr>
            <w:r>
              <w:t>Child Care Expenses. However, a family in the Treatment group may request a hardship for child care expenses.</w:t>
            </w:r>
          </w:p>
        </w:tc>
      </w:tr>
    </w:tbl>
    <w:p w14:paraId="26308E11" w14:textId="77777777" w:rsidR="00E562D0" w:rsidRDefault="00E562D0" w:rsidP="00E562D0">
      <w:pPr>
        <w:pStyle w:val="00Normal"/>
      </w:pPr>
      <w:bookmarkStart w:id="1745" w:name="_Ref148683653"/>
    </w:p>
    <w:p w14:paraId="2FC6DF78" w14:textId="77777777" w:rsidR="00BC0DB5" w:rsidRDefault="00BC0DB5" w:rsidP="00677451">
      <w:pPr>
        <w:pStyle w:val="Heading3"/>
      </w:pPr>
      <w:bookmarkStart w:id="1746" w:name="_Ref165034946"/>
      <w:bookmarkStart w:id="1747" w:name="_Toc200375698"/>
      <w:r>
        <w:t>Dependent Deduction</w:t>
      </w:r>
      <w:bookmarkEnd w:id="1745"/>
      <w:bookmarkEnd w:id="1746"/>
      <w:bookmarkEnd w:id="1747"/>
    </w:p>
    <w:p w14:paraId="7B77C865" w14:textId="77777777" w:rsidR="00BC0DB5" w:rsidRPr="00765546" w:rsidRDefault="00BC0DB5" w:rsidP="00BC0DB5">
      <w:r w:rsidRPr="00765546">
        <w:t>An allowance is deducted from annual income for each dependent, which is defined as any family member other than the head, spouse, or co-head who is:</w:t>
      </w:r>
    </w:p>
    <w:p w14:paraId="3D4FC7AC" w14:textId="77777777" w:rsidR="00BC0DB5" w:rsidRPr="00765546" w:rsidRDefault="00BC0DB5" w:rsidP="00CB52D8">
      <w:pPr>
        <w:pStyle w:val="ListParagraph"/>
        <w:numPr>
          <w:ilvl w:val="0"/>
          <w:numId w:val="79"/>
        </w:numPr>
        <w:spacing w:after="120"/>
        <w:ind w:left="720"/>
        <w:contextualSpacing w:val="0"/>
      </w:pPr>
      <w:r w:rsidRPr="00765546">
        <w:t>Under the age of 18,</w:t>
      </w:r>
    </w:p>
    <w:p w14:paraId="38ABEA6D" w14:textId="77777777" w:rsidR="00BC0DB5" w:rsidRPr="00765546" w:rsidRDefault="00BC0DB5" w:rsidP="00CB52D8">
      <w:pPr>
        <w:pStyle w:val="ListParagraph"/>
        <w:numPr>
          <w:ilvl w:val="0"/>
          <w:numId w:val="79"/>
        </w:numPr>
        <w:spacing w:after="120"/>
        <w:ind w:left="720"/>
        <w:contextualSpacing w:val="0"/>
      </w:pPr>
      <w:r w:rsidRPr="00765546">
        <w:t xml:space="preserve">18 or older and is a person with disabilities, or </w:t>
      </w:r>
    </w:p>
    <w:p w14:paraId="364D2261" w14:textId="77777777" w:rsidR="00BC0DB5" w:rsidRPr="00765546" w:rsidRDefault="00BC0DB5" w:rsidP="00CB52D8">
      <w:pPr>
        <w:pStyle w:val="ListParagraph"/>
        <w:numPr>
          <w:ilvl w:val="0"/>
          <w:numId w:val="79"/>
        </w:numPr>
        <w:spacing w:after="120"/>
        <w:ind w:left="720"/>
        <w:contextualSpacing w:val="0"/>
      </w:pPr>
      <w:r w:rsidRPr="00765546">
        <w:t xml:space="preserve">18 or older and a full-time student. </w:t>
      </w:r>
    </w:p>
    <w:p w14:paraId="482CA15B" w14:textId="77777777" w:rsidR="00BC0DB5" w:rsidRDefault="00BC0DB5" w:rsidP="00BC0DB5">
      <w:r w:rsidRPr="00765546">
        <w:t>Foster children, foster adults, and live-in aides are never considered dependents.</w:t>
      </w:r>
    </w:p>
    <w:p w14:paraId="7336E9C9" w14:textId="77777777" w:rsidR="00BC0DB5" w:rsidRDefault="00BC0DB5" w:rsidP="00BC0DB5">
      <w:r w:rsidRPr="009B1E3B">
        <w:t>The amount of the deduction is currently $480. Upon implementation of HOTMA and subject to applicable HUD guidance, this amount will be adjusted annually by HUD, rounded to the next lowest multiple of $25.</w:t>
      </w:r>
      <w:r>
        <w:t xml:space="preserve"> </w:t>
      </w:r>
    </w:p>
    <w:p w14:paraId="1CB3BA09" w14:textId="77777777" w:rsidR="00BC0DB5" w:rsidRDefault="00BC0DB5" w:rsidP="00BC0DB5">
      <w:pPr>
        <w:pStyle w:val="MTWBox"/>
      </w:pPr>
      <w:r w:rsidRPr="009C5DDB">
        <w:t>MTW Policy</w:t>
      </w:r>
    </w:p>
    <w:p w14:paraId="35F4A20B" w14:textId="77777777" w:rsidR="007C3739" w:rsidRPr="005E63BB" w:rsidRDefault="007C3739" w:rsidP="007C3739">
      <w:pPr>
        <w:pStyle w:val="MTWBox"/>
        <w:rPr>
          <w:b w:val="0"/>
          <w:bCs/>
          <w:i w:val="0"/>
          <w:iCs w:val="0"/>
        </w:rPr>
      </w:pPr>
      <w:r w:rsidRPr="005E63BB">
        <w:rPr>
          <w:i w:val="0"/>
          <w:iCs w:val="0"/>
        </w:rPr>
        <w:t>MTW Waiver</w:t>
      </w:r>
      <w:r w:rsidRPr="005E63BB">
        <w:rPr>
          <w:b w:val="0"/>
          <w:bCs/>
          <w:i w:val="0"/>
          <w:iCs w:val="0"/>
        </w:rPr>
        <w:t xml:space="preserve">: </w:t>
      </w:r>
      <w:r w:rsidR="00C559C9">
        <w:rPr>
          <w:b w:val="0"/>
          <w:bCs/>
          <w:i w:val="0"/>
          <w:iCs w:val="0"/>
        </w:rPr>
        <w:t xml:space="preserve">1.r. – </w:t>
      </w:r>
      <w:r w:rsidR="005E63BB" w:rsidRPr="005E63BB">
        <w:rPr>
          <w:b w:val="0"/>
          <w:bCs/>
          <w:i w:val="0"/>
          <w:iCs w:val="0"/>
        </w:rPr>
        <w:t>Elimination of Deductions</w:t>
      </w:r>
    </w:p>
    <w:p w14:paraId="04F9515F" w14:textId="77777777" w:rsidR="007C3739" w:rsidRPr="006A227E" w:rsidRDefault="007C3739" w:rsidP="007C3739">
      <w:pPr>
        <w:pStyle w:val="MTWBox"/>
        <w:rPr>
          <w:b w:val="0"/>
          <w:bCs/>
          <w:i w:val="0"/>
          <w:iCs w:val="0"/>
        </w:rPr>
      </w:pPr>
      <w:r w:rsidRPr="005E63BB">
        <w:rPr>
          <w:i w:val="0"/>
          <w:iCs w:val="0"/>
        </w:rPr>
        <w:t>Approval Date</w:t>
      </w:r>
      <w:r w:rsidRPr="005E63BB">
        <w:rPr>
          <w:b w:val="0"/>
          <w:bCs/>
          <w:i w:val="0"/>
          <w:iCs w:val="0"/>
        </w:rPr>
        <w:t>:</w:t>
      </w:r>
      <w:r w:rsidR="005E63BB" w:rsidRPr="005E63BB">
        <w:rPr>
          <w:b w:val="0"/>
          <w:bCs/>
          <w:i w:val="0"/>
          <w:iCs w:val="0"/>
        </w:rPr>
        <w:t xml:space="preserve"> FY 2022</w:t>
      </w:r>
    </w:p>
    <w:p w14:paraId="6BB36707" w14:textId="77777777" w:rsidR="007C3739" w:rsidRPr="006A227E" w:rsidRDefault="007C3739" w:rsidP="007C3739">
      <w:pPr>
        <w:pStyle w:val="MTWBox"/>
        <w:rPr>
          <w:b w:val="0"/>
          <w:bCs/>
          <w:i w:val="0"/>
          <w:iCs w:val="0"/>
        </w:rPr>
      </w:pPr>
      <w:r w:rsidRPr="006A227E">
        <w:rPr>
          <w:i w:val="0"/>
          <w:iCs w:val="0"/>
        </w:rPr>
        <w:t>Applicable to</w:t>
      </w:r>
      <w:r w:rsidRPr="006A227E">
        <w:rPr>
          <w:b w:val="0"/>
          <w:bCs/>
          <w:i w:val="0"/>
          <w:iCs w:val="0"/>
        </w:rPr>
        <w:t xml:space="preserve">: </w:t>
      </w:r>
      <w:r w:rsidR="003B3B60">
        <w:rPr>
          <w:b w:val="0"/>
          <w:bCs/>
          <w:i w:val="0"/>
          <w:iCs w:val="0"/>
        </w:rPr>
        <w:t>Treatment Group</w:t>
      </w:r>
    </w:p>
    <w:p w14:paraId="5C845640" w14:textId="77777777" w:rsidR="00BC0DB5" w:rsidRPr="006533C3" w:rsidRDefault="007C3739" w:rsidP="007C3739">
      <w:pPr>
        <w:pStyle w:val="MTWBox"/>
        <w:rPr>
          <w:b w:val="0"/>
          <w:bCs/>
          <w:i w:val="0"/>
          <w:iCs w:val="0"/>
        </w:rPr>
      </w:pPr>
      <w:r w:rsidRPr="006A227E">
        <w:rPr>
          <w:i w:val="0"/>
          <w:iCs w:val="0"/>
        </w:rPr>
        <w:t>Description</w:t>
      </w:r>
      <w:r w:rsidRPr="006A227E">
        <w:rPr>
          <w:b w:val="0"/>
          <w:bCs/>
          <w:i w:val="0"/>
          <w:iCs w:val="0"/>
        </w:rPr>
        <w:t>:</w:t>
      </w:r>
      <w:r w:rsidRPr="006533C3">
        <w:rPr>
          <w:b w:val="0"/>
          <w:bCs/>
          <w:i w:val="0"/>
          <w:iCs w:val="0"/>
        </w:rPr>
        <w:t xml:space="preserve"> </w:t>
      </w:r>
      <w:r w:rsidR="00BC0DB5" w:rsidRPr="006533C3">
        <w:rPr>
          <w:b w:val="0"/>
          <w:bCs/>
          <w:i w:val="0"/>
          <w:iCs w:val="0"/>
        </w:rPr>
        <w:t>There is no dependent deduction for families in the Treatment group.</w:t>
      </w:r>
    </w:p>
    <w:p w14:paraId="5BEDC5DE" w14:textId="77777777" w:rsidR="00BC0DB5" w:rsidRDefault="00BC0DB5" w:rsidP="00677451">
      <w:pPr>
        <w:pStyle w:val="Heading3"/>
      </w:pPr>
      <w:bookmarkStart w:id="1748" w:name="_Toc200375699"/>
      <w:r w:rsidRPr="009B1E3B">
        <w:t>Elderly or Disabled Family Deduction</w:t>
      </w:r>
      <w:bookmarkEnd w:id="1748"/>
    </w:p>
    <w:p w14:paraId="4BCCAFB6" w14:textId="77777777" w:rsidR="00BC0DB5" w:rsidRDefault="00BC0DB5" w:rsidP="00BC0DB5">
      <w:r>
        <w:t>A s</w:t>
      </w:r>
      <w:r w:rsidRPr="009B1E3B">
        <w:t>ingle deduction is taken for any elderly or disabled family. An elderly family is a family whose head, spouse, co-head, or sole member is 62 years of age or older. A disabled family is a family whose head, spouse, co-head, or sole member is a person with disabilities.</w:t>
      </w:r>
    </w:p>
    <w:p w14:paraId="067DBFB3" w14:textId="77777777" w:rsidR="00BC0DB5" w:rsidRDefault="00BC0DB5" w:rsidP="00BC0DB5">
      <w:r w:rsidRPr="009B1E3B">
        <w:t>The amount of the deduction is currently $4</w:t>
      </w:r>
      <w:r w:rsidR="00EA711F">
        <w:t>8</w:t>
      </w:r>
      <w:r w:rsidRPr="009B1E3B">
        <w:t>0. Upon implementation of HOTMA and subject to applicable HUD guidance, this amount will be increased to $525 and will be adjusted annually by HUD, rounded to the next lowest multiple of $25.</w:t>
      </w:r>
    </w:p>
    <w:p w14:paraId="212FDCB1" w14:textId="77777777" w:rsidR="00BC0DB5" w:rsidRDefault="00BC0DB5" w:rsidP="00677451">
      <w:pPr>
        <w:pStyle w:val="Heading3"/>
      </w:pPr>
      <w:bookmarkStart w:id="1749" w:name="_Toc200375700"/>
      <w:r>
        <w:t>Health and Medical Care Expense Deduction</w:t>
      </w:r>
      <w:bookmarkEnd w:id="1749"/>
    </w:p>
    <w:p w14:paraId="443241A6" w14:textId="77777777" w:rsidR="00BC0DB5" w:rsidRDefault="00BC0DB5" w:rsidP="00BC0DB5">
      <w:r>
        <w:t xml:space="preserve">Unreimbursed medical expenses may be deducted to the extent that, in combination with any disability </w:t>
      </w:r>
      <w:r w:rsidRPr="009B1E3B">
        <w:t>assistance</w:t>
      </w:r>
      <w:r>
        <w:t xml:space="preserve"> expenses, they exceed the HUD-established percent of annual income threshold.</w:t>
      </w:r>
    </w:p>
    <w:p w14:paraId="570D64DB" w14:textId="77777777" w:rsidR="00BC0DB5" w:rsidRDefault="00BC0DB5" w:rsidP="00BC0DB5">
      <w:r w:rsidRPr="009B1E3B">
        <w:t xml:space="preserve">The threshold is currently set at </w:t>
      </w:r>
      <w:r w:rsidR="00D00BE1">
        <w:t>3</w:t>
      </w:r>
      <w:r w:rsidRPr="009B1E3B">
        <w:t xml:space="preserve"> percent of annual income. Upon implementation of HOTMA and subject to applicable HUD guidance, this amount will be increased to </w:t>
      </w:r>
      <w:r w:rsidR="00D00BE1">
        <w:t>10</w:t>
      </w:r>
      <w:r w:rsidRPr="009B1E3B">
        <w:t xml:space="preserve"> percent of annual income.</w:t>
      </w:r>
      <w:r>
        <w:t xml:space="preserve"> </w:t>
      </w:r>
    </w:p>
    <w:p w14:paraId="37E30073" w14:textId="77777777" w:rsidR="00BC0DB5" w:rsidRDefault="00BC0DB5" w:rsidP="00BC0DB5">
      <w:r>
        <w:t>The medical expense deduction is permitted only for families in which the head, spouse, or co-head is at least 62 or is a person with disabilities. If a family is eligible for a medical expense deduction, the medical expenses of all family members are counted.</w:t>
      </w:r>
    </w:p>
    <w:p w14:paraId="1A94FBEB" w14:textId="77777777" w:rsidR="00BC0DB5" w:rsidRPr="00851339" w:rsidRDefault="00BC0DB5" w:rsidP="00BC0DB5">
      <w:bookmarkStart w:id="1750" w:name="_Hlk143437615"/>
      <w:r w:rsidRPr="00851339">
        <w:rPr>
          <w:i/>
          <w:iCs/>
        </w:rPr>
        <w:t>Medical expenses</w:t>
      </w:r>
      <w:r w:rsidRPr="00851339">
        <w:t xml:space="preserve"> include unreimbursed expenses for:</w:t>
      </w:r>
    </w:p>
    <w:p w14:paraId="60912C6D" w14:textId="77777777" w:rsidR="00BC0DB5" w:rsidRPr="00851339" w:rsidRDefault="00BC0DB5" w:rsidP="00CB52D8">
      <w:pPr>
        <w:pStyle w:val="ListParagraph"/>
        <w:widowControl w:val="0"/>
        <w:numPr>
          <w:ilvl w:val="0"/>
          <w:numId w:val="80"/>
        </w:numPr>
        <w:autoSpaceDE w:val="0"/>
        <w:autoSpaceDN w:val="0"/>
        <w:spacing w:after="120"/>
        <w:contextualSpacing w:val="0"/>
      </w:pPr>
      <w:r w:rsidRPr="00851339">
        <w:t>Any costs incurred in the diagnosis, cure, mitigation, treatment or prevention of disease;</w:t>
      </w:r>
    </w:p>
    <w:p w14:paraId="3C624B6E" w14:textId="77777777" w:rsidR="00BC0DB5" w:rsidRPr="00851339" w:rsidRDefault="00BC0DB5" w:rsidP="00CB52D8">
      <w:pPr>
        <w:pStyle w:val="ListParagraph"/>
        <w:widowControl w:val="0"/>
        <w:numPr>
          <w:ilvl w:val="0"/>
          <w:numId w:val="80"/>
        </w:numPr>
        <w:autoSpaceDE w:val="0"/>
        <w:autoSpaceDN w:val="0"/>
        <w:spacing w:after="120"/>
        <w:contextualSpacing w:val="0"/>
      </w:pPr>
      <w:r w:rsidRPr="00851339">
        <w:t>Payment for treatments affecting any structure of function of the body; and</w:t>
      </w:r>
    </w:p>
    <w:p w14:paraId="21F4A224" w14:textId="77777777" w:rsidR="00BC0DB5" w:rsidRPr="00851339" w:rsidRDefault="001D6F1D" w:rsidP="00CB52D8">
      <w:pPr>
        <w:pStyle w:val="ListParagraph"/>
        <w:widowControl w:val="0"/>
        <w:numPr>
          <w:ilvl w:val="0"/>
          <w:numId w:val="80"/>
        </w:numPr>
        <w:autoSpaceDE w:val="0"/>
        <w:autoSpaceDN w:val="0"/>
        <w:spacing w:after="120"/>
        <w:contextualSpacing w:val="0"/>
      </w:pPr>
      <w:r>
        <w:t>M</w:t>
      </w:r>
      <w:r w:rsidR="00BC0DB5" w:rsidRPr="00851339">
        <w:t>edical insurance and long-term care premiums that are paid or are anticipated to be paid for the applicable period.</w:t>
      </w:r>
    </w:p>
    <w:p w14:paraId="40FCF720" w14:textId="77777777" w:rsidR="00AA24FE" w:rsidRDefault="00AA24FE" w:rsidP="00AA24FE">
      <w:r>
        <w:t xml:space="preserve">Although HUD revised the definition of </w:t>
      </w:r>
      <w:r w:rsidRPr="00AA24FE">
        <w:rPr>
          <w:i/>
          <w:iCs/>
        </w:rPr>
        <w:t>health and medical care expenses</w:t>
      </w:r>
      <w:r>
        <w:t xml:space="preserve"> to reflect the Internal Revenue Service (IRS) general definition of medical expenses, HUD does not permit HHA to specifically align their policies with IRS Publication 502 for determining which expenses are included in HUD’s mandatory deduction for health and medical care expenses.</w:t>
      </w:r>
      <w:r w:rsidRPr="00BE5F33">
        <w:t xml:space="preserve"> </w:t>
      </w:r>
      <w:r>
        <w:t xml:space="preserve">HHA must review each expense to determine whether it is eligible in accordance with HUD’s definition of </w:t>
      </w:r>
      <w:r w:rsidRPr="00AA24FE">
        <w:rPr>
          <w:i/>
          <w:iCs/>
        </w:rPr>
        <w:t>health and medical care expenses</w:t>
      </w:r>
      <w:r>
        <w:t>.</w:t>
      </w:r>
    </w:p>
    <w:p w14:paraId="43A15B5E" w14:textId="77777777" w:rsidR="00BC0DB5" w:rsidRDefault="00BC0DB5" w:rsidP="00BC0DB5">
      <w:pPr>
        <w:rPr>
          <w:rFonts w:cs="Arial"/>
          <w:spacing w:val="-4"/>
          <w:w w:val="105"/>
        </w:rPr>
      </w:pPr>
      <w:r w:rsidRPr="00851339">
        <w:rPr>
          <w:rFonts w:cs="Arial"/>
          <w:spacing w:val="1"/>
          <w:w w:val="105"/>
        </w:rPr>
        <w:t xml:space="preserve">To be </w:t>
      </w:r>
      <w:r w:rsidRPr="00851339">
        <w:rPr>
          <w:rFonts w:cs="Arial"/>
          <w:spacing w:val="-5"/>
          <w:w w:val="105"/>
        </w:rPr>
        <w:t xml:space="preserve">considered by HHA for the purpose of determining a deduction from income, the expenses </w:t>
      </w:r>
      <w:r w:rsidRPr="00851339">
        <w:rPr>
          <w:rFonts w:cs="Arial"/>
          <w:spacing w:val="-4"/>
          <w:w w:val="105"/>
        </w:rPr>
        <w:t xml:space="preserve">claimed must be </w:t>
      </w:r>
      <w:r w:rsidR="00EA0807">
        <w:rPr>
          <w:rFonts w:cs="Arial"/>
          <w:spacing w:val="-4"/>
          <w:w w:val="105"/>
        </w:rPr>
        <w:t xml:space="preserve">unreimbursed and </w:t>
      </w:r>
      <w:r w:rsidRPr="00851339">
        <w:rPr>
          <w:rFonts w:cs="Arial"/>
          <w:spacing w:val="-4"/>
          <w:w w:val="105"/>
        </w:rPr>
        <w:t>verified</w:t>
      </w:r>
      <w:r w:rsidR="00F078A8">
        <w:rPr>
          <w:rFonts w:cs="Arial"/>
          <w:spacing w:val="-4"/>
          <w:w w:val="105"/>
        </w:rPr>
        <w:t xml:space="preserve"> as allowable</w:t>
      </w:r>
      <w:r w:rsidR="003B240D">
        <w:rPr>
          <w:rFonts w:cs="Arial"/>
          <w:spacing w:val="-4"/>
          <w:w w:val="105"/>
        </w:rPr>
        <w:t xml:space="preserve"> and</w:t>
      </w:r>
      <w:r w:rsidR="00F078A8">
        <w:rPr>
          <w:rFonts w:cs="Arial"/>
          <w:spacing w:val="-4"/>
          <w:w w:val="105"/>
        </w:rPr>
        <w:t xml:space="preserve"> for the benefit of a family member</w:t>
      </w:r>
      <w:r w:rsidR="003B240D">
        <w:rPr>
          <w:rFonts w:cs="Arial"/>
          <w:spacing w:val="-4"/>
          <w:w w:val="105"/>
        </w:rPr>
        <w:t xml:space="preserve">. </w:t>
      </w:r>
    </w:p>
    <w:p w14:paraId="203B0FB3" w14:textId="77777777" w:rsidR="00DA34E1" w:rsidRDefault="00DA34E1" w:rsidP="00DA34E1">
      <w:r>
        <w:t>When expenses anticipated by a family could be defined as either a health and medical care or disability assistance expenses, HHA will consider them health and medical care expenses unless it is clear that the expenses are incurred exclusively to enable a person with disabilities to work.</w:t>
      </w:r>
    </w:p>
    <w:p w14:paraId="14D604BF" w14:textId="14BA4FAB" w:rsidR="00BC0DB5" w:rsidRPr="00851339" w:rsidRDefault="00BC0DB5" w:rsidP="00BC0DB5">
      <w:pPr>
        <w:rPr>
          <w:rFonts w:cs="Arial"/>
          <w:spacing w:val="-4"/>
          <w:w w:val="105"/>
        </w:rPr>
      </w:pPr>
      <w:r w:rsidRPr="00001A9B">
        <w:rPr>
          <w:rFonts w:cs="Arial"/>
          <w:spacing w:val="-4"/>
          <w:w w:val="105"/>
        </w:rPr>
        <w:t xml:space="preserve">See </w:t>
      </w:r>
      <w:r w:rsidR="00F16B87" w:rsidRPr="00F16B87">
        <w:rPr>
          <w:rFonts w:cs="Arial"/>
          <w:b/>
          <w:bCs/>
          <w:color w:val="0070C0"/>
          <w:spacing w:val="-4"/>
          <w:w w:val="105"/>
        </w:rPr>
        <w:fldChar w:fldCharType="begin"/>
      </w:r>
      <w:r w:rsidR="00F16B87" w:rsidRPr="00F16B87">
        <w:rPr>
          <w:rFonts w:cs="Arial"/>
          <w:b/>
          <w:bCs/>
          <w:color w:val="0070C0"/>
          <w:spacing w:val="-4"/>
          <w:w w:val="105"/>
        </w:rPr>
        <w:instrText xml:space="preserve"> REF _Ref155261074 \h  \* MERGEFORMAT </w:instrText>
      </w:r>
      <w:r w:rsidR="00F16B87" w:rsidRPr="00F16B87">
        <w:rPr>
          <w:rFonts w:cs="Arial"/>
          <w:b/>
          <w:bCs/>
          <w:color w:val="0070C0"/>
          <w:spacing w:val="-4"/>
          <w:w w:val="105"/>
        </w:rPr>
      </w:r>
      <w:r w:rsidR="00F16B87" w:rsidRPr="00F16B87">
        <w:rPr>
          <w:rFonts w:cs="Arial"/>
          <w:b/>
          <w:bCs/>
          <w:color w:val="0070C0"/>
          <w:spacing w:val="-4"/>
          <w:w w:val="105"/>
        </w:rPr>
        <w:fldChar w:fldCharType="separate"/>
      </w:r>
      <w:r w:rsidR="00F16B87" w:rsidRPr="00F16B87">
        <w:rPr>
          <w:b/>
          <w:bCs/>
          <w:color w:val="0070C0"/>
        </w:rPr>
        <w:t>Health and Medical Care Expense and/or Disability Assistance Expense Hardship</w:t>
      </w:r>
      <w:r w:rsidR="00F16B87" w:rsidRPr="00F16B87">
        <w:rPr>
          <w:rFonts w:cs="Arial"/>
          <w:b/>
          <w:bCs/>
          <w:color w:val="0070C0"/>
          <w:spacing w:val="-4"/>
          <w:w w:val="105"/>
        </w:rPr>
        <w:fldChar w:fldCharType="end"/>
      </w:r>
      <w:r w:rsidRPr="00001A9B">
        <w:rPr>
          <w:rFonts w:cs="Arial"/>
          <w:spacing w:val="-4"/>
          <w:w w:val="105"/>
        </w:rPr>
        <w:t xml:space="preserve"> </w:t>
      </w:r>
      <w:r w:rsidR="00E562D0">
        <w:rPr>
          <w:rFonts w:cs="Arial"/>
          <w:spacing w:val="-4"/>
          <w:w w:val="105"/>
        </w:rPr>
        <w:t>in the</w:t>
      </w:r>
      <w:r w:rsidR="006A192A">
        <w:rPr>
          <w:rFonts w:cs="Arial"/>
          <w:spacing w:val="-4"/>
          <w:w w:val="105"/>
        </w:rPr>
        <w:t xml:space="preserve"> chapter on</w:t>
      </w:r>
      <w:r w:rsidR="00E562D0">
        <w:rPr>
          <w:rFonts w:cs="Arial"/>
          <w:spacing w:val="-4"/>
          <w:w w:val="105"/>
        </w:rPr>
        <w:t xml:space="preserve"> </w:t>
      </w:r>
      <w:r w:rsidR="00994CB3" w:rsidRPr="00994CB3">
        <w:rPr>
          <w:rFonts w:cs="Arial"/>
          <w:b/>
          <w:bCs/>
          <w:color w:val="0070C0"/>
          <w:spacing w:val="-4"/>
          <w:w w:val="105"/>
        </w:rPr>
        <w:fldChar w:fldCharType="begin"/>
      </w:r>
      <w:r w:rsidR="00994CB3" w:rsidRPr="00994CB3">
        <w:rPr>
          <w:rFonts w:cs="Arial"/>
          <w:b/>
          <w:bCs/>
          <w:color w:val="0070C0"/>
          <w:spacing w:val="-4"/>
          <w:w w:val="105"/>
        </w:rPr>
        <w:instrText xml:space="preserve"> REF _Ref151016269 \h  \* MERGEFORMAT </w:instrText>
      </w:r>
      <w:r w:rsidR="00994CB3" w:rsidRPr="00994CB3">
        <w:rPr>
          <w:rFonts w:cs="Arial"/>
          <w:b/>
          <w:bCs/>
          <w:color w:val="0070C0"/>
          <w:spacing w:val="-4"/>
          <w:w w:val="105"/>
        </w:rPr>
      </w:r>
      <w:r w:rsidR="00994CB3" w:rsidRPr="00994CB3">
        <w:rPr>
          <w:rFonts w:cs="Arial"/>
          <w:b/>
          <w:bCs/>
          <w:color w:val="0070C0"/>
          <w:spacing w:val="-4"/>
          <w:w w:val="105"/>
        </w:rPr>
        <w:fldChar w:fldCharType="separate"/>
      </w:r>
      <w:r w:rsidR="006A192A" w:rsidRPr="006A192A">
        <w:rPr>
          <w:b/>
          <w:bCs/>
          <w:color w:val="0070C0"/>
        </w:rPr>
        <w:t>HARDSHIPS</w:t>
      </w:r>
      <w:r w:rsidR="00994CB3" w:rsidRPr="00994CB3">
        <w:rPr>
          <w:rFonts w:cs="Arial"/>
          <w:b/>
          <w:bCs/>
          <w:color w:val="0070C0"/>
          <w:spacing w:val="-4"/>
          <w:w w:val="105"/>
        </w:rPr>
        <w:fldChar w:fldCharType="end"/>
      </w:r>
      <w:r w:rsidR="00994CB3">
        <w:rPr>
          <w:rFonts w:cs="Arial"/>
          <w:spacing w:val="-4"/>
          <w:w w:val="105"/>
        </w:rPr>
        <w:t xml:space="preserve"> </w:t>
      </w:r>
      <w:r w:rsidR="00E562D0">
        <w:rPr>
          <w:rFonts w:cs="Arial"/>
          <w:spacing w:val="-4"/>
          <w:w w:val="105"/>
        </w:rPr>
        <w:t>f</w:t>
      </w:r>
      <w:r w:rsidRPr="00001A9B">
        <w:rPr>
          <w:rFonts w:cs="Arial"/>
          <w:spacing w:val="-4"/>
          <w:w w:val="105"/>
        </w:rPr>
        <w:t>or information about hardship exemptions.</w:t>
      </w:r>
    </w:p>
    <w:p w14:paraId="7180C822" w14:textId="77777777" w:rsidR="00BC0DB5" w:rsidRDefault="00BC0DB5" w:rsidP="00677451">
      <w:pPr>
        <w:pStyle w:val="Heading3"/>
      </w:pPr>
      <w:bookmarkStart w:id="1751" w:name="_Toc200375701"/>
      <w:bookmarkEnd w:id="1750"/>
      <w:r>
        <w:t>Disability Assistance Expenses Deduction</w:t>
      </w:r>
      <w:bookmarkEnd w:id="1751"/>
    </w:p>
    <w:p w14:paraId="748ABBC1" w14:textId="77777777" w:rsidR="00BC0DB5" w:rsidRPr="00765546" w:rsidRDefault="00BC0DB5" w:rsidP="00BC0DB5">
      <w:pPr>
        <w:autoSpaceDE w:val="0"/>
        <w:autoSpaceDN w:val="0"/>
        <w:adjustRightInd w:val="0"/>
        <w:rPr>
          <w:rFonts w:cs="Arial"/>
          <w:szCs w:val="20"/>
        </w:rPr>
      </w:pPr>
      <w:r w:rsidRPr="00765546">
        <w:rPr>
          <w:rFonts w:cs="Arial"/>
          <w:szCs w:val="20"/>
        </w:rPr>
        <w:t>Reasonable</w:t>
      </w:r>
      <w:r w:rsidR="00047120">
        <w:rPr>
          <w:rFonts w:cs="Arial"/>
          <w:szCs w:val="20"/>
        </w:rPr>
        <w:t>, unreimbursed</w:t>
      </w:r>
      <w:r w:rsidRPr="00765546">
        <w:rPr>
          <w:rFonts w:cs="Arial"/>
          <w:szCs w:val="20"/>
        </w:rPr>
        <w:t xml:space="preserve"> expenses for attendant care and auxiliary apparatus for a disabled family member may be deducted if they: </w:t>
      </w:r>
    </w:p>
    <w:p w14:paraId="0951E19D" w14:textId="77777777" w:rsidR="00BC0DB5" w:rsidRPr="009B1E3B" w:rsidRDefault="00BC0DB5" w:rsidP="00CB52D8">
      <w:pPr>
        <w:pStyle w:val="ListParagraph"/>
        <w:widowControl w:val="0"/>
        <w:numPr>
          <w:ilvl w:val="0"/>
          <w:numId w:val="80"/>
        </w:numPr>
        <w:autoSpaceDE w:val="0"/>
        <w:autoSpaceDN w:val="0"/>
        <w:spacing w:after="120"/>
        <w:contextualSpacing w:val="0"/>
      </w:pPr>
      <w:r w:rsidRPr="009B1E3B">
        <w:t>Are necessary to enable a family member 18 years or older to work;</w:t>
      </w:r>
    </w:p>
    <w:p w14:paraId="2548F950" w14:textId="77777777" w:rsidR="00BC0DB5" w:rsidRPr="009B1E3B" w:rsidRDefault="00BC0DB5" w:rsidP="00CB52D8">
      <w:pPr>
        <w:pStyle w:val="ListParagraph"/>
        <w:widowControl w:val="0"/>
        <w:numPr>
          <w:ilvl w:val="0"/>
          <w:numId w:val="80"/>
        </w:numPr>
        <w:autoSpaceDE w:val="0"/>
        <w:autoSpaceDN w:val="0"/>
        <w:spacing w:after="120"/>
        <w:contextualSpacing w:val="0"/>
      </w:pPr>
      <w:r w:rsidRPr="009B1E3B">
        <w:t>Are not paid to a family member or reimbursed by an outside source;</w:t>
      </w:r>
    </w:p>
    <w:p w14:paraId="7B912B28" w14:textId="77777777" w:rsidR="00BC0DB5" w:rsidRPr="009B1E3B" w:rsidRDefault="00BC0DB5" w:rsidP="00CB52D8">
      <w:pPr>
        <w:pStyle w:val="ListParagraph"/>
        <w:widowControl w:val="0"/>
        <w:numPr>
          <w:ilvl w:val="0"/>
          <w:numId w:val="80"/>
        </w:numPr>
        <w:autoSpaceDE w:val="0"/>
        <w:autoSpaceDN w:val="0"/>
        <w:spacing w:after="120"/>
        <w:contextualSpacing w:val="0"/>
      </w:pPr>
      <w:r w:rsidRPr="009B1E3B">
        <w:t xml:space="preserve">In combination with any medical expenses, exceed </w:t>
      </w:r>
      <w:r>
        <w:t>the HUD-established</w:t>
      </w:r>
      <w:r w:rsidRPr="009B1E3B">
        <w:t xml:space="preserve"> percent of annual income</w:t>
      </w:r>
      <w:r>
        <w:t xml:space="preserve"> threshold</w:t>
      </w:r>
      <w:r w:rsidRPr="009B1E3B">
        <w:t>; and</w:t>
      </w:r>
    </w:p>
    <w:p w14:paraId="0B31871C" w14:textId="77777777" w:rsidR="00BC0DB5" w:rsidRPr="009B1E3B" w:rsidRDefault="00BC0DB5" w:rsidP="00CB52D8">
      <w:pPr>
        <w:pStyle w:val="ListParagraph"/>
        <w:widowControl w:val="0"/>
        <w:numPr>
          <w:ilvl w:val="0"/>
          <w:numId w:val="80"/>
        </w:numPr>
        <w:autoSpaceDE w:val="0"/>
        <w:autoSpaceDN w:val="0"/>
        <w:spacing w:after="120"/>
        <w:contextualSpacing w:val="0"/>
      </w:pPr>
      <w:r w:rsidRPr="009B1E3B">
        <w:t>Do not exceed the earned income received by the family member who is enabled to work.</w:t>
      </w:r>
    </w:p>
    <w:p w14:paraId="0618EE1B" w14:textId="77777777" w:rsidR="00BC0DB5" w:rsidRPr="00765546" w:rsidRDefault="00BC0DB5" w:rsidP="00BC0DB5">
      <w:pPr>
        <w:pStyle w:val="Heading4"/>
      </w:pPr>
      <w:r w:rsidRPr="00765546">
        <w:t xml:space="preserve">Earned Income Limit on the Disability Assistance Expense Deduction </w:t>
      </w:r>
    </w:p>
    <w:p w14:paraId="05732661" w14:textId="77777777" w:rsidR="00BC0DB5" w:rsidRPr="00765546" w:rsidRDefault="00BC0DB5" w:rsidP="00BC0DB5">
      <w:pPr>
        <w:rPr>
          <w:rFonts w:cs="Arial"/>
          <w:szCs w:val="20"/>
        </w:rPr>
      </w:pPr>
      <w:r w:rsidRPr="00765546">
        <w:rPr>
          <w:rFonts w:cs="Arial"/>
          <w:szCs w:val="20"/>
        </w:rPr>
        <w:t>A family can qualify for the disability assistance expense deduction only if at least one family member (who may be the person with disabilities) is enabled to work.</w:t>
      </w:r>
    </w:p>
    <w:p w14:paraId="2D93FCEE" w14:textId="77777777" w:rsidR="00BC0DB5" w:rsidRPr="00765546" w:rsidRDefault="00BC0DB5" w:rsidP="00BC0DB5">
      <w:pPr>
        <w:rPr>
          <w:rFonts w:cs="Arial"/>
          <w:szCs w:val="20"/>
        </w:rPr>
      </w:pPr>
      <w:r w:rsidRPr="00765546">
        <w:rPr>
          <w:rFonts w:cs="Arial"/>
          <w:szCs w:val="20"/>
        </w:rPr>
        <w:t>The disability expense deduction is capped by the amount of earned income received by family members who are 18 years of age or older and who are able to work because of the expense. The earned income used for this purpose is the amount verified before any earned income disallowances or income exclusions are applied.</w:t>
      </w:r>
    </w:p>
    <w:p w14:paraId="215AF7F3" w14:textId="77777777" w:rsidR="00BC0DB5" w:rsidRPr="00765546" w:rsidRDefault="00BC0DB5" w:rsidP="00BC0DB5">
      <w:pPr>
        <w:rPr>
          <w:rFonts w:cs="Arial"/>
          <w:szCs w:val="20"/>
        </w:rPr>
      </w:pPr>
      <w:r w:rsidRPr="00765546">
        <w:rPr>
          <w:rFonts w:cs="Arial"/>
          <w:szCs w:val="20"/>
        </w:rPr>
        <w:t xml:space="preserve">The family must identify the family member enabled to work as a result of the disability assistance expenses. In evaluating the family’s request, </w:t>
      </w:r>
      <w:r>
        <w:rPr>
          <w:rFonts w:cs="Arial"/>
          <w:szCs w:val="20"/>
        </w:rPr>
        <w:t>HHA</w:t>
      </w:r>
      <w:r w:rsidRPr="00765546">
        <w:rPr>
          <w:rFonts w:cs="Arial"/>
          <w:szCs w:val="20"/>
        </w:rPr>
        <w:t xml:space="preserve"> will consider factors such as how the work schedule of the relevant family members relates to the hours of care provided, the time required for transportation, the relationship of the family members to the person with disabilities, and any special needs of the person with disabilities that might determine which family members are enabled to work.</w:t>
      </w:r>
    </w:p>
    <w:p w14:paraId="39E6F5AD" w14:textId="77777777" w:rsidR="00BC0DB5" w:rsidRPr="00765546" w:rsidRDefault="00BC0DB5" w:rsidP="00BC0DB5">
      <w:pPr>
        <w:rPr>
          <w:rFonts w:cs="Arial"/>
          <w:szCs w:val="20"/>
        </w:rPr>
      </w:pPr>
      <w:r w:rsidRPr="00765546">
        <w:rPr>
          <w:rFonts w:cs="Arial"/>
          <w:szCs w:val="20"/>
        </w:rPr>
        <w:t xml:space="preserve">When </w:t>
      </w:r>
      <w:r>
        <w:rPr>
          <w:rFonts w:cs="Arial"/>
          <w:szCs w:val="20"/>
        </w:rPr>
        <w:t>HHA</w:t>
      </w:r>
      <w:r w:rsidRPr="00765546">
        <w:rPr>
          <w:rFonts w:cs="Arial"/>
          <w:szCs w:val="20"/>
        </w:rPr>
        <w:t xml:space="preserve"> determines that the disability assistance expenses enable more than one family member to work, the disability assistance expenses will be capped by the sum of the family members’ incomes.</w:t>
      </w:r>
    </w:p>
    <w:p w14:paraId="6C6BC3DD" w14:textId="77777777" w:rsidR="00BC0DB5" w:rsidRPr="00765546" w:rsidRDefault="00BC0DB5" w:rsidP="00BC0DB5">
      <w:pPr>
        <w:pStyle w:val="Heading4"/>
      </w:pPr>
      <w:r w:rsidRPr="00765546">
        <w:t xml:space="preserve">Eligible </w:t>
      </w:r>
      <w:r w:rsidR="00DA34E1">
        <w:t>Auxiliary Apparatus</w:t>
      </w:r>
      <w:r w:rsidRPr="00765546">
        <w:t xml:space="preserve"> </w:t>
      </w:r>
    </w:p>
    <w:p w14:paraId="7D45E334" w14:textId="77777777" w:rsidR="00952A44" w:rsidRPr="005937A2" w:rsidRDefault="00952A44" w:rsidP="00952A44">
      <w:bookmarkStart w:id="1752" w:name="_Hlk147327029"/>
      <w:r>
        <w:t xml:space="preserve">Auxiliary apparatus items </w:t>
      </w:r>
      <w:r w:rsidR="00381088">
        <w:t xml:space="preserve">to allow an adult family member to work </w:t>
      </w:r>
      <w:r>
        <w:t>may include expenses for wheelchairs, ramps, adaptations to vehicles, guide dogs, assistance animals, or special equipment to enable a person who is blind or has low vision to read or type, or special equipment to assist a person who is deaf or hard of hearing.</w:t>
      </w:r>
      <w:bookmarkEnd w:id="1752"/>
    </w:p>
    <w:p w14:paraId="7D2A2DB6" w14:textId="77777777" w:rsidR="00BC0DB5" w:rsidRPr="00765546" w:rsidRDefault="00BC0DB5" w:rsidP="00BC0DB5">
      <w:pPr>
        <w:pStyle w:val="Heading4"/>
      </w:pPr>
      <w:r w:rsidRPr="00765546">
        <w:t xml:space="preserve">Eligible Attendant Care </w:t>
      </w:r>
    </w:p>
    <w:p w14:paraId="562887A4" w14:textId="77777777" w:rsidR="00BC0DB5" w:rsidRPr="00765546" w:rsidRDefault="00BC0DB5" w:rsidP="00BC0DB5">
      <w:pPr>
        <w:rPr>
          <w:rFonts w:cs="Arial"/>
          <w:szCs w:val="20"/>
        </w:rPr>
      </w:pPr>
      <w:r w:rsidRPr="00765546">
        <w:rPr>
          <w:rFonts w:cs="Arial"/>
          <w:szCs w:val="20"/>
        </w:rPr>
        <w:t xml:space="preserve">The family </w:t>
      </w:r>
      <w:r w:rsidR="00F441FF">
        <w:rPr>
          <w:rFonts w:cs="Arial"/>
          <w:szCs w:val="20"/>
        </w:rPr>
        <w:t>determines</w:t>
      </w:r>
      <w:r w:rsidRPr="00765546">
        <w:rPr>
          <w:rFonts w:cs="Arial"/>
          <w:szCs w:val="20"/>
        </w:rPr>
        <w:t xml:space="preserve"> the type of attendant care that is appropriate for the person with disabilities. </w:t>
      </w:r>
      <w:bookmarkStart w:id="1753" w:name="_Hlk147327100"/>
      <w:r w:rsidR="00897B73">
        <w:t>Examples of attendant care expenses can include teaching a person with disabilities how to perform day-to-day tasks independently like cleaning, bathing, doing laundry, and cooking. Attendant care can be 24-hour care, or care during sporadic periods throughout the day.</w:t>
      </w:r>
      <w:bookmarkEnd w:id="1753"/>
    </w:p>
    <w:p w14:paraId="6BE88767" w14:textId="77777777" w:rsidR="00BC0DB5" w:rsidRPr="00765546" w:rsidRDefault="00BC0DB5" w:rsidP="00BC0DB5">
      <w:pPr>
        <w:rPr>
          <w:rFonts w:cs="Arial"/>
          <w:szCs w:val="20"/>
        </w:rPr>
      </w:pPr>
      <w:r w:rsidRPr="00765546">
        <w:rPr>
          <w:rFonts w:cs="Arial"/>
          <w:szCs w:val="20"/>
        </w:rPr>
        <w:t>Attendant care expenses will be included for the period that the person enabled to work is employed plus reasonable transportation time. The cost of general housekeeping and personal services is not an eligible attendant care expense. However, if the person enabled to work is the person with disabilities, personal services necessary to enable the person with disabilities to work are eligible.</w:t>
      </w:r>
    </w:p>
    <w:p w14:paraId="529F58AD" w14:textId="77777777" w:rsidR="00BC0DB5" w:rsidRPr="00765546" w:rsidRDefault="00BC0DB5" w:rsidP="00BC0DB5">
      <w:pPr>
        <w:autoSpaceDE w:val="0"/>
        <w:autoSpaceDN w:val="0"/>
        <w:adjustRightInd w:val="0"/>
        <w:rPr>
          <w:rFonts w:cs="Arial"/>
          <w:szCs w:val="20"/>
        </w:rPr>
      </w:pPr>
      <w:bookmarkStart w:id="1754" w:name="_Hlk78294953"/>
      <w:r w:rsidRPr="00765546">
        <w:rPr>
          <w:rFonts w:cs="Arial"/>
          <w:szCs w:val="20"/>
        </w:rPr>
        <w:t xml:space="preserve">If the care attendant also provides other services to the family, </w:t>
      </w:r>
      <w:r>
        <w:rPr>
          <w:rFonts w:cs="Arial"/>
          <w:szCs w:val="20"/>
        </w:rPr>
        <w:t>HHA</w:t>
      </w:r>
      <w:r w:rsidRPr="00765546">
        <w:rPr>
          <w:rFonts w:cs="Arial"/>
          <w:szCs w:val="20"/>
        </w:rPr>
        <w:t xml:space="preserve"> will prorate the cost and allow only that portion of the expenses attributable to attendant care that enables a family member to work. For example, if the care provider also cares for a child who is not the person with disabilities, the cost of care must be prorated. Unless otherwise specified by the care provider, the calculation will be based upon the number of hours spent in each activity and/or the number of persons under care.</w:t>
      </w:r>
    </w:p>
    <w:bookmarkEnd w:id="1754"/>
    <w:p w14:paraId="4619D22B" w14:textId="77777777" w:rsidR="00BC0DB5" w:rsidRPr="00765546" w:rsidRDefault="00BC0DB5" w:rsidP="00BC0DB5">
      <w:pPr>
        <w:pStyle w:val="Heading4"/>
      </w:pPr>
      <w:r w:rsidRPr="00765546">
        <w:t xml:space="preserve">Disability Expense Payments to Family Members </w:t>
      </w:r>
    </w:p>
    <w:p w14:paraId="67A095FC" w14:textId="77777777" w:rsidR="00BC0DB5" w:rsidRPr="00765546" w:rsidRDefault="00BC0DB5" w:rsidP="00BC0DB5">
      <w:pPr>
        <w:rPr>
          <w:rFonts w:cs="Arial"/>
          <w:szCs w:val="20"/>
        </w:rPr>
      </w:pPr>
      <w:r w:rsidRPr="00765546">
        <w:rPr>
          <w:rFonts w:cs="Arial"/>
          <w:szCs w:val="20"/>
        </w:rPr>
        <w:t xml:space="preserve">No disability expenses may be deducted for payments to a member of a client family. However, expenses paid to a relative who is not a member of the </w:t>
      </w:r>
      <w:r w:rsidR="004E142A">
        <w:rPr>
          <w:rFonts w:cs="Arial"/>
          <w:szCs w:val="20"/>
        </w:rPr>
        <w:t>assisted</w:t>
      </w:r>
      <w:r w:rsidRPr="00765546">
        <w:rPr>
          <w:rFonts w:cs="Arial"/>
          <w:szCs w:val="20"/>
        </w:rPr>
        <w:t xml:space="preserve"> family may be deducted if they are not reimbursed by an outside source.</w:t>
      </w:r>
    </w:p>
    <w:p w14:paraId="16A6C0A3" w14:textId="77777777" w:rsidR="00BC0DB5" w:rsidRPr="00765546" w:rsidRDefault="00BC0DB5" w:rsidP="00BC0DB5">
      <w:pPr>
        <w:pStyle w:val="Heading4"/>
      </w:pPr>
      <w:r w:rsidRPr="00765546">
        <w:t>Necessary and Reasonable Expenses</w:t>
      </w:r>
    </w:p>
    <w:p w14:paraId="1638E9C3" w14:textId="77777777" w:rsidR="00BC0DB5" w:rsidRDefault="00BC0DB5" w:rsidP="00BC0DB5">
      <w:pPr>
        <w:rPr>
          <w:rFonts w:cs="Arial"/>
          <w:szCs w:val="20"/>
        </w:rPr>
      </w:pPr>
      <w:r w:rsidRPr="00765546">
        <w:rPr>
          <w:rFonts w:cs="Arial"/>
          <w:szCs w:val="20"/>
        </w:rPr>
        <w:t xml:space="preserve">The family </w:t>
      </w:r>
      <w:r w:rsidR="005E6E16">
        <w:rPr>
          <w:rFonts w:cs="Arial"/>
          <w:szCs w:val="20"/>
        </w:rPr>
        <w:t>determines</w:t>
      </w:r>
      <w:r w:rsidRPr="00765546">
        <w:rPr>
          <w:rFonts w:cs="Arial"/>
          <w:szCs w:val="20"/>
        </w:rPr>
        <w:t xml:space="preserve"> the type of care or auxiliary apparatus to be provided</w:t>
      </w:r>
      <w:r w:rsidR="005E6E16">
        <w:rPr>
          <w:rFonts w:cs="Arial"/>
          <w:szCs w:val="20"/>
        </w:rPr>
        <w:t xml:space="preserve"> and</w:t>
      </w:r>
      <w:r w:rsidRPr="00765546">
        <w:rPr>
          <w:rFonts w:cs="Arial"/>
          <w:szCs w:val="20"/>
        </w:rPr>
        <w:t xml:space="preserve"> must describe how the expenses enable a</w:t>
      </w:r>
      <w:r w:rsidR="001E3083">
        <w:rPr>
          <w:rFonts w:cs="Arial"/>
          <w:szCs w:val="20"/>
        </w:rPr>
        <w:t>n adult</w:t>
      </w:r>
      <w:r w:rsidRPr="00765546">
        <w:rPr>
          <w:rFonts w:cs="Arial"/>
          <w:szCs w:val="20"/>
        </w:rPr>
        <w:t xml:space="preserve"> family member to work. The family must certify that the disability assistance expenses are necessary and are not paid or reimbursed by any other source.</w:t>
      </w:r>
    </w:p>
    <w:p w14:paraId="206C8854" w14:textId="0922CF58" w:rsidR="002B06C3" w:rsidRPr="00851339" w:rsidRDefault="002B06C3" w:rsidP="002B06C3">
      <w:pPr>
        <w:rPr>
          <w:rFonts w:cs="Arial"/>
          <w:spacing w:val="-4"/>
          <w:w w:val="105"/>
        </w:rPr>
      </w:pPr>
      <w:r w:rsidRPr="00001A9B">
        <w:rPr>
          <w:rFonts w:cs="Arial"/>
          <w:spacing w:val="-4"/>
          <w:w w:val="105"/>
        </w:rPr>
        <w:t xml:space="preserve">See </w:t>
      </w:r>
      <w:r w:rsidRPr="00F16B87">
        <w:rPr>
          <w:rFonts w:cs="Arial"/>
          <w:b/>
          <w:bCs/>
          <w:color w:val="0070C0"/>
          <w:spacing w:val="-4"/>
          <w:w w:val="105"/>
        </w:rPr>
        <w:fldChar w:fldCharType="begin"/>
      </w:r>
      <w:r w:rsidRPr="00F16B87">
        <w:rPr>
          <w:rFonts w:cs="Arial"/>
          <w:b/>
          <w:bCs/>
          <w:color w:val="0070C0"/>
          <w:spacing w:val="-4"/>
          <w:w w:val="105"/>
        </w:rPr>
        <w:instrText xml:space="preserve"> REF _Ref155261074 \h  \* MERGEFORMAT </w:instrText>
      </w:r>
      <w:r w:rsidRPr="00F16B87">
        <w:rPr>
          <w:rFonts w:cs="Arial"/>
          <w:b/>
          <w:bCs/>
          <w:color w:val="0070C0"/>
          <w:spacing w:val="-4"/>
          <w:w w:val="105"/>
        </w:rPr>
      </w:r>
      <w:r w:rsidRPr="00F16B87">
        <w:rPr>
          <w:rFonts w:cs="Arial"/>
          <w:b/>
          <w:bCs/>
          <w:color w:val="0070C0"/>
          <w:spacing w:val="-4"/>
          <w:w w:val="105"/>
        </w:rPr>
        <w:fldChar w:fldCharType="separate"/>
      </w:r>
      <w:r w:rsidRPr="00F16B87">
        <w:rPr>
          <w:b/>
          <w:bCs/>
          <w:color w:val="0070C0"/>
        </w:rPr>
        <w:t>Health and Medical Care Expense and/or Disability Assistance Expense Hardship</w:t>
      </w:r>
      <w:r w:rsidRPr="00F16B87">
        <w:rPr>
          <w:rFonts w:cs="Arial"/>
          <w:b/>
          <w:bCs/>
          <w:color w:val="0070C0"/>
          <w:spacing w:val="-4"/>
          <w:w w:val="105"/>
        </w:rPr>
        <w:fldChar w:fldCharType="end"/>
      </w:r>
      <w:r w:rsidRPr="00001A9B">
        <w:rPr>
          <w:rFonts w:cs="Arial"/>
          <w:spacing w:val="-4"/>
          <w:w w:val="105"/>
        </w:rPr>
        <w:t xml:space="preserve"> </w:t>
      </w:r>
      <w:r w:rsidR="00E562D0">
        <w:rPr>
          <w:rFonts w:cs="Arial"/>
          <w:spacing w:val="-4"/>
          <w:w w:val="105"/>
        </w:rPr>
        <w:t xml:space="preserve">in the chapter </w:t>
      </w:r>
      <w:r w:rsidR="006A192A">
        <w:rPr>
          <w:rFonts w:cs="Arial"/>
          <w:spacing w:val="-4"/>
          <w:w w:val="105"/>
        </w:rPr>
        <w:t xml:space="preserve">on </w:t>
      </w:r>
      <w:r w:rsidR="006A192A" w:rsidRPr="006A192A">
        <w:rPr>
          <w:rFonts w:cs="Arial"/>
          <w:b/>
          <w:bCs/>
          <w:color w:val="0070C0"/>
          <w:spacing w:val="-4"/>
          <w:w w:val="105"/>
        </w:rPr>
        <w:fldChar w:fldCharType="begin"/>
      </w:r>
      <w:r w:rsidR="006A192A" w:rsidRPr="006A192A">
        <w:rPr>
          <w:rFonts w:cs="Arial"/>
          <w:b/>
          <w:bCs/>
          <w:color w:val="0070C0"/>
          <w:spacing w:val="-4"/>
          <w:w w:val="105"/>
        </w:rPr>
        <w:instrText xml:space="preserve"> REF _Ref151016269 \h  \* MERGEFORMAT </w:instrText>
      </w:r>
      <w:r w:rsidR="006A192A" w:rsidRPr="006A192A">
        <w:rPr>
          <w:rFonts w:cs="Arial"/>
          <w:b/>
          <w:bCs/>
          <w:color w:val="0070C0"/>
          <w:spacing w:val="-4"/>
          <w:w w:val="105"/>
        </w:rPr>
      </w:r>
      <w:r w:rsidR="006A192A" w:rsidRPr="006A192A">
        <w:rPr>
          <w:rFonts w:cs="Arial"/>
          <w:b/>
          <w:bCs/>
          <w:color w:val="0070C0"/>
          <w:spacing w:val="-4"/>
          <w:w w:val="105"/>
        </w:rPr>
        <w:fldChar w:fldCharType="separate"/>
      </w:r>
      <w:r w:rsidR="006A192A" w:rsidRPr="006A192A">
        <w:rPr>
          <w:b/>
          <w:bCs/>
          <w:color w:val="0070C0"/>
        </w:rPr>
        <w:t>HARDSHIPS</w:t>
      </w:r>
      <w:r w:rsidR="006A192A" w:rsidRPr="006A192A">
        <w:rPr>
          <w:rFonts w:cs="Arial"/>
          <w:b/>
          <w:bCs/>
          <w:color w:val="0070C0"/>
          <w:spacing w:val="-4"/>
          <w:w w:val="105"/>
        </w:rPr>
        <w:fldChar w:fldCharType="end"/>
      </w:r>
      <w:r w:rsidR="006A192A">
        <w:rPr>
          <w:rFonts w:cs="Arial"/>
          <w:spacing w:val="-4"/>
          <w:w w:val="105"/>
        </w:rPr>
        <w:t xml:space="preserve"> </w:t>
      </w:r>
      <w:r w:rsidR="00E562D0">
        <w:rPr>
          <w:rFonts w:cs="Arial"/>
          <w:spacing w:val="-4"/>
          <w:w w:val="105"/>
        </w:rPr>
        <w:t>f</w:t>
      </w:r>
      <w:r w:rsidRPr="00001A9B">
        <w:rPr>
          <w:rFonts w:cs="Arial"/>
          <w:spacing w:val="-4"/>
          <w:w w:val="105"/>
        </w:rPr>
        <w:t>or information about hardship exemptions</w:t>
      </w:r>
      <w:r w:rsidR="00E8138E">
        <w:rPr>
          <w:rFonts w:cs="Arial"/>
          <w:spacing w:val="-4"/>
          <w:w w:val="105"/>
        </w:rPr>
        <w:t>.</w:t>
      </w:r>
    </w:p>
    <w:p w14:paraId="7EB6B19D" w14:textId="77777777" w:rsidR="00BC0DB5" w:rsidRDefault="00BC0DB5" w:rsidP="00677451">
      <w:pPr>
        <w:pStyle w:val="Heading3"/>
      </w:pPr>
      <w:bookmarkStart w:id="1755" w:name="_Ref165036418"/>
      <w:bookmarkStart w:id="1756" w:name="_Toc200375702"/>
      <w:r>
        <w:t>Child Care Expense Deduction</w:t>
      </w:r>
      <w:bookmarkEnd w:id="1755"/>
      <w:bookmarkEnd w:id="1756"/>
    </w:p>
    <w:p w14:paraId="41C8CF98" w14:textId="77777777" w:rsidR="00BC0DB5" w:rsidRPr="00851339" w:rsidRDefault="00BC0DB5" w:rsidP="00802109">
      <w:pPr>
        <w:rPr>
          <w:rFonts w:cs="Arial"/>
          <w:spacing w:val="-7"/>
          <w:w w:val="105"/>
        </w:rPr>
      </w:pPr>
      <w:r w:rsidRPr="00851339">
        <w:rPr>
          <w:rFonts w:cs="Arial"/>
          <w:spacing w:val="-6"/>
          <w:w w:val="105"/>
        </w:rPr>
        <w:t xml:space="preserve">A family may receive a deduction of amounts to be paid by the family for the </w:t>
      </w:r>
      <w:r w:rsidRPr="00851339">
        <w:rPr>
          <w:rFonts w:cs="Arial"/>
          <w:spacing w:val="-4"/>
          <w:w w:val="105"/>
        </w:rPr>
        <w:t>care of children</w:t>
      </w:r>
      <w:r w:rsidR="00865666">
        <w:rPr>
          <w:rFonts w:cs="Arial"/>
          <w:spacing w:val="-4"/>
          <w:w w:val="105"/>
        </w:rPr>
        <w:t xml:space="preserve"> </w:t>
      </w:r>
      <w:r w:rsidR="00357F7D">
        <w:rPr>
          <w:rFonts w:cs="Arial"/>
          <w:spacing w:val="-4"/>
          <w:w w:val="105"/>
        </w:rPr>
        <w:t xml:space="preserve">in the household </w:t>
      </w:r>
      <w:r w:rsidR="00865666">
        <w:rPr>
          <w:rFonts w:cs="Arial"/>
          <w:spacing w:val="-4"/>
          <w:w w:val="105"/>
        </w:rPr>
        <w:t>(including foster children)</w:t>
      </w:r>
      <w:r w:rsidRPr="00851339">
        <w:rPr>
          <w:rFonts w:cs="Arial"/>
          <w:spacing w:val="-4"/>
          <w:w w:val="105"/>
        </w:rPr>
        <w:t xml:space="preserve"> under 13 years of age for the period for which annual income is computed, </w:t>
      </w:r>
      <w:r w:rsidRPr="00851339">
        <w:rPr>
          <w:rFonts w:cs="Arial"/>
          <w:spacing w:val="-6"/>
          <w:w w:val="105"/>
        </w:rPr>
        <w:t>but only when such care is necessary to enable a family member to be gainfully employed</w:t>
      </w:r>
      <w:r w:rsidRPr="00851339">
        <w:rPr>
          <w:rFonts w:cs="Arial"/>
          <w:spacing w:val="-7"/>
          <w:w w:val="105"/>
        </w:rPr>
        <w:t xml:space="preserve"> or to further his/her education</w:t>
      </w:r>
      <w:r w:rsidR="00C67077">
        <w:rPr>
          <w:rFonts w:cs="Arial"/>
          <w:spacing w:val="-7"/>
          <w:w w:val="105"/>
        </w:rPr>
        <w:t xml:space="preserve"> (which may include looking for work)</w:t>
      </w:r>
      <w:r w:rsidRPr="00851339">
        <w:rPr>
          <w:rFonts w:cs="Arial"/>
          <w:spacing w:val="-7"/>
          <w:w w:val="105"/>
        </w:rPr>
        <w:t xml:space="preserve">. </w:t>
      </w:r>
    </w:p>
    <w:p w14:paraId="4FD0C1ED" w14:textId="77777777" w:rsidR="00BC0DB5" w:rsidRPr="00851339" w:rsidRDefault="00BC0DB5" w:rsidP="00802109">
      <w:pPr>
        <w:rPr>
          <w:rFonts w:cs="Arial"/>
          <w:spacing w:val="-1"/>
          <w:w w:val="105"/>
        </w:rPr>
      </w:pPr>
      <w:r w:rsidRPr="00851339">
        <w:rPr>
          <w:rFonts w:cs="Arial"/>
          <w:spacing w:val="-7"/>
          <w:w w:val="105"/>
        </w:rPr>
        <w:t xml:space="preserve">Amounts deducted must be unreimbursed </w:t>
      </w:r>
      <w:r w:rsidRPr="00851339">
        <w:rPr>
          <w:rFonts w:cs="Arial"/>
          <w:spacing w:val="-1"/>
          <w:w w:val="105"/>
        </w:rPr>
        <w:t>expenses</w:t>
      </w:r>
      <w:bookmarkStart w:id="1757" w:name="_Hlk110674856"/>
      <w:r w:rsidRPr="00851339">
        <w:rPr>
          <w:rFonts w:cs="Arial"/>
          <w:spacing w:val="-1"/>
          <w:w w:val="105"/>
        </w:rPr>
        <w:t xml:space="preserve">. The deduction will include the total unreimbursed childcare expense; however, the amount deducted may not exceed: </w:t>
      </w:r>
      <w:bookmarkEnd w:id="1757"/>
    </w:p>
    <w:p w14:paraId="16AC746C" w14:textId="77777777" w:rsidR="00BC0DB5" w:rsidRPr="00851339" w:rsidRDefault="00BC0DB5" w:rsidP="00CB52D8">
      <w:pPr>
        <w:pStyle w:val="ListParagraph"/>
        <w:widowControl w:val="0"/>
        <w:numPr>
          <w:ilvl w:val="0"/>
          <w:numId w:val="80"/>
        </w:numPr>
        <w:autoSpaceDE w:val="0"/>
        <w:autoSpaceDN w:val="0"/>
        <w:spacing w:after="120"/>
        <w:contextualSpacing w:val="0"/>
      </w:pPr>
      <w:r w:rsidRPr="009B1E3B">
        <w:t>The amount of income earned by the family member released to work; or</w:t>
      </w:r>
    </w:p>
    <w:p w14:paraId="70FB061C" w14:textId="77777777" w:rsidR="00BC0DB5" w:rsidRPr="00851339" w:rsidRDefault="00BC0DB5" w:rsidP="00CB52D8">
      <w:pPr>
        <w:pStyle w:val="ListParagraph"/>
        <w:widowControl w:val="0"/>
        <w:numPr>
          <w:ilvl w:val="0"/>
          <w:numId w:val="80"/>
        </w:numPr>
        <w:autoSpaceDE w:val="0"/>
        <w:autoSpaceDN w:val="0"/>
        <w:spacing w:after="120"/>
        <w:contextualSpacing w:val="0"/>
      </w:pPr>
      <w:r w:rsidRPr="009B1E3B">
        <w:t>An amount determined to be reasonable by HHA when the expense is incurred to permit education.</w:t>
      </w:r>
    </w:p>
    <w:p w14:paraId="692646D2" w14:textId="77777777" w:rsidR="00625684" w:rsidRPr="00625684" w:rsidRDefault="00625684" w:rsidP="00625684">
      <w:pPr>
        <w:pStyle w:val="Heading4"/>
      </w:pPr>
      <w:bookmarkStart w:id="1758" w:name="_Ref158897536"/>
      <w:r w:rsidRPr="00625684">
        <w:t xml:space="preserve">Eligible </w:t>
      </w:r>
      <w:r w:rsidR="0010481F">
        <w:t xml:space="preserve">and Ineligible </w:t>
      </w:r>
      <w:r w:rsidRPr="00625684">
        <w:t>Child Care Expenses</w:t>
      </w:r>
      <w:bookmarkEnd w:id="1758"/>
    </w:p>
    <w:p w14:paraId="7C77E0CB" w14:textId="77777777" w:rsidR="00AA2501" w:rsidRDefault="00625684" w:rsidP="00625684">
      <w:r>
        <w:t>The type of care to be provided is determined by the assisted family</w:t>
      </w:r>
      <w:r w:rsidR="006F4CD9">
        <w:t xml:space="preserve">. Allowable expenses </w:t>
      </w:r>
      <w:r w:rsidR="0010481F">
        <w:t xml:space="preserve">may also include those </w:t>
      </w:r>
      <w:r w:rsidR="006F4CD9">
        <w:t>incurred for supervised activities after school or during school holidays (e.g., summer day camp, after-school sports league) and/or payments for child care to relatives who do not live in the unit.</w:t>
      </w:r>
      <w:r w:rsidR="0010481F">
        <w:t xml:space="preserve"> </w:t>
      </w:r>
      <w:r>
        <w:t>HHA will not refuse to give a family the child care expense deduction because there is an adult family member in the household that may be available to provide child care</w:t>
      </w:r>
    </w:p>
    <w:p w14:paraId="1DF7CB47" w14:textId="77777777" w:rsidR="00865666" w:rsidRDefault="00E469EE" w:rsidP="00802109">
      <w:r>
        <w:t xml:space="preserve">Child care expenses do </w:t>
      </w:r>
      <w:r w:rsidRPr="00C61777">
        <w:rPr>
          <w:b/>
          <w:bCs/>
        </w:rPr>
        <w:t>not</w:t>
      </w:r>
      <w:r>
        <w:t xml:space="preserve"> include</w:t>
      </w:r>
      <w:r w:rsidR="00865666">
        <w:t>:</w:t>
      </w:r>
    </w:p>
    <w:p w14:paraId="463E1C43" w14:textId="77777777" w:rsidR="00CF14C7" w:rsidRDefault="00865666" w:rsidP="007F177E">
      <w:pPr>
        <w:pStyle w:val="ListParagraph"/>
        <w:numPr>
          <w:ilvl w:val="0"/>
          <w:numId w:val="162"/>
        </w:numPr>
        <w:contextualSpacing w:val="0"/>
      </w:pPr>
      <w:r>
        <w:t>C</w:t>
      </w:r>
      <w:r w:rsidR="00E469EE">
        <w:t>hild support payments made to another on behalf of a minor who is not living in an assisted family’s household</w:t>
      </w:r>
      <w:r>
        <w:t>;</w:t>
      </w:r>
    </w:p>
    <w:p w14:paraId="57CF1C64" w14:textId="77777777" w:rsidR="00865666" w:rsidRDefault="00F87CD3" w:rsidP="007F177E">
      <w:pPr>
        <w:pStyle w:val="ListParagraph"/>
        <w:numPr>
          <w:ilvl w:val="0"/>
          <w:numId w:val="162"/>
        </w:numPr>
        <w:contextualSpacing w:val="0"/>
      </w:pPr>
      <w:r>
        <w:t>For school-age children, costs attributable to public or private school activities during standard school hours</w:t>
      </w:r>
      <w:r w:rsidR="009B01FA">
        <w:t>;</w:t>
      </w:r>
    </w:p>
    <w:p w14:paraId="3F81114E" w14:textId="77777777" w:rsidR="00235358" w:rsidRDefault="00235358" w:rsidP="007F177E">
      <w:pPr>
        <w:pStyle w:val="ListParagraph"/>
        <w:numPr>
          <w:ilvl w:val="0"/>
          <w:numId w:val="162"/>
        </w:numPr>
        <w:contextualSpacing w:val="0"/>
      </w:pPr>
      <w:r>
        <w:t>The costs of general housekeeping and personal services;</w:t>
      </w:r>
      <w:r w:rsidR="00C61777">
        <w:t xml:space="preserve"> and/or</w:t>
      </w:r>
    </w:p>
    <w:p w14:paraId="5581A32B" w14:textId="77777777" w:rsidR="009B01FA" w:rsidRDefault="00235358" w:rsidP="007F177E">
      <w:pPr>
        <w:pStyle w:val="ListParagraph"/>
        <w:numPr>
          <w:ilvl w:val="0"/>
          <w:numId w:val="162"/>
        </w:numPr>
        <w:contextualSpacing w:val="0"/>
      </w:pPr>
      <w:r>
        <w:t>Expenses paid to a family member who lives in the family’s unit</w:t>
      </w:r>
      <w:r w:rsidR="00C61777">
        <w:t>.</w:t>
      </w:r>
    </w:p>
    <w:p w14:paraId="695D8D8C" w14:textId="77777777" w:rsidR="00AA2501" w:rsidRDefault="00AA2501" w:rsidP="00AA2501">
      <w:r>
        <w:t>If a child care provider also renders other services to a family or child care is used to enable a family member to conduct activities that are not eligible for consideration, HHA will prorate the costs and allow only that portion of the expenses that is attributable to child care for eligible activities. Unless otherwise specified by the child care provider,</w:t>
      </w:r>
      <w:r w:rsidRPr="009A5E45">
        <w:t xml:space="preserve"> </w:t>
      </w:r>
      <w:r>
        <w:t>the calculation will be based upon the number of hours spent in each activity and/or the number of persons under care.</w:t>
      </w:r>
    </w:p>
    <w:p w14:paraId="450C2766" w14:textId="77777777" w:rsidR="004661E2" w:rsidRDefault="004661E2" w:rsidP="00AA2501">
      <w:r>
        <w:t>Child care expenses wi</w:t>
      </w:r>
      <w:r w:rsidR="0017543F">
        <w:t xml:space="preserve">ll be considered for the time required for the eligible activity plus reasonable transportation time, and for </w:t>
      </w:r>
      <w:r w:rsidR="00A13107">
        <w:t>those furthering their education include reasonable study time.</w:t>
      </w:r>
    </w:p>
    <w:p w14:paraId="7E505156" w14:textId="03C80D08" w:rsidR="00BC0DB5" w:rsidRPr="00851339" w:rsidRDefault="00BC0DB5" w:rsidP="00802109">
      <w:r w:rsidRPr="00C448FE">
        <w:t xml:space="preserve">See </w:t>
      </w:r>
      <w:r w:rsidR="00C448FE" w:rsidRPr="00C448FE">
        <w:rPr>
          <w:b/>
          <w:bCs/>
          <w:color w:val="0070C0"/>
        </w:rPr>
        <w:fldChar w:fldCharType="begin"/>
      </w:r>
      <w:r w:rsidR="00C448FE" w:rsidRPr="00C448FE">
        <w:rPr>
          <w:b/>
          <w:bCs/>
          <w:color w:val="0070C0"/>
        </w:rPr>
        <w:instrText xml:space="preserve"> REF _Ref155261596 \h  \* MERGEFORMAT </w:instrText>
      </w:r>
      <w:r w:rsidR="00C448FE" w:rsidRPr="00C448FE">
        <w:rPr>
          <w:b/>
          <w:bCs/>
          <w:color w:val="0070C0"/>
        </w:rPr>
      </w:r>
      <w:r w:rsidR="00C448FE" w:rsidRPr="00C448FE">
        <w:rPr>
          <w:b/>
          <w:bCs/>
          <w:color w:val="0070C0"/>
        </w:rPr>
        <w:fldChar w:fldCharType="separate"/>
      </w:r>
      <w:r w:rsidR="00C448FE" w:rsidRPr="00C448FE">
        <w:rPr>
          <w:b/>
          <w:bCs/>
          <w:color w:val="0070C0"/>
        </w:rPr>
        <w:t>Child Care Expense Hardship</w:t>
      </w:r>
      <w:r w:rsidR="00C448FE" w:rsidRPr="00C448FE">
        <w:rPr>
          <w:b/>
          <w:bCs/>
          <w:color w:val="0070C0"/>
        </w:rPr>
        <w:fldChar w:fldCharType="end"/>
      </w:r>
      <w:r w:rsidRPr="00C448FE">
        <w:rPr>
          <w:b/>
          <w:bCs/>
          <w:color w:val="0070C0"/>
        </w:rPr>
        <w:t xml:space="preserve"> </w:t>
      </w:r>
      <w:r w:rsidR="00E562D0">
        <w:t xml:space="preserve">in the chapter </w:t>
      </w:r>
      <w:r w:rsidR="006A192A">
        <w:t xml:space="preserve">on </w:t>
      </w:r>
      <w:r w:rsidR="006A192A" w:rsidRPr="006A192A">
        <w:rPr>
          <w:b/>
          <w:bCs/>
          <w:color w:val="0070C0"/>
        </w:rPr>
        <w:fldChar w:fldCharType="begin"/>
      </w:r>
      <w:r w:rsidR="006A192A" w:rsidRPr="006A192A">
        <w:rPr>
          <w:b/>
          <w:bCs/>
          <w:color w:val="0070C0"/>
        </w:rPr>
        <w:instrText xml:space="preserve"> REF _Ref151016269 \h  \* MERGEFORMAT </w:instrText>
      </w:r>
      <w:r w:rsidR="006A192A" w:rsidRPr="006A192A">
        <w:rPr>
          <w:b/>
          <w:bCs/>
          <w:color w:val="0070C0"/>
        </w:rPr>
      </w:r>
      <w:r w:rsidR="006A192A" w:rsidRPr="006A192A">
        <w:rPr>
          <w:b/>
          <w:bCs/>
          <w:color w:val="0070C0"/>
        </w:rPr>
        <w:fldChar w:fldCharType="separate"/>
      </w:r>
      <w:r w:rsidR="006A192A" w:rsidRPr="006A192A">
        <w:rPr>
          <w:b/>
          <w:bCs/>
          <w:color w:val="0070C0"/>
        </w:rPr>
        <w:t>HARDSHIPS</w:t>
      </w:r>
      <w:r w:rsidR="006A192A" w:rsidRPr="006A192A">
        <w:rPr>
          <w:b/>
          <w:bCs/>
          <w:color w:val="0070C0"/>
        </w:rPr>
        <w:fldChar w:fldCharType="end"/>
      </w:r>
      <w:r w:rsidR="006A192A">
        <w:t xml:space="preserve"> </w:t>
      </w:r>
      <w:r w:rsidR="00E562D0">
        <w:t>f</w:t>
      </w:r>
      <w:r w:rsidRPr="00C448FE">
        <w:t>or information about hardship exemptions related to child care.</w:t>
      </w:r>
    </w:p>
    <w:p w14:paraId="6A4D55E9" w14:textId="77777777" w:rsidR="00BC0DB5" w:rsidRDefault="00BC0DB5" w:rsidP="00BC0DB5">
      <w:pPr>
        <w:pStyle w:val="MTWBox"/>
      </w:pPr>
      <w:r w:rsidRPr="009C5DDB">
        <w:t>MTW Policy</w:t>
      </w:r>
    </w:p>
    <w:p w14:paraId="33E5CDA5" w14:textId="77777777" w:rsidR="003B3B60" w:rsidRPr="00A5657B" w:rsidRDefault="003B3B60" w:rsidP="003B3B60">
      <w:pPr>
        <w:pStyle w:val="MTWBox"/>
        <w:rPr>
          <w:b w:val="0"/>
          <w:bCs/>
          <w:i w:val="0"/>
          <w:iCs w:val="0"/>
        </w:rPr>
      </w:pPr>
      <w:r w:rsidRPr="00A5657B">
        <w:rPr>
          <w:i w:val="0"/>
          <w:iCs w:val="0"/>
        </w:rPr>
        <w:t>MTW Waiver</w:t>
      </w:r>
      <w:r w:rsidRPr="00A5657B">
        <w:rPr>
          <w:b w:val="0"/>
          <w:bCs/>
          <w:i w:val="0"/>
          <w:iCs w:val="0"/>
        </w:rPr>
        <w:t xml:space="preserve">: </w:t>
      </w:r>
      <w:r w:rsidR="00A5657B" w:rsidRPr="00A5657B">
        <w:rPr>
          <w:b w:val="0"/>
          <w:bCs/>
          <w:i w:val="0"/>
          <w:iCs w:val="0"/>
        </w:rPr>
        <w:t>Elimination of Deductions</w:t>
      </w:r>
    </w:p>
    <w:p w14:paraId="120F1267" w14:textId="77777777" w:rsidR="003B3B60" w:rsidRPr="00A5657B" w:rsidRDefault="003B3B60" w:rsidP="003B3B60">
      <w:pPr>
        <w:pStyle w:val="MTWBox"/>
        <w:rPr>
          <w:b w:val="0"/>
          <w:bCs/>
          <w:i w:val="0"/>
          <w:iCs w:val="0"/>
        </w:rPr>
      </w:pPr>
      <w:r w:rsidRPr="00A5657B">
        <w:rPr>
          <w:i w:val="0"/>
          <w:iCs w:val="0"/>
        </w:rPr>
        <w:t>Approval Date</w:t>
      </w:r>
      <w:r w:rsidRPr="00A5657B">
        <w:rPr>
          <w:b w:val="0"/>
          <w:bCs/>
          <w:i w:val="0"/>
          <w:iCs w:val="0"/>
        </w:rPr>
        <w:t>:</w:t>
      </w:r>
      <w:r w:rsidR="00A5657B" w:rsidRPr="00A5657B">
        <w:rPr>
          <w:b w:val="0"/>
          <w:bCs/>
          <w:i w:val="0"/>
          <w:iCs w:val="0"/>
        </w:rPr>
        <w:t xml:space="preserve"> FY2022</w:t>
      </w:r>
    </w:p>
    <w:p w14:paraId="6741BCA0" w14:textId="77777777" w:rsidR="003B3B60" w:rsidRPr="00A5657B" w:rsidRDefault="003B3B60" w:rsidP="003B3B60">
      <w:pPr>
        <w:pStyle w:val="MTWBox"/>
        <w:rPr>
          <w:b w:val="0"/>
          <w:bCs/>
          <w:i w:val="0"/>
          <w:iCs w:val="0"/>
        </w:rPr>
      </w:pPr>
      <w:r w:rsidRPr="00A5657B">
        <w:rPr>
          <w:i w:val="0"/>
          <w:iCs w:val="0"/>
        </w:rPr>
        <w:t>Applicable to</w:t>
      </w:r>
      <w:r w:rsidRPr="00A5657B">
        <w:rPr>
          <w:b w:val="0"/>
          <w:bCs/>
          <w:i w:val="0"/>
          <w:iCs w:val="0"/>
        </w:rPr>
        <w:t>: Treatment Group</w:t>
      </w:r>
    </w:p>
    <w:p w14:paraId="5FEE43B4" w14:textId="76EEBD9E" w:rsidR="00BC0DB5" w:rsidRPr="009B1E3B" w:rsidRDefault="003B3B60" w:rsidP="003B3B60">
      <w:pPr>
        <w:pStyle w:val="MTWBox"/>
      </w:pPr>
      <w:r w:rsidRPr="00A5657B">
        <w:rPr>
          <w:i w:val="0"/>
          <w:iCs w:val="0"/>
        </w:rPr>
        <w:t>Description</w:t>
      </w:r>
      <w:r w:rsidRPr="00A5657B">
        <w:rPr>
          <w:b w:val="0"/>
          <w:bCs/>
          <w:i w:val="0"/>
          <w:iCs w:val="0"/>
        </w:rPr>
        <w:t xml:space="preserve">: </w:t>
      </w:r>
      <w:r w:rsidR="00BC0DB5" w:rsidRPr="00A5657B">
        <w:rPr>
          <w:b w:val="0"/>
          <w:bCs/>
          <w:i w:val="0"/>
          <w:iCs w:val="0"/>
        </w:rPr>
        <w:t>Child care expense deductions apply, only as a hardship, for families in the Treatment group. See</w:t>
      </w:r>
      <w:r w:rsidR="00A5657B">
        <w:rPr>
          <w:b w:val="0"/>
          <w:bCs/>
          <w:i w:val="0"/>
          <w:iCs w:val="0"/>
        </w:rPr>
        <w:t xml:space="preserve"> </w:t>
      </w:r>
      <w:r w:rsidR="00A5657B" w:rsidRPr="00064B89">
        <w:rPr>
          <w:b w:val="0"/>
          <w:bCs/>
          <w:i w:val="0"/>
          <w:iCs w:val="0"/>
          <w:color w:val="0070C0"/>
        </w:rPr>
        <w:fldChar w:fldCharType="begin"/>
      </w:r>
      <w:r w:rsidR="00A5657B" w:rsidRPr="00064B89">
        <w:rPr>
          <w:b w:val="0"/>
          <w:bCs/>
          <w:i w:val="0"/>
          <w:iCs w:val="0"/>
          <w:color w:val="0070C0"/>
        </w:rPr>
        <w:instrText xml:space="preserve"> REF _Ref155262193 \h </w:instrText>
      </w:r>
      <w:r w:rsidR="00A5657B" w:rsidRPr="00064B89">
        <w:rPr>
          <w:b w:val="0"/>
          <w:bCs/>
          <w:i w:val="0"/>
          <w:iCs w:val="0"/>
          <w:color w:val="0070C0"/>
        </w:rPr>
      </w:r>
      <w:r w:rsidR="00A5657B" w:rsidRPr="00064B89">
        <w:rPr>
          <w:b w:val="0"/>
          <w:bCs/>
          <w:i w:val="0"/>
          <w:iCs w:val="0"/>
          <w:color w:val="0070C0"/>
        </w:rPr>
        <w:fldChar w:fldCharType="separate"/>
      </w:r>
      <w:r w:rsidR="00A5657B" w:rsidRPr="00064B89">
        <w:rPr>
          <w:color w:val="0070C0"/>
        </w:rPr>
        <w:t>Hardship at Enrollment: Increase in TTP Due to Loss of Child Care Expense Deduction</w:t>
      </w:r>
      <w:r w:rsidR="00A5657B" w:rsidRPr="00064B89">
        <w:rPr>
          <w:b w:val="0"/>
          <w:bCs/>
          <w:i w:val="0"/>
          <w:iCs w:val="0"/>
          <w:color w:val="0070C0"/>
        </w:rPr>
        <w:fldChar w:fldCharType="end"/>
      </w:r>
      <w:r w:rsidR="00BC0DB5" w:rsidRPr="00A5657B">
        <w:rPr>
          <w:b w:val="0"/>
          <w:bCs/>
          <w:i w:val="0"/>
          <w:iCs w:val="0"/>
        </w:rPr>
        <w:t xml:space="preserve"> </w:t>
      </w:r>
      <w:r w:rsidR="00064B89">
        <w:rPr>
          <w:b w:val="0"/>
          <w:bCs/>
          <w:i w:val="0"/>
          <w:iCs w:val="0"/>
        </w:rPr>
        <w:t xml:space="preserve">and </w:t>
      </w:r>
      <w:r w:rsidR="00AF5E48" w:rsidRPr="00064B89">
        <w:rPr>
          <w:b w:val="0"/>
          <w:bCs/>
          <w:i w:val="0"/>
          <w:iCs w:val="0"/>
          <w:color w:val="0070C0"/>
        </w:rPr>
        <w:fldChar w:fldCharType="begin"/>
      </w:r>
      <w:r w:rsidR="00AF5E48" w:rsidRPr="00064B89">
        <w:rPr>
          <w:b w:val="0"/>
          <w:bCs/>
          <w:i w:val="0"/>
          <w:iCs w:val="0"/>
          <w:color w:val="0070C0"/>
        </w:rPr>
        <w:instrText xml:space="preserve"> REF _Ref155261686 \h </w:instrText>
      </w:r>
      <w:r w:rsidR="00A5657B" w:rsidRPr="00064B89">
        <w:rPr>
          <w:b w:val="0"/>
          <w:bCs/>
          <w:i w:val="0"/>
          <w:iCs w:val="0"/>
          <w:color w:val="0070C0"/>
        </w:rPr>
        <w:instrText xml:space="preserve"> \* MERGEFORMAT </w:instrText>
      </w:r>
      <w:r w:rsidR="00AF5E48" w:rsidRPr="00064B89">
        <w:rPr>
          <w:b w:val="0"/>
          <w:bCs/>
          <w:i w:val="0"/>
          <w:iCs w:val="0"/>
          <w:color w:val="0070C0"/>
        </w:rPr>
      </w:r>
      <w:r w:rsidR="00AF5E48" w:rsidRPr="00064B89">
        <w:rPr>
          <w:b w:val="0"/>
          <w:bCs/>
          <w:i w:val="0"/>
          <w:iCs w:val="0"/>
          <w:color w:val="0070C0"/>
        </w:rPr>
        <w:fldChar w:fldCharType="separate"/>
      </w:r>
      <w:r w:rsidR="00AF5E48" w:rsidRPr="00064B89">
        <w:rPr>
          <w:color w:val="0070C0"/>
        </w:rPr>
        <w:t>Child Care Expense Hardship</w:t>
      </w:r>
      <w:r w:rsidR="00AF5E48" w:rsidRPr="00064B89">
        <w:rPr>
          <w:b w:val="0"/>
          <w:bCs/>
          <w:i w:val="0"/>
          <w:iCs w:val="0"/>
          <w:color w:val="0070C0"/>
        </w:rPr>
        <w:fldChar w:fldCharType="end"/>
      </w:r>
      <w:r w:rsidR="00064B89">
        <w:rPr>
          <w:b w:val="0"/>
          <w:bCs/>
          <w:i w:val="0"/>
          <w:iCs w:val="0"/>
        </w:rPr>
        <w:t xml:space="preserve"> in the </w:t>
      </w:r>
      <w:r w:rsidR="00064B89" w:rsidRPr="00064B89">
        <w:rPr>
          <w:b w:val="0"/>
          <w:bCs/>
          <w:i w:val="0"/>
          <w:iCs w:val="0"/>
          <w:color w:val="0070C0"/>
        </w:rPr>
        <w:fldChar w:fldCharType="begin"/>
      </w:r>
      <w:r w:rsidR="00064B89" w:rsidRPr="00064B89">
        <w:rPr>
          <w:b w:val="0"/>
          <w:bCs/>
          <w:i w:val="0"/>
          <w:iCs w:val="0"/>
          <w:color w:val="0070C0"/>
        </w:rPr>
        <w:instrText xml:space="preserve"> REF _Ref155262205 \h  \* MERGEFORMAT </w:instrText>
      </w:r>
      <w:r w:rsidR="00064B89" w:rsidRPr="00064B89">
        <w:rPr>
          <w:b w:val="0"/>
          <w:bCs/>
          <w:i w:val="0"/>
          <w:iCs w:val="0"/>
          <w:color w:val="0070C0"/>
        </w:rPr>
      </w:r>
      <w:r w:rsidR="00064B89" w:rsidRPr="00064B89">
        <w:rPr>
          <w:b w:val="0"/>
          <w:bCs/>
          <w:i w:val="0"/>
          <w:iCs w:val="0"/>
          <w:color w:val="0070C0"/>
        </w:rPr>
        <w:fldChar w:fldCharType="separate"/>
      </w:r>
      <w:r w:rsidR="00064B89" w:rsidRPr="00064B89">
        <w:rPr>
          <w:i w:val="0"/>
          <w:iCs w:val="0"/>
          <w:color w:val="0070C0"/>
        </w:rPr>
        <w:t>Treatment Group Only</w:t>
      </w:r>
      <w:r w:rsidR="00064B89" w:rsidRPr="00064B89">
        <w:rPr>
          <w:b w:val="0"/>
          <w:bCs/>
          <w:i w:val="0"/>
          <w:iCs w:val="0"/>
          <w:color w:val="0070C0"/>
        </w:rPr>
        <w:fldChar w:fldCharType="end"/>
      </w:r>
      <w:r w:rsidR="00064B89">
        <w:rPr>
          <w:b w:val="0"/>
          <w:bCs/>
          <w:i w:val="0"/>
          <w:iCs w:val="0"/>
        </w:rPr>
        <w:t xml:space="preserve"> section of the chapter</w:t>
      </w:r>
      <w:r w:rsidR="006A192A">
        <w:rPr>
          <w:b w:val="0"/>
          <w:bCs/>
          <w:i w:val="0"/>
          <w:iCs w:val="0"/>
        </w:rPr>
        <w:t xml:space="preserve"> on </w:t>
      </w:r>
      <w:r w:rsidR="006A192A" w:rsidRPr="006A192A">
        <w:rPr>
          <w:i w:val="0"/>
          <w:iCs w:val="0"/>
          <w:color w:val="0070C0"/>
        </w:rPr>
        <w:fldChar w:fldCharType="begin"/>
      </w:r>
      <w:r w:rsidR="006A192A" w:rsidRPr="006A192A">
        <w:rPr>
          <w:i w:val="0"/>
          <w:iCs w:val="0"/>
          <w:color w:val="0070C0"/>
        </w:rPr>
        <w:instrText xml:space="preserve"> REF _Ref151016269 \h  \* MERGEFORMAT </w:instrText>
      </w:r>
      <w:r w:rsidR="006A192A" w:rsidRPr="006A192A">
        <w:rPr>
          <w:i w:val="0"/>
          <w:iCs w:val="0"/>
          <w:color w:val="0070C0"/>
        </w:rPr>
      </w:r>
      <w:r w:rsidR="006A192A" w:rsidRPr="006A192A">
        <w:rPr>
          <w:i w:val="0"/>
          <w:iCs w:val="0"/>
          <w:color w:val="0070C0"/>
        </w:rPr>
        <w:fldChar w:fldCharType="separate"/>
      </w:r>
      <w:r w:rsidR="006A192A" w:rsidRPr="006A192A">
        <w:rPr>
          <w:i w:val="0"/>
          <w:iCs w:val="0"/>
          <w:color w:val="0070C0"/>
        </w:rPr>
        <w:t>HARDSHIPS</w:t>
      </w:r>
      <w:r w:rsidR="006A192A" w:rsidRPr="006A192A">
        <w:rPr>
          <w:i w:val="0"/>
          <w:iCs w:val="0"/>
          <w:color w:val="0070C0"/>
        </w:rPr>
        <w:fldChar w:fldCharType="end"/>
      </w:r>
      <w:r w:rsidR="00064B89">
        <w:rPr>
          <w:b w:val="0"/>
          <w:bCs/>
          <w:i w:val="0"/>
          <w:iCs w:val="0"/>
        </w:rPr>
        <w:t>.</w:t>
      </w:r>
    </w:p>
    <w:p w14:paraId="52A83AB7" w14:textId="77777777" w:rsidR="000712F6" w:rsidRDefault="00080CE2" w:rsidP="00677451">
      <w:pPr>
        <w:pStyle w:val="Heading3"/>
      </w:pPr>
      <w:bookmarkStart w:id="1759" w:name="_Toc200375703"/>
      <w:r>
        <w:t>Guaranteed Income</w:t>
      </w:r>
      <w:r w:rsidR="00AD02DF">
        <w:t xml:space="preserve"> De</w:t>
      </w:r>
      <w:r w:rsidR="003C6875">
        <w:t>duction</w:t>
      </w:r>
      <w:bookmarkEnd w:id="1759"/>
    </w:p>
    <w:p w14:paraId="1AE14EA8" w14:textId="77777777" w:rsidR="005F3693" w:rsidRPr="005F3693" w:rsidRDefault="005F3693" w:rsidP="005F3693">
      <w:r w:rsidRPr="005F3693">
        <w:t xml:space="preserve">HHA </w:t>
      </w:r>
      <w:r>
        <w:t>has established</w:t>
      </w:r>
      <w:r w:rsidRPr="005F3693">
        <w:t xml:space="preserve"> a permissive deduction for payments received by families participating in </w:t>
      </w:r>
      <w:r>
        <w:t>g</w:t>
      </w:r>
      <w:r w:rsidRPr="005F3693">
        <w:t xml:space="preserve">uaranteed </w:t>
      </w:r>
      <w:r>
        <w:t>i</w:t>
      </w:r>
      <w:r w:rsidRPr="005F3693">
        <w:t xml:space="preserve">ncome </w:t>
      </w:r>
      <w:r>
        <w:t>p</w:t>
      </w:r>
      <w:r w:rsidRPr="005F3693">
        <w:t>rograms</w:t>
      </w:r>
      <w:r w:rsidR="001141D2">
        <w:t xml:space="preserve"> (</w:t>
      </w:r>
      <w:r w:rsidRPr="005F3693">
        <w:t>such as the Harris County UpLift Program</w:t>
      </w:r>
      <w:r w:rsidR="001141D2">
        <w:t xml:space="preserve">, </w:t>
      </w:r>
      <w:r w:rsidRPr="005F3693">
        <w:t>a guaranteed income pilot program that allows participating households to receive direct cash payments monthly for up to 18 months).</w:t>
      </w:r>
    </w:p>
    <w:p w14:paraId="50934425" w14:textId="77777777" w:rsidR="005F3693" w:rsidRPr="005F3693" w:rsidRDefault="005F3693" w:rsidP="005F3693">
      <w:r w:rsidRPr="005F3693">
        <w:t>The deduction will be equal to the amount received by the family under the program, such that it offsets the payments received by the family.</w:t>
      </w:r>
    </w:p>
    <w:p w14:paraId="3CAA135D" w14:textId="77777777" w:rsidR="00080CE2" w:rsidRDefault="005F3693" w:rsidP="005F3693">
      <w:r w:rsidRPr="005F3693">
        <w:t>This policy will apply to all assisted households, including households in the Moving To Work (MTW) treatment, control, and excluded groups, as well as non-MTW households.</w:t>
      </w:r>
    </w:p>
    <w:p w14:paraId="63B59B0B" w14:textId="77777777" w:rsidR="0089108A" w:rsidRDefault="0089108A" w:rsidP="005F3693">
      <w:pPr>
        <w:sectPr w:rsidR="0089108A" w:rsidSect="00EE2233">
          <w:pgSz w:w="12240" w:h="15840"/>
          <w:pgMar w:top="1440" w:right="1440" w:bottom="1440" w:left="1440" w:header="720" w:footer="720" w:gutter="0"/>
          <w:cols w:space="720"/>
          <w:docGrid w:linePitch="360"/>
        </w:sectPr>
      </w:pPr>
    </w:p>
    <w:p w14:paraId="4909E10B" w14:textId="77777777" w:rsidR="005F3693" w:rsidRPr="004E253A" w:rsidRDefault="00D702FA" w:rsidP="00D702FA">
      <w:pPr>
        <w:pStyle w:val="Heading1"/>
      </w:pPr>
      <w:bookmarkStart w:id="1760" w:name="_Ref160539475"/>
      <w:bookmarkStart w:id="1761" w:name="_Toc173222712"/>
      <w:bookmarkStart w:id="1762" w:name="_Toc200375704"/>
      <w:bookmarkStart w:id="1763" w:name="_Toc200376978"/>
      <w:r w:rsidRPr="004E253A">
        <w:t>UTILITIES</w:t>
      </w:r>
      <w:bookmarkEnd w:id="1760"/>
      <w:bookmarkEnd w:id="1761"/>
      <w:bookmarkEnd w:id="1762"/>
      <w:bookmarkEnd w:id="1763"/>
    </w:p>
    <w:p w14:paraId="1B0B39FE" w14:textId="77777777" w:rsidR="009F56C7" w:rsidRPr="00122C89" w:rsidRDefault="009F56C7" w:rsidP="009F56C7">
      <w:pPr>
        <w:pStyle w:val="Heading2"/>
      </w:pPr>
      <w:bookmarkStart w:id="1764" w:name="_Toc527019548"/>
      <w:bookmarkStart w:id="1765" w:name="_Toc534707086"/>
      <w:bookmarkStart w:id="1766" w:name="_Toc534707764"/>
      <w:bookmarkStart w:id="1767" w:name="_Toc534708572"/>
      <w:bookmarkStart w:id="1768" w:name="_Toc106037910"/>
      <w:bookmarkStart w:id="1769" w:name="_Toc106201549"/>
      <w:bookmarkStart w:id="1770" w:name="_Toc106202068"/>
      <w:bookmarkStart w:id="1771" w:name="_Toc106202594"/>
      <w:bookmarkStart w:id="1772" w:name="_Toc113345049"/>
      <w:bookmarkStart w:id="1773" w:name="_Toc137460402"/>
      <w:bookmarkStart w:id="1774" w:name="_Toc137460647"/>
      <w:bookmarkStart w:id="1775" w:name="_Toc137460892"/>
      <w:bookmarkStart w:id="1776" w:name="_Toc137461789"/>
      <w:bookmarkStart w:id="1777" w:name="_Toc137471380"/>
      <w:bookmarkStart w:id="1778" w:name="_Toc137471889"/>
      <w:bookmarkStart w:id="1779" w:name="_Toc173222713"/>
      <w:bookmarkStart w:id="1780" w:name="_Toc200375705"/>
      <w:bookmarkStart w:id="1781" w:name="_Toc200376979"/>
      <w:r w:rsidRPr="00122C89">
        <w:t>Overview</w:t>
      </w:r>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p>
    <w:p w14:paraId="18BC7455" w14:textId="77777777" w:rsidR="009F56C7" w:rsidRDefault="009F56C7" w:rsidP="009F56C7">
      <w:r>
        <w:t>HHA has</w:t>
      </w:r>
      <w:r w:rsidRPr="00B61A63">
        <w:t xml:space="preserve"> establish</w:t>
      </w:r>
      <w:r>
        <w:t>ed</w:t>
      </w:r>
      <w:r w:rsidRPr="00B61A63">
        <w:t xml:space="preserve"> allowances for </w:t>
      </w:r>
      <w:r>
        <w:t>HHA</w:t>
      </w:r>
      <w:r w:rsidRPr="00B61A63">
        <w:t>-furnished utilities for all check metered utilities and for resident-purchased utilities</w:t>
      </w:r>
      <w:r>
        <w:t>.</w:t>
      </w:r>
      <w:r w:rsidRPr="00B61A63">
        <w:t xml:space="preserve"> </w:t>
      </w:r>
      <w:r>
        <w:t>HHA has</w:t>
      </w:r>
      <w:r w:rsidRPr="00B61A63">
        <w:t xml:space="preserve"> also establish</w:t>
      </w:r>
      <w:r>
        <w:t>ed</w:t>
      </w:r>
      <w:r w:rsidRPr="00B61A63">
        <w:t xml:space="preserve"> </w:t>
      </w:r>
      <w:r w:rsidR="0043617D">
        <w:t>fees</w:t>
      </w:r>
      <w:r w:rsidRPr="00B61A63">
        <w:t xml:space="preserve"> for excess consumption of</w:t>
      </w:r>
      <w:r>
        <w:t xml:space="preserve"> HHA</w:t>
      </w:r>
      <w:r w:rsidRPr="00B61A63">
        <w:t>-furnished utilities</w:t>
      </w:r>
      <w:r>
        <w:t xml:space="preserve">. HHA </w:t>
      </w:r>
      <w:r w:rsidRPr="00B61A63">
        <w:t>maintain</w:t>
      </w:r>
      <w:r>
        <w:t>s</w:t>
      </w:r>
      <w:r w:rsidRPr="00B61A63">
        <w:t xml:space="preserve"> a record that documents the basis on which utility allowances and scheduled surcharges are established and revised, and the record </w:t>
      </w:r>
      <w:r>
        <w:t>is</w:t>
      </w:r>
      <w:r w:rsidRPr="00B61A63">
        <w:t xml:space="preserve"> available</w:t>
      </w:r>
      <w:r>
        <w:t xml:space="preserve">, upon request, </w:t>
      </w:r>
      <w:r w:rsidRPr="00B61A63">
        <w:t>for inspection by residents</w:t>
      </w:r>
      <w:r w:rsidR="00A1273C">
        <w:t>.</w:t>
      </w:r>
      <w:r w:rsidRPr="00B61A63">
        <w:t xml:space="preserve"> </w:t>
      </w:r>
    </w:p>
    <w:p w14:paraId="10C7970E" w14:textId="77777777" w:rsidR="009F56C7" w:rsidRDefault="009F56C7" w:rsidP="009F56C7">
      <w:pPr>
        <w:pStyle w:val="Heading2"/>
      </w:pPr>
      <w:bookmarkStart w:id="1782" w:name="_Toc106037911"/>
      <w:bookmarkStart w:id="1783" w:name="_Toc106201550"/>
      <w:bookmarkStart w:id="1784" w:name="_Toc106202069"/>
      <w:bookmarkStart w:id="1785" w:name="_Toc106202595"/>
      <w:bookmarkStart w:id="1786" w:name="_Toc113345050"/>
      <w:bookmarkStart w:id="1787" w:name="_Toc137460403"/>
      <w:bookmarkStart w:id="1788" w:name="_Toc137460648"/>
      <w:bookmarkStart w:id="1789" w:name="_Toc137460893"/>
      <w:bookmarkStart w:id="1790" w:name="_Toc137461790"/>
      <w:bookmarkStart w:id="1791" w:name="_Toc137471381"/>
      <w:bookmarkStart w:id="1792" w:name="_Toc137471890"/>
      <w:bookmarkStart w:id="1793" w:name="_Toc173222714"/>
      <w:bookmarkStart w:id="1794" w:name="_Toc200375706"/>
      <w:bookmarkStart w:id="1795" w:name="_Toc200376980"/>
      <w:r>
        <w:t>Utilities</w:t>
      </w:r>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p>
    <w:p w14:paraId="53FAB413" w14:textId="77777777" w:rsidR="009F56C7" w:rsidRDefault="009F56C7" w:rsidP="009F56C7">
      <w:pPr>
        <w:rPr>
          <w:szCs w:val="20"/>
        </w:rPr>
      </w:pPr>
      <w:r w:rsidRPr="00B61A63">
        <w:t xml:space="preserve">Utilities </w:t>
      </w:r>
      <w:r>
        <w:t xml:space="preserve">may </w:t>
      </w:r>
      <w:r w:rsidRPr="00B61A63">
        <w:t>include</w:t>
      </w:r>
      <w:r w:rsidR="0058316E">
        <w:t xml:space="preserve"> costs for</w:t>
      </w:r>
      <w:r w:rsidR="00986C80">
        <w:t xml:space="preserve"> items such as</w:t>
      </w:r>
      <w:r w:rsidRPr="00B61A63">
        <w:t xml:space="preserve"> gas, electricity, fuel for heating, water, sewerage, and solid waste disposal for a dwelling unit. In addition, </w:t>
      </w:r>
      <w:r>
        <w:t>where HHA</w:t>
      </w:r>
      <w:r w:rsidRPr="00B61A63">
        <w:t xml:space="preserve"> does not furnish a range and refrigerator, the family</w:t>
      </w:r>
      <w:r>
        <w:t xml:space="preserve"> will</w:t>
      </w:r>
      <w:r w:rsidRPr="00B61A63">
        <w:t xml:space="preserve"> be granted a utility allowance for the range and refrigerator </w:t>
      </w:r>
      <w:r w:rsidRPr="00B61A63">
        <w:rPr>
          <w:szCs w:val="20"/>
        </w:rPr>
        <w:t>they provide</w:t>
      </w:r>
      <w:r>
        <w:rPr>
          <w:szCs w:val="20"/>
        </w:rPr>
        <w:t>.</w:t>
      </w:r>
      <w:r w:rsidR="00986C80">
        <w:rPr>
          <w:szCs w:val="20"/>
        </w:rPr>
        <w:t xml:space="preserve">  </w:t>
      </w:r>
    </w:p>
    <w:p w14:paraId="53DB1B63" w14:textId="77777777" w:rsidR="009F56C7" w:rsidRPr="00B61A63" w:rsidRDefault="009F56C7" w:rsidP="009F56C7">
      <w:pPr>
        <w:pStyle w:val="Heading2"/>
      </w:pPr>
      <w:bookmarkStart w:id="1796" w:name="_Toc106037912"/>
      <w:bookmarkStart w:id="1797" w:name="_Toc106201551"/>
      <w:bookmarkStart w:id="1798" w:name="_Toc106202070"/>
      <w:bookmarkStart w:id="1799" w:name="_Toc106202596"/>
      <w:bookmarkStart w:id="1800" w:name="_Toc113345051"/>
      <w:bookmarkStart w:id="1801" w:name="_Toc137460404"/>
      <w:bookmarkStart w:id="1802" w:name="_Toc137460649"/>
      <w:bookmarkStart w:id="1803" w:name="_Toc137460894"/>
      <w:bookmarkStart w:id="1804" w:name="_Toc137461791"/>
      <w:bookmarkStart w:id="1805" w:name="_Toc137471382"/>
      <w:bookmarkStart w:id="1806" w:name="_Toc137471891"/>
      <w:bookmarkStart w:id="1807" w:name="_Toc173222715"/>
      <w:bookmarkStart w:id="1808" w:name="_Toc200375707"/>
      <w:bookmarkStart w:id="1809" w:name="_Toc200376981"/>
      <w:r w:rsidRPr="00B61A63">
        <w:t>Utility Allowance Revisions</w:t>
      </w:r>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p>
    <w:p w14:paraId="17B680AE" w14:textId="77777777" w:rsidR="009F56C7" w:rsidRDefault="009F56C7" w:rsidP="009F56C7">
      <w:r>
        <w:t xml:space="preserve">HHA, on an annual basis, reviews the basis on which the </w:t>
      </w:r>
      <w:r w:rsidRPr="00B61A63">
        <w:t>utility allowances have been established and revise</w:t>
      </w:r>
      <w:r>
        <w:t>s</w:t>
      </w:r>
      <w:r w:rsidRPr="00B61A63">
        <w:t xml:space="preserve"> the allowances if necessary in order to adhere to the standards for </w:t>
      </w:r>
      <w:r>
        <w:t>revising</w:t>
      </w:r>
      <w:r w:rsidRPr="00B61A63">
        <w:t xml:space="preserve"> utility allowances </w:t>
      </w:r>
      <w:r>
        <w:t>under the regulations.</w:t>
      </w:r>
    </w:p>
    <w:p w14:paraId="4F735346" w14:textId="77777777" w:rsidR="009F56C7" w:rsidRDefault="009F56C7" w:rsidP="009F56C7">
      <w:r w:rsidRPr="00B61A63">
        <w:t xml:space="preserve">Between annual reviews of utility allowances, </w:t>
      </w:r>
      <w:r>
        <w:t>HHA</w:t>
      </w:r>
      <w:r w:rsidRPr="00B61A63">
        <w:t xml:space="preserve"> will only revise its utility allowances due to a rate change, when required to by the regulation.</w:t>
      </w:r>
    </w:p>
    <w:p w14:paraId="164E89E3" w14:textId="77777777" w:rsidR="009F56C7" w:rsidRPr="00B61A63" w:rsidRDefault="009F56C7" w:rsidP="009F56C7">
      <w:r>
        <w:t>HHA will revise its utility allowances</w:t>
      </w:r>
      <w:r w:rsidRPr="00B61A63">
        <w:t xml:space="preserve"> if such change, by itself or together with prior rate changes not adjusted for, results in a change of 10 percent or more from the rate on which the allowance was based. </w:t>
      </w:r>
    </w:p>
    <w:p w14:paraId="5E0C7AB1" w14:textId="77777777" w:rsidR="009F56C7" w:rsidRPr="00B31EF4" w:rsidRDefault="009F56C7" w:rsidP="009F56C7">
      <w:pPr>
        <w:rPr>
          <w:spacing w:val="-2"/>
        </w:rPr>
      </w:pPr>
      <w:r w:rsidRPr="00B31EF4">
        <w:rPr>
          <w:spacing w:val="-2"/>
        </w:rPr>
        <w:t xml:space="preserve">Adjustments to resident payments as a result of such changes will be retroactive to the first day of the month following the month in which the last rate change taken into account became effective. </w:t>
      </w:r>
    </w:p>
    <w:p w14:paraId="1FCBBF1B" w14:textId="77777777" w:rsidR="00BF1928" w:rsidRDefault="00BF1928" w:rsidP="00BF1928">
      <w:pPr>
        <w:pStyle w:val="Heading2"/>
      </w:pPr>
      <w:bookmarkStart w:id="1810" w:name="_Toc173222716"/>
      <w:bookmarkStart w:id="1811" w:name="_Toc200375708"/>
      <w:bookmarkStart w:id="1812" w:name="_Toc200376982"/>
      <w:r>
        <w:t>Resident-Paid Utilities</w:t>
      </w:r>
      <w:bookmarkEnd w:id="1810"/>
      <w:bookmarkEnd w:id="1811"/>
      <w:bookmarkEnd w:id="1812"/>
    </w:p>
    <w:p w14:paraId="666F2A60" w14:textId="1088A04D" w:rsidR="00601D99" w:rsidRPr="00601D99" w:rsidRDefault="0055501E" w:rsidP="003D55B9">
      <w:r>
        <w:t xml:space="preserve">All </w:t>
      </w:r>
      <w:r w:rsidR="00CD6129">
        <w:t>families</w:t>
      </w:r>
      <w:r>
        <w:t xml:space="preserve"> </w:t>
      </w:r>
      <w:r w:rsidR="00C46B00">
        <w:t xml:space="preserve">with resident-paid utilities </w:t>
      </w:r>
      <w:r>
        <w:t xml:space="preserve">are required to set up utility accounts in the name of an adult family member (see </w:t>
      </w:r>
      <w:r w:rsidRPr="00C46B00">
        <w:rPr>
          <w:b/>
          <w:bCs/>
          <w:color w:val="0070C0"/>
        </w:rPr>
        <w:fldChar w:fldCharType="begin"/>
      </w:r>
      <w:r w:rsidRPr="00C46B00">
        <w:rPr>
          <w:b/>
          <w:bCs/>
          <w:color w:val="0070C0"/>
        </w:rPr>
        <w:instrText xml:space="preserve"> REF _Ref160539420 \h  \* MERGEFORMAT </w:instrText>
      </w:r>
      <w:r w:rsidRPr="00C46B00">
        <w:rPr>
          <w:b/>
          <w:bCs/>
          <w:color w:val="0070C0"/>
        </w:rPr>
      </w:r>
      <w:r w:rsidRPr="00C46B00">
        <w:rPr>
          <w:b/>
          <w:bCs/>
          <w:color w:val="0070C0"/>
        </w:rPr>
        <w:fldChar w:fldCharType="separate"/>
      </w:r>
      <w:r w:rsidRPr="00C46B00">
        <w:rPr>
          <w:b/>
          <w:bCs/>
          <w:color w:val="0070C0"/>
        </w:rPr>
        <w:t>Utilities</w:t>
      </w:r>
      <w:r w:rsidRPr="00C46B00">
        <w:rPr>
          <w:b/>
          <w:bCs/>
          <w:color w:val="0070C0"/>
        </w:rPr>
        <w:fldChar w:fldCharType="end"/>
      </w:r>
      <w:r>
        <w:t xml:space="preserve"> in the </w:t>
      </w:r>
      <w:r w:rsidR="006A192A" w:rsidRPr="006A192A">
        <w:rPr>
          <w:b/>
          <w:bCs/>
          <w:color w:val="0070C0"/>
        </w:rPr>
        <w:fldChar w:fldCharType="begin"/>
      </w:r>
      <w:r w:rsidR="006A192A" w:rsidRPr="006A192A">
        <w:rPr>
          <w:b/>
          <w:bCs/>
          <w:color w:val="0070C0"/>
        </w:rPr>
        <w:instrText xml:space="preserve"> REF _Ref165031095 \h  \* MERGEFORMAT </w:instrText>
      </w:r>
      <w:r w:rsidR="006A192A" w:rsidRPr="006A192A">
        <w:rPr>
          <w:b/>
          <w:bCs/>
          <w:color w:val="0070C0"/>
        </w:rPr>
      </w:r>
      <w:r w:rsidR="006A192A" w:rsidRPr="006A192A">
        <w:rPr>
          <w:b/>
          <w:bCs/>
          <w:color w:val="0070C0"/>
        </w:rPr>
        <w:fldChar w:fldCharType="separate"/>
      </w:r>
      <w:r w:rsidR="006A192A" w:rsidRPr="006A192A">
        <w:rPr>
          <w:b/>
          <w:bCs/>
          <w:color w:val="0070C0"/>
        </w:rPr>
        <w:t>LEASING</w:t>
      </w:r>
      <w:r w:rsidR="006A192A" w:rsidRPr="006A192A">
        <w:rPr>
          <w:b/>
          <w:bCs/>
          <w:color w:val="0070C0"/>
        </w:rPr>
        <w:fldChar w:fldCharType="end"/>
      </w:r>
      <w:r>
        <w:t xml:space="preserve"> chapter) and are responsible for the cost of all applicable utilities. </w:t>
      </w:r>
    </w:p>
    <w:p w14:paraId="51B98E39" w14:textId="77777777" w:rsidR="009F56C7" w:rsidRDefault="00E43EBF" w:rsidP="009F56C7">
      <w:pPr>
        <w:pStyle w:val="Heading2"/>
      </w:pPr>
      <w:bookmarkStart w:id="1813" w:name="_Ref160539791"/>
      <w:bookmarkStart w:id="1814" w:name="_Toc173222717"/>
      <w:bookmarkStart w:id="1815" w:name="_Toc200375709"/>
      <w:bookmarkStart w:id="1816" w:name="_Toc200376983"/>
      <w:r>
        <w:t>Excess Utility Charges</w:t>
      </w:r>
      <w:bookmarkEnd w:id="1813"/>
      <w:bookmarkEnd w:id="1814"/>
      <w:bookmarkEnd w:id="1815"/>
      <w:bookmarkEnd w:id="1816"/>
    </w:p>
    <w:p w14:paraId="56920961" w14:textId="77777777" w:rsidR="00DB1988" w:rsidRPr="00D71354" w:rsidRDefault="00DB1988" w:rsidP="00DB1988">
      <w:pPr>
        <w:rPr>
          <w:rFonts w:cs="Arial"/>
          <w:szCs w:val="18"/>
        </w:rPr>
      </w:pPr>
      <w:r w:rsidRPr="00D71354">
        <w:rPr>
          <w:rFonts w:cs="Arial"/>
          <w:szCs w:val="18"/>
        </w:rPr>
        <w:t>In buildings that are check-metered, residents will have consumption-based utility allowances that reflect the size and type of units and actual equipment provided by HHA. Check meters are read by HHA and each tenant is charged for consumption in excess of the utility allowance.</w:t>
      </w:r>
    </w:p>
    <w:p w14:paraId="3B7EC4ED" w14:textId="77777777" w:rsidR="00DB1988" w:rsidRPr="00D71354" w:rsidRDefault="00DB1988" w:rsidP="00DB1988">
      <w:pPr>
        <w:rPr>
          <w:rFonts w:cs="Arial"/>
          <w:szCs w:val="18"/>
        </w:rPr>
      </w:pPr>
      <w:r w:rsidRPr="00D71354">
        <w:rPr>
          <w:rFonts w:cs="Arial"/>
          <w:szCs w:val="18"/>
        </w:rPr>
        <w:t>In buildings where HHA supplies all utilities, HHA may make excess utility charges for the use of certain resident-supplied appliances. Examples include:</w:t>
      </w:r>
    </w:p>
    <w:p w14:paraId="09558727" w14:textId="77777777" w:rsidR="00DB1988" w:rsidRPr="00F32251" w:rsidRDefault="00DB1988" w:rsidP="00B31EF4">
      <w:pPr>
        <w:pStyle w:val="ListParagraph"/>
        <w:numPr>
          <w:ilvl w:val="0"/>
          <w:numId w:val="56"/>
        </w:numPr>
        <w:contextualSpacing w:val="0"/>
        <w:rPr>
          <w:rFonts w:cs="Arial"/>
          <w:szCs w:val="18"/>
        </w:rPr>
      </w:pPr>
      <w:r w:rsidRPr="00F32251">
        <w:rPr>
          <w:rFonts w:cs="Arial"/>
          <w:szCs w:val="18"/>
        </w:rPr>
        <w:t>Second refrigerator;</w:t>
      </w:r>
    </w:p>
    <w:p w14:paraId="312E887C" w14:textId="77777777" w:rsidR="00DB1988" w:rsidRPr="00F32251" w:rsidRDefault="00DB1988" w:rsidP="00B31EF4">
      <w:pPr>
        <w:pStyle w:val="ListParagraph"/>
        <w:numPr>
          <w:ilvl w:val="0"/>
          <w:numId w:val="56"/>
        </w:numPr>
        <w:contextualSpacing w:val="0"/>
        <w:rPr>
          <w:rFonts w:cs="Arial"/>
          <w:szCs w:val="18"/>
        </w:rPr>
      </w:pPr>
      <w:r w:rsidRPr="00F32251">
        <w:rPr>
          <w:rFonts w:cs="Arial"/>
          <w:szCs w:val="18"/>
        </w:rPr>
        <w:t>Air conditioner;</w:t>
      </w:r>
    </w:p>
    <w:p w14:paraId="6136C20E" w14:textId="77777777" w:rsidR="00DB1988" w:rsidRPr="00F32251" w:rsidRDefault="00DB1988" w:rsidP="00B31EF4">
      <w:pPr>
        <w:pStyle w:val="ListParagraph"/>
        <w:numPr>
          <w:ilvl w:val="0"/>
          <w:numId w:val="56"/>
        </w:numPr>
        <w:contextualSpacing w:val="0"/>
        <w:rPr>
          <w:rFonts w:cs="Arial"/>
          <w:szCs w:val="18"/>
        </w:rPr>
      </w:pPr>
      <w:r w:rsidRPr="00F32251">
        <w:rPr>
          <w:rFonts w:cs="Arial"/>
          <w:szCs w:val="18"/>
        </w:rPr>
        <w:t>Freezer</w:t>
      </w:r>
      <w:r>
        <w:rPr>
          <w:rFonts w:cs="Arial"/>
          <w:szCs w:val="18"/>
        </w:rPr>
        <w:t>.</w:t>
      </w:r>
    </w:p>
    <w:p w14:paraId="0CBF7818" w14:textId="77777777" w:rsidR="00DB1988" w:rsidRDefault="00DB1988" w:rsidP="00DB1988">
      <w:pPr>
        <w:tabs>
          <w:tab w:val="left" w:pos="-1440"/>
        </w:tabs>
      </w:pPr>
      <w:r>
        <w:t>When applicable, families will be charged for excess utility usage according to HHA’s current posted schedule. Notices of e</w:t>
      </w:r>
      <w:r w:rsidRPr="004C55A1">
        <w:t>xcess utility charges will be</w:t>
      </w:r>
      <w:r>
        <w:t xml:space="preserve"> mailed monthly and will be in accordance with requirements regarding notices of adverse actions. Charges are due and </w:t>
      </w:r>
      <w:r w:rsidRPr="00794333">
        <w:t>payable 15 calendar days</w:t>
      </w:r>
      <w:r>
        <w:t xml:space="preserve"> after billing. If the family requests a grievance hearing within the required timeframe, HHA may not take action for nonpayment of the</w:t>
      </w:r>
      <w:r w:rsidDel="0081189C">
        <w:t xml:space="preserve"> </w:t>
      </w:r>
      <w:r>
        <w:t>charges until the conclusion of the grievance process.</w:t>
      </w:r>
      <w:bookmarkStart w:id="1817" w:name="_Hlk485197450"/>
    </w:p>
    <w:bookmarkEnd w:id="1817"/>
    <w:p w14:paraId="286EDE80" w14:textId="77777777" w:rsidR="00DB1988" w:rsidRDefault="00DB1988" w:rsidP="00DB1988">
      <w:pPr>
        <w:tabs>
          <w:tab w:val="left" w:pos="-1440"/>
        </w:tabs>
      </w:pPr>
      <w:r>
        <w:t>Nonpayment of excess utility charges is a violation of the lease and is grounds for eviction.</w:t>
      </w:r>
    </w:p>
    <w:p w14:paraId="405AADAA" w14:textId="77777777" w:rsidR="00DB1988" w:rsidRDefault="00DB1988" w:rsidP="00DB1988">
      <w:pPr>
        <w:tabs>
          <w:tab w:val="left" w:pos="-1440"/>
        </w:tabs>
      </w:pPr>
      <w:r>
        <w:t xml:space="preserve">HHA may grant requests for relief from surcharges from excess utility consumption of HHA-furnished utilities as a reasonable accommodation where HHA deems an exception is appropriate to meet the needs of elderly, ill, or disabled residents. In determining whether to grant this request, HHA will consider special factors affecting utility usage that are not within the control of the resident, such as the need for medical equipment. Residents may request relief in accordance with </w:t>
      </w:r>
      <w:r w:rsidRPr="006F74A6">
        <w:rPr>
          <w:b/>
          <w:bCs/>
          <w:color w:val="0070C0"/>
        </w:rPr>
        <w:fldChar w:fldCharType="begin"/>
      </w:r>
      <w:r w:rsidRPr="006F74A6">
        <w:rPr>
          <w:b/>
          <w:bCs/>
          <w:color w:val="0070C0"/>
        </w:rPr>
        <w:instrText xml:space="preserve"> REF _Ref144897645 \h </w:instrText>
      </w:r>
      <w:r>
        <w:rPr>
          <w:b/>
          <w:bCs/>
          <w:color w:val="0070C0"/>
        </w:rPr>
        <w:instrText xml:space="preserve"> \* MERGEFORMAT </w:instrText>
      </w:r>
      <w:r w:rsidRPr="006F74A6">
        <w:rPr>
          <w:b/>
          <w:bCs/>
          <w:color w:val="0070C0"/>
        </w:rPr>
      </w:r>
      <w:r w:rsidRPr="006F74A6">
        <w:rPr>
          <w:b/>
          <w:bCs/>
          <w:color w:val="0070C0"/>
        </w:rPr>
        <w:fldChar w:fldCharType="separate"/>
      </w:r>
      <w:r w:rsidRPr="006F74A6">
        <w:rPr>
          <w:b/>
          <w:bCs/>
          <w:color w:val="0070C0"/>
        </w:rPr>
        <w:t>APPENDIX A: REASONABLE ACCOMMODATION POLICY AND PROCEDURES</w:t>
      </w:r>
      <w:r w:rsidRPr="006F74A6">
        <w:rPr>
          <w:b/>
          <w:bCs/>
          <w:color w:val="0070C0"/>
        </w:rPr>
        <w:fldChar w:fldCharType="end"/>
      </w:r>
      <w:r>
        <w:t>.</w:t>
      </w:r>
    </w:p>
    <w:p w14:paraId="71C53270" w14:textId="77777777" w:rsidR="00DB1988" w:rsidRPr="004C55A1" w:rsidRDefault="00DB1988" w:rsidP="00DB1988">
      <w:pPr>
        <w:tabs>
          <w:tab w:val="left" w:pos="-1440"/>
        </w:tabs>
      </w:pPr>
      <w:r>
        <w:t>Notice of the availability of procedures for requesting relief (including the HHA representative with whom initial contact may be made by the resident) and HHA’s criteria for granting requests, will be included in each notice to residents of changes in utility allowances or surcharges as well as to new residents as part of the lease orientation.</w:t>
      </w:r>
    </w:p>
    <w:p w14:paraId="352CF12B" w14:textId="77777777" w:rsidR="009F56C7" w:rsidRDefault="009F56C7" w:rsidP="009F56C7">
      <w:pPr>
        <w:pStyle w:val="Heading2"/>
      </w:pPr>
      <w:bookmarkStart w:id="1818" w:name="_Toc106037914"/>
      <w:bookmarkStart w:id="1819" w:name="_Toc106201553"/>
      <w:bookmarkStart w:id="1820" w:name="_Toc106202072"/>
      <w:bookmarkStart w:id="1821" w:name="_Toc106202598"/>
      <w:bookmarkStart w:id="1822" w:name="_Toc113345053"/>
      <w:bookmarkStart w:id="1823" w:name="_Toc137460406"/>
      <w:bookmarkStart w:id="1824" w:name="_Toc137460651"/>
      <w:bookmarkStart w:id="1825" w:name="_Toc137460896"/>
      <w:bookmarkStart w:id="1826" w:name="_Toc137461793"/>
      <w:bookmarkStart w:id="1827" w:name="_Toc137471384"/>
      <w:bookmarkStart w:id="1828" w:name="_Toc137471893"/>
      <w:bookmarkStart w:id="1829" w:name="_Toc173222718"/>
      <w:bookmarkStart w:id="1830" w:name="_Toc200375710"/>
      <w:bookmarkStart w:id="1831" w:name="_Toc200376984"/>
      <w:r w:rsidRPr="00956608">
        <w:t>Notice Requirements</w:t>
      </w:r>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p>
    <w:p w14:paraId="182CC97A" w14:textId="77777777" w:rsidR="009F56C7" w:rsidRDefault="009F56C7" w:rsidP="009F56C7">
      <w:r>
        <w:t>HHA provides</w:t>
      </w:r>
      <w:r w:rsidRPr="00956608">
        <w:t xml:space="preserve"> notice to all residents of proposed allowances and scheduled surcharges, and revisions thereof. The notice </w:t>
      </w:r>
      <w:r>
        <w:t>is</w:t>
      </w:r>
      <w:r w:rsidRPr="00956608">
        <w:t xml:space="preserve"> given in the manner provided </w:t>
      </w:r>
      <w:r>
        <w:t>and will:</w:t>
      </w:r>
    </w:p>
    <w:p w14:paraId="093A1268" w14:textId="77777777" w:rsidR="009F56C7" w:rsidRDefault="009F56C7" w:rsidP="009F56C7">
      <w:r w:rsidRPr="00956608">
        <w:t xml:space="preserve">Be provided at least 60 days before the proposed effective date of the allowances, scheduled surcharges, or revisions. </w:t>
      </w:r>
    </w:p>
    <w:p w14:paraId="13E0E565" w14:textId="77777777" w:rsidR="009F56C7" w:rsidRDefault="009F56C7" w:rsidP="007F177E">
      <w:pPr>
        <w:pStyle w:val="ListParagraph"/>
        <w:numPr>
          <w:ilvl w:val="0"/>
          <w:numId w:val="191"/>
        </w:numPr>
        <w:ind w:left="763"/>
        <w:contextualSpacing w:val="0"/>
      </w:pPr>
      <w:r w:rsidRPr="00956608">
        <w:t xml:space="preserve">Describe the basis for determination of the allowances, scheduled surcharges, or revisions, including a statement of the specific items of equipment and function whose utility consumption requirements were included in determining the amounts of the allowances and schedule of surcharges. </w:t>
      </w:r>
    </w:p>
    <w:p w14:paraId="35CCFD5A" w14:textId="77777777" w:rsidR="009F56C7" w:rsidRDefault="009F56C7" w:rsidP="007F177E">
      <w:pPr>
        <w:pStyle w:val="ListParagraph"/>
        <w:numPr>
          <w:ilvl w:val="0"/>
          <w:numId w:val="191"/>
        </w:numPr>
        <w:ind w:left="763"/>
        <w:contextualSpacing w:val="0"/>
      </w:pPr>
      <w:r w:rsidRPr="00956608">
        <w:t xml:space="preserve">Notify residents of the place </w:t>
      </w:r>
      <w:r>
        <w:t>where HHA’s</w:t>
      </w:r>
      <w:r w:rsidRPr="00956608">
        <w:t xml:space="preserve"> documentation on which allowances and surcharges are based is available for inspection. </w:t>
      </w:r>
    </w:p>
    <w:p w14:paraId="14203F3D" w14:textId="77777777" w:rsidR="009F56C7" w:rsidRPr="00956608" w:rsidRDefault="009F56C7" w:rsidP="007F177E">
      <w:pPr>
        <w:pStyle w:val="ListParagraph"/>
        <w:numPr>
          <w:ilvl w:val="0"/>
          <w:numId w:val="191"/>
        </w:numPr>
        <w:ind w:left="763"/>
        <w:contextualSpacing w:val="0"/>
      </w:pPr>
      <w:r w:rsidRPr="00956608">
        <w:t>Provide all residents an opportunity to submit written comments during a period expiring not less than 30 days before the proposed effective date of the allowances, scheduled surcharges, or revisions.</w:t>
      </w:r>
    </w:p>
    <w:p w14:paraId="3426BCF6" w14:textId="77777777" w:rsidR="009F56C7" w:rsidRPr="00956608" w:rsidRDefault="009F56C7" w:rsidP="009F56C7">
      <w:pPr>
        <w:pStyle w:val="Heading2"/>
      </w:pPr>
      <w:bookmarkStart w:id="1832" w:name="_Toc106037915"/>
      <w:bookmarkStart w:id="1833" w:name="_Toc106201554"/>
      <w:bookmarkStart w:id="1834" w:name="_Toc106202073"/>
      <w:bookmarkStart w:id="1835" w:name="_Toc106202599"/>
      <w:bookmarkStart w:id="1836" w:name="_Toc113345054"/>
      <w:bookmarkStart w:id="1837" w:name="_Toc137460407"/>
      <w:bookmarkStart w:id="1838" w:name="_Toc137460652"/>
      <w:bookmarkStart w:id="1839" w:name="_Toc137460897"/>
      <w:bookmarkStart w:id="1840" w:name="_Toc137461794"/>
      <w:bookmarkStart w:id="1841" w:name="_Toc137471385"/>
      <w:bookmarkStart w:id="1842" w:name="_Toc137471894"/>
      <w:bookmarkStart w:id="1843" w:name="_Toc173222719"/>
      <w:bookmarkStart w:id="1844" w:name="_Toc200375711"/>
      <w:bookmarkStart w:id="1845" w:name="_Toc200376985"/>
      <w:r w:rsidRPr="00956608">
        <w:t>Reasonable Accommodation</w:t>
      </w:r>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r w:rsidRPr="00956608">
        <w:t xml:space="preserve">  </w:t>
      </w:r>
    </w:p>
    <w:p w14:paraId="4D2BECE1" w14:textId="77777777" w:rsidR="009F56C7" w:rsidRDefault="009F56C7" w:rsidP="009F56C7">
      <w:r w:rsidRPr="00956608">
        <w:t xml:space="preserve">On request </w:t>
      </w:r>
      <w:r>
        <w:t xml:space="preserve">and verification of need </w:t>
      </w:r>
      <w:r w:rsidRPr="00956608">
        <w:t xml:space="preserve">from a family that includes a disabled or elderly person, </w:t>
      </w:r>
      <w:r>
        <w:t>HHA will</w:t>
      </w:r>
      <w:r w:rsidRPr="00956608">
        <w:t xml:space="preserve"> approve a utility allowance that is higher than the applicable amount for the dwelling unit if a higher utility allowance is needed as a reasonable accommodation to make the program accessible to and usable by the family</w:t>
      </w:r>
      <w:r>
        <w:t>.</w:t>
      </w:r>
    </w:p>
    <w:p w14:paraId="292B4077" w14:textId="77777777" w:rsidR="005F3693" w:rsidRPr="005F3693" w:rsidRDefault="009F56C7" w:rsidP="005F3693">
      <w:r w:rsidRPr="00956608">
        <w:t xml:space="preserve">Likewise, residents with disabilities </w:t>
      </w:r>
      <w:r>
        <w:t xml:space="preserve">will </w:t>
      </w:r>
      <w:r w:rsidRPr="00956608">
        <w:t xml:space="preserve">not be charged for the use of certain resident-supplied appliances if there is a verified need for special equipment because of the </w:t>
      </w:r>
      <w:r>
        <w:t xml:space="preserve">disability. See </w:t>
      </w:r>
      <w:r w:rsidR="00C36D50" w:rsidRPr="006F74A6">
        <w:rPr>
          <w:b/>
          <w:bCs/>
          <w:color w:val="0070C0"/>
        </w:rPr>
        <w:fldChar w:fldCharType="begin"/>
      </w:r>
      <w:r w:rsidR="00C36D50" w:rsidRPr="006F74A6">
        <w:rPr>
          <w:b/>
          <w:bCs/>
          <w:color w:val="0070C0"/>
        </w:rPr>
        <w:instrText xml:space="preserve"> REF _Ref144897645 \h </w:instrText>
      </w:r>
      <w:r w:rsidR="00C36D50">
        <w:rPr>
          <w:b/>
          <w:bCs/>
          <w:color w:val="0070C0"/>
        </w:rPr>
        <w:instrText xml:space="preserve"> \* MERGEFORMAT </w:instrText>
      </w:r>
      <w:r w:rsidR="00C36D50" w:rsidRPr="006F74A6">
        <w:rPr>
          <w:b/>
          <w:bCs/>
          <w:color w:val="0070C0"/>
        </w:rPr>
      </w:r>
      <w:r w:rsidR="00C36D50" w:rsidRPr="006F74A6">
        <w:rPr>
          <w:b/>
          <w:bCs/>
          <w:color w:val="0070C0"/>
        </w:rPr>
        <w:fldChar w:fldCharType="separate"/>
      </w:r>
      <w:r w:rsidR="00C36D50" w:rsidRPr="006F74A6">
        <w:rPr>
          <w:b/>
          <w:bCs/>
          <w:color w:val="0070C0"/>
        </w:rPr>
        <w:t>APPENDIX A: REASONABLE ACCOMMODATION POLICY AND PROCEDURES</w:t>
      </w:r>
      <w:r w:rsidR="00C36D50" w:rsidRPr="006F74A6">
        <w:rPr>
          <w:b/>
          <w:bCs/>
          <w:color w:val="0070C0"/>
        </w:rPr>
        <w:fldChar w:fldCharType="end"/>
      </w:r>
      <w:r>
        <w:t xml:space="preserve">. </w:t>
      </w:r>
    </w:p>
    <w:p w14:paraId="7B54EF11" w14:textId="77777777" w:rsidR="000712F6" w:rsidRPr="000A3FB2" w:rsidRDefault="000712F6" w:rsidP="000712F6">
      <w:pPr>
        <w:sectPr w:rsidR="000712F6" w:rsidRPr="000A3FB2" w:rsidSect="00EE2233">
          <w:pgSz w:w="12240" w:h="15840"/>
          <w:pgMar w:top="1440" w:right="1440" w:bottom="1440" w:left="1440" w:header="720" w:footer="720" w:gutter="0"/>
          <w:cols w:space="720"/>
          <w:docGrid w:linePitch="360"/>
        </w:sectPr>
      </w:pPr>
    </w:p>
    <w:p w14:paraId="04645737" w14:textId="77777777" w:rsidR="000712F6" w:rsidRPr="00253507" w:rsidRDefault="000712F6" w:rsidP="000712F6">
      <w:pPr>
        <w:pStyle w:val="Heading1"/>
        <w:ind w:left="0" w:firstLine="0"/>
      </w:pPr>
      <w:bookmarkStart w:id="1846" w:name="_Ref160538693"/>
      <w:bookmarkStart w:id="1847" w:name="_Toc173222720"/>
      <w:bookmarkStart w:id="1848" w:name="_Toc200375712"/>
      <w:bookmarkStart w:id="1849" w:name="_Toc200376986"/>
      <w:r w:rsidRPr="00253507">
        <w:t>RENT</w:t>
      </w:r>
      <w:bookmarkEnd w:id="1846"/>
      <w:bookmarkEnd w:id="1847"/>
      <w:bookmarkEnd w:id="1848"/>
      <w:bookmarkEnd w:id="1849"/>
    </w:p>
    <w:p w14:paraId="18728C29" w14:textId="77777777" w:rsidR="000712F6" w:rsidRDefault="000712F6" w:rsidP="00BB64BD">
      <w:pPr>
        <w:pStyle w:val="Heading2"/>
      </w:pPr>
      <w:bookmarkStart w:id="1850" w:name="_Toc173222721"/>
      <w:bookmarkStart w:id="1851" w:name="_Toc200375713"/>
      <w:bookmarkStart w:id="1852" w:name="_Toc200376987"/>
      <w:r>
        <w:t>Overview</w:t>
      </w:r>
      <w:bookmarkEnd w:id="1850"/>
      <w:bookmarkEnd w:id="1851"/>
      <w:bookmarkEnd w:id="1852"/>
    </w:p>
    <w:p w14:paraId="7D77B6B1" w14:textId="77777777" w:rsidR="000712F6" w:rsidRPr="000712F6" w:rsidRDefault="00125E90" w:rsidP="000712F6">
      <w:r>
        <w:t>Under MTW, rent is determined by whether a family is in the Treatment, Control, or Excluded Group</w:t>
      </w:r>
      <w:r w:rsidR="005D1BEE">
        <w:t>.</w:t>
      </w:r>
    </w:p>
    <w:p w14:paraId="74A88E2C" w14:textId="77777777" w:rsidR="00B1670A" w:rsidRPr="00BB64BD" w:rsidRDefault="001419EA" w:rsidP="00BB64BD">
      <w:pPr>
        <w:pStyle w:val="Heading2"/>
      </w:pPr>
      <w:bookmarkStart w:id="1853" w:name="_Toc173222722"/>
      <w:bookmarkStart w:id="1854" w:name="_Toc200375714"/>
      <w:bookmarkStart w:id="1855" w:name="_Toc200376988"/>
      <w:r w:rsidRPr="00BB64BD">
        <w:t>Control and Excluded Groups</w:t>
      </w:r>
      <w:bookmarkEnd w:id="1853"/>
      <w:bookmarkEnd w:id="1854"/>
      <w:bookmarkEnd w:id="1855"/>
    </w:p>
    <w:p w14:paraId="01632127" w14:textId="77777777" w:rsidR="00FC3A8A" w:rsidRPr="00FC3A8A" w:rsidRDefault="00B54757" w:rsidP="00FC3A8A">
      <w:r w:rsidRPr="00B54757">
        <w:t xml:space="preserve">Tenant rent for the Control and Excluded groups is largely determined based on </w:t>
      </w:r>
      <w:r>
        <w:t>p</w:t>
      </w:r>
      <w:r w:rsidRPr="00B54757">
        <w:t xml:space="preserve">ublic </w:t>
      </w:r>
      <w:r>
        <w:t>h</w:t>
      </w:r>
      <w:r w:rsidRPr="00B54757">
        <w:t xml:space="preserve">ousing program regulations. </w:t>
      </w:r>
      <w:r w:rsidR="00FC3A8A">
        <w:t xml:space="preserve">This section describes the tenant rent for families in the Control and Excluded </w:t>
      </w:r>
      <w:r w:rsidR="0079278D">
        <w:t>g</w:t>
      </w:r>
      <w:r w:rsidR="00FC3A8A">
        <w:t>roups.</w:t>
      </w:r>
    </w:p>
    <w:p w14:paraId="52FB8FB0" w14:textId="77777777" w:rsidR="00C77005" w:rsidRPr="00C77005" w:rsidRDefault="00C77005" w:rsidP="00677451">
      <w:pPr>
        <w:pStyle w:val="Heading3"/>
      </w:pPr>
      <w:bookmarkStart w:id="1856" w:name="_Toc200375715"/>
      <w:r w:rsidRPr="00C77005">
        <w:t>Total Tenant Payment (TTP)</w:t>
      </w:r>
      <w:bookmarkEnd w:id="1856"/>
    </w:p>
    <w:p w14:paraId="17C42776" w14:textId="77777777" w:rsidR="00BC0DB5" w:rsidRPr="00765546" w:rsidRDefault="00BC0DB5" w:rsidP="00BC0DB5">
      <w:pPr>
        <w:rPr>
          <w:rFonts w:cs="Arial"/>
          <w:szCs w:val="20"/>
        </w:rPr>
      </w:pPr>
      <w:r w:rsidRPr="00765546">
        <w:rPr>
          <w:rFonts w:cs="Arial"/>
          <w:szCs w:val="20"/>
        </w:rPr>
        <w:t>TTP is the highest of the following amounts, rounded to the nearest dollar:</w:t>
      </w:r>
    </w:p>
    <w:p w14:paraId="5B2A949C" w14:textId="77777777" w:rsidR="00BC0DB5" w:rsidRPr="00B954A6" w:rsidRDefault="00BC0DB5" w:rsidP="00CB52D8">
      <w:pPr>
        <w:pStyle w:val="ListParagraph"/>
        <w:widowControl w:val="0"/>
        <w:numPr>
          <w:ilvl w:val="0"/>
          <w:numId w:val="80"/>
        </w:numPr>
        <w:autoSpaceDE w:val="0"/>
        <w:autoSpaceDN w:val="0"/>
        <w:spacing w:after="120"/>
        <w:contextualSpacing w:val="0"/>
      </w:pPr>
      <w:r w:rsidRPr="00B954A6">
        <w:t xml:space="preserve">30 percent of the family’s monthly adjusted income, </w:t>
      </w:r>
    </w:p>
    <w:p w14:paraId="0B940E19" w14:textId="77777777" w:rsidR="00BC0DB5" w:rsidRPr="00B954A6" w:rsidRDefault="00BC0DB5" w:rsidP="00CB52D8">
      <w:pPr>
        <w:pStyle w:val="ListParagraph"/>
        <w:widowControl w:val="0"/>
        <w:numPr>
          <w:ilvl w:val="0"/>
          <w:numId w:val="80"/>
        </w:numPr>
        <w:autoSpaceDE w:val="0"/>
        <w:autoSpaceDN w:val="0"/>
        <w:spacing w:after="120"/>
        <w:contextualSpacing w:val="0"/>
      </w:pPr>
      <w:r w:rsidRPr="00B954A6">
        <w:t>10 percent of the family’s monthly gross income,</w:t>
      </w:r>
    </w:p>
    <w:p w14:paraId="49ED9E5D" w14:textId="77777777" w:rsidR="00BC0DB5" w:rsidRPr="00B954A6" w:rsidRDefault="00BC0DB5" w:rsidP="00CB52D8">
      <w:pPr>
        <w:pStyle w:val="ListParagraph"/>
        <w:widowControl w:val="0"/>
        <w:numPr>
          <w:ilvl w:val="0"/>
          <w:numId w:val="80"/>
        </w:numPr>
        <w:autoSpaceDE w:val="0"/>
        <w:autoSpaceDN w:val="0"/>
        <w:spacing w:after="120"/>
        <w:contextualSpacing w:val="0"/>
      </w:pPr>
      <w:r w:rsidRPr="00B954A6">
        <w:t xml:space="preserve">The </w:t>
      </w:r>
      <w:r w:rsidR="006700BD" w:rsidRPr="006700BD">
        <w:rPr>
          <w:b/>
          <w:bCs/>
          <w:color w:val="0070C0"/>
        </w:rPr>
        <w:fldChar w:fldCharType="begin"/>
      </w:r>
      <w:r w:rsidR="006700BD" w:rsidRPr="006700BD">
        <w:rPr>
          <w:b/>
          <w:bCs/>
          <w:color w:val="0070C0"/>
        </w:rPr>
        <w:instrText xml:space="preserve"> REF _Ref148691889 \h </w:instrText>
      </w:r>
      <w:r w:rsidR="006700BD">
        <w:rPr>
          <w:b/>
          <w:bCs/>
          <w:color w:val="0070C0"/>
        </w:rPr>
        <w:instrText xml:space="preserve"> \* MERGEFORMAT </w:instrText>
      </w:r>
      <w:r w:rsidR="006700BD" w:rsidRPr="006700BD">
        <w:rPr>
          <w:b/>
          <w:bCs/>
          <w:color w:val="0070C0"/>
        </w:rPr>
      </w:r>
      <w:r w:rsidR="006700BD" w:rsidRPr="006700BD">
        <w:rPr>
          <w:b/>
          <w:bCs/>
          <w:color w:val="0070C0"/>
        </w:rPr>
        <w:fldChar w:fldCharType="separate"/>
      </w:r>
      <w:r w:rsidR="006700BD" w:rsidRPr="006700BD">
        <w:rPr>
          <w:b/>
          <w:bCs/>
          <w:color w:val="0070C0"/>
        </w:rPr>
        <w:t>Minimum Rent</w:t>
      </w:r>
      <w:r w:rsidR="006700BD" w:rsidRPr="006700BD">
        <w:rPr>
          <w:b/>
          <w:bCs/>
          <w:color w:val="0070C0"/>
        </w:rPr>
        <w:fldChar w:fldCharType="end"/>
      </w:r>
      <w:r w:rsidR="006700BD">
        <w:t xml:space="preserve"> </w:t>
      </w:r>
      <w:r w:rsidRPr="00B954A6">
        <w:t xml:space="preserve">established by HHA. </w:t>
      </w:r>
    </w:p>
    <w:p w14:paraId="3BE121FD" w14:textId="77777777" w:rsidR="00BC0DB5" w:rsidRPr="00765546" w:rsidRDefault="00BC0DB5" w:rsidP="00677451">
      <w:pPr>
        <w:pStyle w:val="Heading3"/>
      </w:pPr>
      <w:bookmarkStart w:id="1857" w:name="_Toc521054897"/>
      <w:bookmarkStart w:id="1858" w:name="_Toc527019421"/>
      <w:bookmarkStart w:id="1859" w:name="_Toc534706956"/>
      <w:bookmarkStart w:id="1860" w:name="_Toc534707634"/>
      <w:bookmarkStart w:id="1861" w:name="_Toc534708442"/>
      <w:bookmarkStart w:id="1862" w:name="_Toc118116026"/>
      <w:bookmarkStart w:id="1863" w:name="_Toc200375716"/>
      <w:r w:rsidRPr="00765546">
        <w:t>TTP for Mixed Families</w:t>
      </w:r>
      <w:bookmarkEnd w:id="1857"/>
      <w:bookmarkEnd w:id="1858"/>
      <w:bookmarkEnd w:id="1859"/>
      <w:bookmarkEnd w:id="1860"/>
      <w:bookmarkEnd w:id="1861"/>
      <w:bookmarkEnd w:id="1862"/>
      <w:bookmarkEnd w:id="1863"/>
    </w:p>
    <w:p w14:paraId="46E1B656" w14:textId="77777777" w:rsidR="00BC0DB5" w:rsidRDefault="00BC0DB5" w:rsidP="00BC0DB5">
      <w:pPr>
        <w:rPr>
          <w:rFonts w:cs="Arial"/>
          <w:szCs w:val="20"/>
        </w:rPr>
      </w:pPr>
      <w:r w:rsidRPr="00765546">
        <w:rPr>
          <w:rFonts w:cs="Arial"/>
          <w:szCs w:val="20"/>
        </w:rPr>
        <w:t xml:space="preserve">A </w:t>
      </w:r>
      <w:r w:rsidRPr="00765546">
        <w:rPr>
          <w:rFonts w:cs="Arial"/>
          <w:i/>
          <w:iCs/>
          <w:szCs w:val="20"/>
        </w:rPr>
        <w:t>mixed household</w:t>
      </w:r>
      <w:r w:rsidRPr="00765546">
        <w:rPr>
          <w:rFonts w:cs="Arial"/>
          <w:szCs w:val="20"/>
        </w:rPr>
        <w:t xml:space="preserve"> is one that includes at least one U.S. citizen or eligible immigrant and any number of ineligible household members. </w:t>
      </w:r>
      <w:r>
        <w:rPr>
          <w:rFonts w:cs="Arial"/>
          <w:szCs w:val="20"/>
        </w:rPr>
        <w:t>HHA</w:t>
      </w:r>
      <w:r w:rsidRPr="00765546">
        <w:rPr>
          <w:rFonts w:cs="Arial"/>
          <w:szCs w:val="20"/>
        </w:rPr>
        <w:t xml:space="preserve"> will prorate the assistance provided to a mixed household. </w:t>
      </w:r>
      <w:r>
        <w:rPr>
          <w:rFonts w:cs="Arial"/>
          <w:szCs w:val="20"/>
        </w:rPr>
        <w:t>HHA</w:t>
      </w:r>
      <w:r w:rsidRPr="00765546">
        <w:rPr>
          <w:rFonts w:cs="Arial"/>
          <w:szCs w:val="20"/>
        </w:rPr>
        <w:t xml:space="preserve"> will first determine assistance as if all household members were eligible and then prorate the assistance according to the regulatory requirement at 24 CFR 5.520.</w:t>
      </w:r>
    </w:p>
    <w:p w14:paraId="5C1CC966" w14:textId="77777777" w:rsidR="002039E6" w:rsidRPr="002039E6" w:rsidRDefault="002039E6" w:rsidP="00677451">
      <w:pPr>
        <w:pStyle w:val="Heading3"/>
      </w:pPr>
      <w:bookmarkStart w:id="1864" w:name="_Toc200375717"/>
      <w:r w:rsidRPr="002039E6">
        <w:t>Tenant Rent</w:t>
      </w:r>
      <w:bookmarkEnd w:id="1864"/>
    </w:p>
    <w:p w14:paraId="576724D2" w14:textId="77777777" w:rsidR="00543C22" w:rsidRPr="002C0EE0" w:rsidRDefault="00543C22" w:rsidP="002C0EE0">
      <w:pPr>
        <w:rPr>
          <w:rFonts w:cs="Arial"/>
          <w:szCs w:val="20"/>
        </w:rPr>
      </w:pPr>
      <w:r w:rsidRPr="00543C22">
        <w:rPr>
          <w:rFonts w:cs="Arial"/>
          <w:szCs w:val="20"/>
        </w:rPr>
        <w:t xml:space="preserve">If the family is occupying an apartment that has </w:t>
      </w:r>
      <w:r w:rsidRPr="002C0EE0">
        <w:rPr>
          <w:rFonts w:cs="Arial"/>
          <w:b/>
          <w:bCs/>
          <w:szCs w:val="20"/>
        </w:rPr>
        <w:t>tenant-paid utilities</w:t>
      </w:r>
      <w:r w:rsidRPr="00543C22">
        <w:rPr>
          <w:rFonts w:cs="Arial"/>
          <w:szCs w:val="20"/>
        </w:rPr>
        <w:t xml:space="preserve">, the </w:t>
      </w:r>
      <w:r w:rsidR="008B16D2">
        <w:rPr>
          <w:rFonts w:cs="Arial"/>
          <w:szCs w:val="20"/>
        </w:rPr>
        <w:t xml:space="preserve">tenant rent is the TTP minus the </w:t>
      </w:r>
      <w:r w:rsidRPr="00543C22">
        <w:rPr>
          <w:rFonts w:cs="Arial"/>
          <w:szCs w:val="20"/>
        </w:rPr>
        <w:t xml:space="preserve">utility allowance. </w:t>
      </w:r>
      <w:r w:rsidRPr="002C0EE0">
        <w:rPr>
          <w:rFonts w:cs="Arial"/>
          <w:szCs w:val="20"/>
        </w:rPr>
        <w:t xml:space="preserve">If the </w:t>
      </w:r>
      <w:r w:rsidR="008B16D2" w:rsidRPr="002C0EE0">
        <w:rPr>
          <w:rFonts w:cs="Arial"/>
          <w:szCs w:val="20"/>
        </w:rPr>
        <w:t xml:space="preserve">tenant rent </w:t>
      </w:r>
      <w:r w:rsidRPr="002C0EE0">
        <w:rPr>
          <w:rFonts w:cs="Arial"/>
          <w:szCs w:val="20"/>
        </w:rPr>
        <w:t xml:space="preserve">is a negative number, the family receives a </w:t>
      </w:r>
      <w:r w:rsidR="008674D0" w:rsidRPr="008674D0">
        <w:rPr>
          <w:rFonts w:cs="Arial"/>
          <w:b/>
          <w:bCs/>
          <w:color w:val="0070C0"/>
          <w:szCs w:val="20"/>
        </w:rPr>
        <w:fldChar w:fldCharType="begin"/>
      </w:r>
      <w:r w:rsidR="008674D0" w:rsidRPr="008674D0">
        <w:rPr>
          <w:rFonts w:cs="Arial"/>
          <w:b/>
          <w:bCs/>
          <w:color w:val="0070C0"/>
          <w:szCs w:val="20"/>
        </w:rPr>
        <w:instrText xml:space="preserve"> REF _Ref148692219 \h </w:instrText>
      </w:r>
      <w:r w:rsidR="008674D0">
        <w:rPr>
          <w:rFonts w:cs="Arial"/>
          <w:b/>
          <w:bCs/>
          <w:color w:val="0070C0"/>
          <w:szCs w:val="20"/>
        </w:rPr>
        <w:instrText xml:space="preserve"> \* MERGEFORMAT </w:instrText>
      </w:r>
      <w:r w:rsidR="008674D0" w:rsidRPr="008674D0">
        <w:rPr>
          <w:rFonts w:cs="Arial"/>
          <w:b/>
          <w:bCs/>
          <w:color w:val="0070C0"/>
          <w:szCs w:val="20"/>
        </w:rPr>
      </w:r>
      <w:r w:rsidR="008674D0" w:rsidRPr="008674D0">
        <w:rPr>
          <w:rFonts w:cs="Arial"/>
          <w:b/>
          <w:bCs/>
          <w:color w:val="0070C0"/>
          <w:szCs w:val="20"/>
        </w:rPr>
        <w:fldChar w:fldCharType="separate"/>
      </w:r>
      <w:r w:rsidR="008674D0" w:rsidRPr="008674D0">
        <w:rPr>
          <w:b/>
          <w:bCs/>
          <w:color w:val="0070C0"/>
        </w:rPr>
        <w:t>Utility Reimbursement</w:t>
      </w:r>
      <w:r w:rsidR="008674D0" w:rsidRPr="008674D0">
        <w:rPr>
          <w:rFonts w:cs="Arial"/>
          <w:b/>
          <w:bCs/>
          <w:color w:val="0070C0"/>
          <w:szCs w:val="20"/>
        </w:rPr>
        <w:fldChar w:fldCharType="end"/>
      </w:r>
      <w:r w:rsidRPr="002C0EE0">
        <w:rPr>
          <w:rFonts w:cs="Arial"/>
          <w:szCs w:val="20"/>
        </w:rPr>
        <w:t>.</w:t>
      </w:r>
    </w:p>
    <w:p w14:paraId="2AFC732B" w14:textId="77777777" w:rsidR="00543C22" w:rsidRPr="00543C22" w:rsidRDefault="00543C22" w:rsidP="00543C22">
      <w:pPr>
        <w:rPr>
          <w:rFonts w:cs="Arial"/>
          <w:szCs w:val="20"/>
        </w:rPr>
      </w:pPr>
      <w:r w:rsidRPr="00543C22">
        <w:rPr>
          <w:rFonts w:cs="Arial"/>
          <w:szCs w:val="20"/>
        </w:rPr>
        <w:t xml:space="preserve">In units where </w:t>
      </w:r>
      <w:r w:rsidRPr="002C0EE0">
        <w:rPr>
          <w:rFonts w:cs="Arial"/>
          <w:b/>
          <w:bCs/>
          <w:szCs w:val="20"/>
        </w:rPr>
        <w:t>HHA pays all utility bills</w:t>
      </w:r>
      <w:r w:rsidRPr="00543C22">
        <w:rPr>
          <w:rFonts w:cs="Arial"/>
          <w:szCs w:val="20"/>
        </w:rPr>
        <w:t xml:space="preserve"> directly to the utility supplier, </w:t>
      </w:r>
      <w:r w:rsidR="002C0EE0">
        <w:rPr>
          <w:rFonts w:cs="Arial"/>
          <w:szCs w:val="20"/>
        </w:rPr>
        <w:t>t</w:t>
      </w:r>
      <w:r w:rsidRPr="00543C22">
        <w:rPr>
          <w:rFonts w:cs="Arial"/>
          <w:szCs w:val="20"/>
        </w:rPr>
        <w:t xml:space="preserve">enant </w:t>
      </w:r>
      <w:r w:rsidR="002C0EE0">
        <w:rPr>
          <w:rFonts w:cs="Arial"/>
          <w:szCs w:val="20"/>
        </w:rPr>
        <w:t>r</w:t>
      </w:r>
      <w:r w:rsidRPr="00543C22">
        <w:rPr>
          <w:rFonts w:cs="Arial"/>
          <w:szCs w:val="20"/>
        </w:rPr>
        <w:t xml:space="preserve">ent equals </w:t>
      </w:r>
      <w:r w:rsidR="006E5D68">
        <w:rPr>
          <w:rFonts w:cs="Arial"/>
          <w:szCs w:val="20"/>
        </w:rPr>
        <w:t>the family’s TTP</w:t>
      </w:r>
      <w:r w:rsidRPr="00543C22">
        <w:rPr>
          <w:rFonts w:cs="Arial"/>
          <w:szCs w:val="20"/>
        </w:rPr>
        <w:t>.</w:t>
      </w:r>
    </w:p>
    <w:p w14:paraId="31DAFB29" w14:textId="77777777" w:rsidR="00842737" w:rsidRPr="008674D0" w:rsidRDefault="006E7A50" w:rsidP="00677451">
      <w:pPr>
        <w:pStyle w:val="Heading3"/>
      </w:pPr>
      <w:bookmarkStart w:id="1865" w:name="_Ref148692219"/>
      <w:bookmarkStart w:id="1866" w:name="_Toc200375718"/>
      <w:r w:rsidRPr="008674D0">
        <w:t>Utility Reimbursement</w:t>
      </w:r>
      <w:bookmarkEnd w:id="1865"/>
      <w:bookmarkEnd w:id="1866"/>
    </w:p>
    <w:p w14:paraId="38E212C3" w14:textId="77777777" w:rsidR="008674D0" w:rsidRDefault="008674D0" w:rsidP="008674D0">
      <w:pPr>
        <w:rPr>
          <w:rFonts w:cs="Arial"/>
          <w:szCs w:val="20"/>
        </w:rPr>
      </w:pPr>
      <w:r>
        <w:rPr>
          <w:rFonts w:cs="Arial"/>
          <w:szCs w:val="20"/>
        </w:rPr>
        <w:t>For families with tenant-paid utilities, w</w:t>
      </w:r>
      <w:r w:rsidRPr="008674D0">
        <w:rPr>
          <w:rFonts w:cs="Arial"/>
          <w:szCs w:val="20"/>
        </w:rPr>
        <w:t>hen the utility allowance exceeds the TTP, the family is due a utility reimbursement. HHA will make utility reimbursements to the family.</w:t>
      </w:r>
    </w:p>
    <w:p w14:paraId="53F68586" w14:textId="77777777" w:rsidR="00FC3A8A" w:rsidRPr="00A346D3" w:rsidRDefault="00FC3A8A" w:rsidP="00677451">
      <w:pPr>
        <w:pStyle w:val="Heading3"/>
      </w:pPr>
      <w:bookmarkStart w:id="1867" w:name="_Toc200375719"/>
      <w:r w:rsidRPr="00A346D3">
        <w:t>Rent for Over</w:t>
      </w:r>
      <w:r w:rsidR="00596A2E" w:rsidRPr="00A346D3">
        <w:t xml:space="preserve">-Income </w:t>
      </w:r>
      <w:r w:rsidR="00A346D3" w:rsidRPr="00A346D3">
        <w:t>Families</w:t>
      </w:r>
      <w:bookmarkEnd w:id="1867"/>
    </w:p>
    <w:p w14:paraId="336D58D8" w14:textId="77777777" w:rsidR="00A346D3" w:rsidRDefault="00A346D3" w:rsidP="00A346D3">
      <w:pPr>
        <w:rPr>
          <w:rFonts w:cs="Arial"/>
        </w:rPr>
      </w:pPr>
      <w:r w:rsidRPr="00A346D3">
        <w:rPr>
          <w:rFonts w:cs="Arial"/>
        </w:rPr>
        <w:t xml:space="preserve">See </w:t>
      </w:r>
      <w:r w:rsidR="00026224" w:rsidRPr="00026224">
        <w:rPr>
          <w:rFonts w:cs="Arial"/>
          <w:b/>
          <w:bCs/>
          <w:color w:val="0070C0"/>
        </w:rPr>
        <w:fldChar w:fldCharType="begin"/>
      </w:r>
      <w:r w:rsidR="00026224" w:rsidRPr="00026224">
        <w:rPr>
          <w:rFonts w:cs="Arial"/>
          <w:b/>
          <w:bCs/>
          <w:color w:val="0070C0"/>
        </w:rPr>
        <w:instrText xml:space="preserve"> REF _Ref136504745 \h  \* MERGEFORMAT </w:instrText>
      </w:r>
      <w:r w:rsidR="00026224" w:rsidRPr="00026224">
        <w:rPr>
          <w:rFonts w:cs="Arial"/>
          <w:b/>
          <w:bCs/>
          <w:color w:val="0070C0"/>
        </w:rPr>
      </w:r>
      <w:r w:rsidR="00026224" w:rsidRPr="00026224">
        <w:rPr>
          <w:rFonts w:cs="Arial"/>
          <w:b/>
          <w:bCs/>
          <w:color w:val="0070C0"/>
        </w:rPr>
        <w:fldChar w:fldCharType="separate"/>
      </w:r>
      <w:r w:rsidR="00026224" w:rsidRPr="00026224">
        <w:rPr>
          <w:b/>
          <w:bCs/>
          <w:color w:val="0070C0"/>
        </w:rPr>
        <w:t>Alternative Rent for NPHOI Families</w:t>
      </w:r>
      <w:r w:rsidR="00026224" w:rsidRPr="00026224">
        <w:rPr>
          <w:rFonts w:cs="Arial"/>
          <w:b/>
          <w:bCs/>
          <w:color w:val="0070C0"/>
        </w:rPr>
        <w:fldChar w:fldCharType="end"/>
      </w:r>
      <w:r w:rsidRPr="00A346D3">
        <w:rPr>
          <w:rFonts w:cs="Arial"/>
        </w:rPr>
        <w:t xml:space="preserve"> for families who exceed the over-income limit as described in the </w:t>
      </w:r>
      <w:r w:rsidR="00026224" w:rsidRPr="00026224">
        <w:rPr>
          <w:rFonts w:cs="Arial"/>
          <w:b/>
          <w:bCs/>
          <w:color w:val="0070C0"/>
        </w:rPr>
        <w:fldChar w:fldCharType="begin"/>
      </w:r>
      <w:r w:rsidR="00026224" w:rsidRPr="00026224">
        <w:rPr>
          <w:rFonts w:cs="Arial"/>
          <w:b/>
          <w:bCs/>
          <w:color w:val="0070C0"/>
        </w:rPr>
        <w:instrText xml:space="preserve"> REF _Ref151015055 \h  \* MERGEFORMAT </w:instrText>
      </w:r>
      <w:r w:rsidR="00026224" w:rsidRPr="00026224">
        <w:rPr>
          <w:rFonts w:cs="Arial"/>
          <w:b/>
          <w:bCs/>
          <w:color w:val="0070C0"/>
        </w:rPr>
      </w:r>
      <w:r w:rsidR="00026224" w:rsidRPr="00026224">
        <w:rPr>
          <w:rFonts w:cs="Arial"/>
          <w:b/>
          <w:bCs/>
          <w:color w:val="0070C0"/>
        </w:rPr>
        <w:fldChar w:fldCharType="separate"/>
      </w:r>
      <w:r w:rsidR="00026224" w:rsidRPr="00026224">
        <w:rPr>
          <w:b/>
          <w:bCs/>
          <w:color w:val="0070C0"/>
        </w:rPr>
        <w:t>OVER-INCOME FAMILIES</w:t>
      </w:r>
      <w:r w:rsidR="00026224" w:rsidRPr="00026224">
        <w:rPr>
          <w:rFonts w:cs="Arial"/>
          <w:b/>
          <w:bCs/>
          <w:color w:val="0070C0"/>
        </w:rPr>
        <w:fldChar w:fldCharType="end"/>
      </w:r>
      <w:r w:rsidRPr="00A346D3">
        <w:rPr>
          <w:rFonts w:cs="Arial"/>
        </w:rPr>
        <w:t xml:space="preserve"> section.</w:t>
      </w:r>
    </w:p>
    <w:p w14:paraId="04F63748" w14:textId="77777777" w:rsidR="0035792F" w:rsidRPr="00926D6B" w:rsidRDefault="00C54F62" w:rsidP="00677451">
      <w:pPr>
        <w:pStyle w:val="Heading3"/>
      </w:pPr>
      <w:bookmarkStart w:id="1868" w:name="_Ref160536022"/>
      <w:bookmarkStart w:id="1869" w:name="_Ref160540577"/>
      <w:bookmarkStart w:id="1870" w:name="_Toc200375720"/>
      <w:r>
        <w:t xml:space="preserve">Non-Tiered </w:t>
      </w:r>
      <w:r w:rsidR="00556AF2" w:rsidRPr="00926D6B">
        <w:t>Flat Rents</w:t>
      </w:r>
      <w:r w:rsidR="00BD2DA7" w:rsidRPr="00926D6B">
        <w:t xml:space="preserve"> – Excluded Group</w:t>
      </w:r>
      <w:r w:rsidR="00192A60" w:rsidRPr="00926D6B">
        <w:t xml:space="preserve"> Only</w:t>
      </w:r>
      <w:bookmarkEnd w:id="1868"/>
      <w:bookmarkEnd w:id="1869"/>
      <w:bookmarkEnd w:id="1870"/>
    </w:p>
    <w:p w14:paraId="74B36C57" w14:textId="77777777" w:rsidR="00380414" w:rsidRDefault="00380414" w:rsidP="00380414">
      <w:pPr>
        <w:pStyle w:val="Heading4"/>
      </w:pPr>
      <w:r>
        <w:t>Choice of Rent</w:t>
      </w:r>
    </w:p>
    <w:p w14:paraId="225045BC" w14:textId="77777777" w:rsidR="00960190" w:rsidRDefault="00463220" w:rsidP="00C95E0C">
      <w:pPr>
        <w:widowControl w:val="0"/>
        <w:tabs>
          <w:tab w:val="left" w:pos="881"/>
        </w:tabs>
        <w:autoSpaceDE w:val="0"/>
        <w:autoSpaceDN w:val="0"/>
        <w:ind w:right="230"/>
        <w:rPr>
          <w:rFonts w:cs="Arial"/>
          <w:szCs w:val="20"/>
        </w:rPr>
      </w:pPr>
      <w:r>
        <w:rPr>
          <w:rFonts w:cs="Arial"/>
          <w:szCs w:val="20"/>
        </w:rPr>
        <w:t>At admission and each regular recertification, f</w:t>
      </w:r>
      <w:r w:rsidR="00960190">
        <w:rPr>
          <w:rFonts w:cs="Arial"/>
          <w:szCs w:val="20"/>
        </w:rPr>
        <w:t xml:space="preserve">amilies in the Excluded </w:t>
      </w:r>
      <w:r w:rsidR="007C3774">
        <w:rPr>
          <w:rFonts w:cs="Arial"/>
          <w:szCs w:val="20"/>
        </w:rPr>
        <w:t>g</w:t>
      </w:r>
      <w:r w:rsidR="00960190">
        <w:rPr>
          <w:rFonts w:cs="Arial"/>
          <w:szCs w:val="20"/>
        </w:rPr>
        <w:t xml:space="preserve">roup only will be given </w:t>
      </w:r>
      <w:r>
        <w:rPr>
          <w:rFonts w:cs="Arial"/>
          <w:szCs w:val="20"/>
        </w:rPr>
        <w:t>the choice to pay:</w:t>
      </w:r>
    </w:p>
    <w:p w14:paraId="7C900826" w14:textId="77777777" w:rsidR="00463220" w:rsidRDefault="00463220" w:rsidP="007F177E">
      <w:pPr>
        <w:pStyle w:val="ListParagraph"/>
        <w:widowControl w:val="0"/>
        <w:numPr>
          <w:ilvl w:val="0"/>
          <w:numId w:val="86"/>
        </w:numPr>
        <w:tabs>
          <w:tab w:val="left" w:pos="881"/>
        </w:tabs>
        <w:autoSpaceDE w:val="0"/>
        <w:autoSpaceDN w:val="0"/>
        <w:ind w:right="230"/>
        <w:contextualSpacing w:val="0"/>
        <w:rPr>
          <w:rFonts w:cs="Arial"/>
          <w:szCs w:val="20"/>
        </w:rPr>
      </w:pPr>
      <w:r>
        <w:rPr>
          <w:rFonts w:cs="Arial"/>
          <w:szCs w:val="20"/>
        </w:rPr>
        <w:t>Income-based rent, or</w:t>
      </w:r>
    </w:p>
    <w:p w14:paraId="3C958541" w14:textId="77777777" w:rsidR="00463220" w:rsidRPr="00463220" w:rsidRDefault="00463220" w:rsidP="007F177E">
      <w:pPr>
        <w:pStyle w:val="ListParagraph"/>
        <w:widowControl w:val="0"/>
        <w:numPr>
          <w:ilvl w:val="0"/>
          <w:numId w:val="86"/>
        </w:numPr>
        <w:tabs>
          <w:tab w:val="left" w:pos="881"/>
        </w:tabs>
        <w:autoSpaceDE w:val="0"/>
        <w:autoSpaceDN w:val="0"/>
        <w:ind w:right="230"/>
        <w:contextualSpacing w:val="0"/>
        <w:rPr>
          <w:rFonts w:cs="Arial"/>
          <w:szCs w:val="20"/>
        </w:rPr>
      </w:pPr>
      <w:r>
        <w:rPr>
          <w:rFonts w:cs="Arial"/>
          <w:szCs w:val="20"/>
        </w:rPr>
        <w:t>The HHA-determined</w:t>
      </w:r>
      <w:r w:rsidR="007C3774">
        <w:rPr>
          <w:rFonts w:cs="Arial"/>
          <w:szCs w:val="20"/>
        </w:rPr>
        <w:t>, non-tiered</w:t>
      </w:r>
      <w:r>
        <w:rPr>
          <w:rFonts w:cs="Arial"/>
          <w:szCs w:val="20"/>
        </w:rPr>
        <w:t xml:space="preserve"> flat rent.</w:t>
      </w:r>
    </w:p>
    <w:p w14:paraId="4F25D45F" w14:textId="77777777" w:rsidR="00115297" w:rsidRPr="00F5134F" w:rsidRDefault="00115297" w:rsidP="00115297">
      <w:r>
        <w:t>H</w:t>
      </w:r>
      <w:r w:rsidRPr="00270C77">
        <w:t xml:space="preserve">HA will provide sufficient information to families to make an informed choice, including the policy on changing from </w:t>
      </w:r>
      <w:r w:rsidR="0040387B">
        <w:t xml:space="preserve">non-tiered </w:t>
      </w:r>
      <w:r w:rsidRPr="00270C77">
        <w:t>flat rent to income</w:t>
      </w:r>
      <w:r w:rsidR="0040387B">
        <w:t>-</w:t>
      </w:r>
      <w:r w:rsidRPr="00270C77">
        <w:t xml:space="preserve">based rent due to financial hardship and the dollar amount of the rent under each option. </w:t>
      </w:r>
      <w:r>
        <w:t xml:space="preserve">However, if the family chose the </w:t>
      </w:r>
      <w:r w:rsidR="0040387B">
        <w:t xml:space="preserve">non-tiered </w:t>
      </w:r>
      <w:r>
        <w:t xml:space="preserve">flat rent for </w:t>
      </w:r>
      <w:r w:rsidRPr="00F5134F">
        <w:t xml:space="preserve">the previous year, </w:t>
      </w:r>
      <w:r>
        <w:t>HHA</w:t>
      </w:r>
      <w:r w:rsidRPr="00F5134F">
        <w:t xml:space="preserve"> is required to provide an income-based rent amount only in the year that a reexamination of income is conducted or if the family specifically requests it and submits updated income information. Policies related to reexamination of families paying </w:t>
      </w:r>
      <w:r w:rsidR="0040387B">
        <w:t xml:space="preserve">non-tiered </w:t>
      </w:r>
      <w:r w:rsidRPr="00F5134F">
        <w:t xml:space="preserve">flat rent are contained in the </w:t>
      </w:r>
      <w:r w:rsidR="0017250B">
        <w:t>chapter</w:t>
      </w:r>
      <w:r w:rsidRPr="00F5134F">
        <w:t xml:space="preserve"> on </w:t>
      </w:r>
      <w:r w:rsidR="00026224" w:rsidRPr="00026224">
        <w:rPr>
          <w:b/>
          <w:bCs/>
          <w:color w:val="0070C0"/>
        </w:rPr>
        <w:fldChar w:fldCharType="begin"/>
      </w:r>
      <w:r w:rsidR="00026224" w:rsidRPr="00026224">
        <w:rPr>
          <w:b/>
          <w:bCs/>
          <w:color w:val="0070C0"/>
        </w:rPr>
        <w:instrText xml:space="preserve"> REF _Ref151015710 \h  \* MERGEFORMAT </w:instrText>
      </w:r>
      <w:r w:rsidR="00026224" w:rsidRPr="00026224">
        <w:rPr>
          <w:b/>
          <w:bCs/>
          <w:color w:val="0070C0"/>
        </w:rPr>
      </w:r>
      <w:r w:rsidR="00026224" w:rsidRPr="00026224">
        <w:rPr>
          <w:b/>
          <w:bCs/>
          <w:color w:val="0070C0"/>
        </w:rPr>
        <w:fldChar w:fldCharType="separate"/>
      </w:r>
      <w:r w:rsidR="00026224" w:rsidRPr="00026224">
        <w:rPr>
          <w:b/>
          <w:bCs/>
          <w:color w:val="0070C0"/>
        </w:rPr>
        <w:t>REEXAMINATIONS AND CONTINUED OCCUPANCY</w:t>
      </w:r>
      <w:r w:rsidR="00026224" w:rsidRPr="00026224">
        <w:rPr>
          <w:b/>
          <w:bCs/>
          <w:color w:val="0070C0"/>
        </w:rPr>
        <w:fldChar w:fldCharType="end"/>
      </w:r>
      <w:r w:rsidRPr="00F5134F">
        <w:t>.</w:t>
      </w:r>
    </w:p>
    <w:p w14:paraId="79511E78" w14:textId="77777777" w:rsidR="00960190" w:rsidRDefault="00161C9E" w:rsidP="006421D2">
      <w:pPr>
        <w:pStyle w:val="Heading4"/>
      </w:pPr>
      <w:r>
        <w:t>Establishing</w:t>
      </w:r>
      <w:r w:rsidR="0040387B">
        <w:t xml:space="preserve"> Non-Tiered</w:t>
      </w:r>
      <w:r>
        <w:t xml:space="preserve"> Flat Rents</w:t>
      </w:r>
    </w:p>
    <w:p w14:paraId="380AD941" w14:textId="77777777" w:rsidR="00FB506C" w:rsidRDefault="00FB506C" w:rsidP="006421D2">
      <w:pPr>
        <w:widowControl w:val="0"/>
        <w:tabs>
          <w:tab w:val="left" w:pos="881"/>
        </w:tabs>
        <w:autoSpaceDE w:val="0"/>
        <w:autoSpaceDN w:val="0"/>
      </w:pPr>
      <w:r>
        <w:t xml:space="preserve">HHA </w:t>
      </w:r>
      <w:r w:rsidRPr="00F5134F">
        <w:t xml:space="preserve">will set the </w:t>
      </w:r>
      <w:r w:rsidR="0040387B">
        <w:t xml:space="preserve">non-tiered </w:t>
      </w:r>
      <w:r w:rsidRPr="00F5134F">
        <w:t xml:space="preserve">flat rent amount at no less than 80 percent of the applicable HUD </w:t>
      </w:r>
      <w:r w:rsidRPr="00E94C31">
        <w:rPr>
          <w:rFonts w:cs="Arial"/>
          <w:szCs w:val="20"/>
        </w:rPr>
        <w:t>Small Area Fair Market Rent</w:t>
      </w:r>
      <w:r w:rsidR="00FB4037">
        <w:rPr>
          <w:rFonts w:cs="Arial"/>
          <w:szCs w:val="20"/>
        </w:rPr>
        <w:t xml:space="preserve"> </w:t>
      </w:r>
      <w:r w:rsidRPr="00E94C31">
        <w:rPr>
          <w:rFonts w:cs="Arial"/>
          <w:szCs w:val="20"/>
        </w:rPr>
        <w:t xml:space="preserve">(SAFMR) </w:t>
      </w:r>
      <w:r w:rsidRPr="00F5134F">
        <w:t>adjusted, if necessary, to account for reasonable utility costs.</w:t>
      </w:r>
    </w:p>
    <w:p w14:paraId="133D6F9A" w14:textId="77777777" w:rsidR="007E2AFA" w:rsidRPr="00F5134F" w:rsidRDefault="007E2AFA" w:rsidP="006421D2">
      <w:pPr>
        <w:pStyle w:val="Heading4"/>
      </w:pPr>
      <w:bookmarkStart w:id="1871" w:name="_Toc106037827"/>
      <w:bookmarkStart w:id="1872" w:name="_Toc106201466"/>
      <w:bookmarkStart w:id="1873" w:name="_Toc106201985"/>
      <w:bookmarkStart w:id="1874" w:name="_Toc106202511"/>
      <w:bookmarkStart w:id="1875" w:name="_Toc113344964"/>
      <w:bookmarkStart w:id="1876" w:name="_Toc137461704"/>
      <w:bookmarkStart w:id="1877" w:name="_Toc137471295"/>
      <w:bookmarkStart w:id="1878" w:name="_Toc137471804"/>
      <w:r w:rsidRPr="00F5134F">
        <w:t xml:space="preserve">Annual Update of </w:t>
      </w:r>
      <w:r w:rsidR="0040387B">
        <w:t xml:space="preserve">Non-Tiered </w:t>
      </w:r>
      <w:r w:rsidRPr="00F5134F">
        <w:t>Flat Rents</w:t>
      </w:r>
      <w:bookmarkEnd w:id="1871"/>
      <w:bookmarkEnd w:id="1872"/>
      <w:bookmarkEnd w:id="1873"/>
      <w:bookmarkEnd w:id="1874"/>
      <w:bookmarkEnd w:id="1875"/>
      <w:bookmarkEnd w:id="1876"/>
      <w:bookmarkEnd w:id="1877"/>
      <w:bookmarkEnd w:id="1878"/>
    </w:p>
    <w:p w14:paraId="36EF2A62" w14:textId="77777777" w:rsidR="007E2AFA" w:rsidRPr="00F5134F" w:rsidRDefault="007E2AFA" w:rsidP="006421D2">
      <w:pPr>
        <w:widowControl w:val="0"/>
        <w:tabs>
          <w:tab w:val="left" w:pos="881"/>
        </w:tabs>
        <w:autoSpaceDE w:val="0"/>
        <w:autoSpaceDN w:val="0"/>
      </w:pPr>
      <w:r w:rsidRPr="00F5134F">
        <w:t xml:space="preserve">No later than 90 days after HUD publishes new annual </w:t>
      </w:r>
      <w:r>
        <w:t>SAF</w:t>
      </w:r>
      <w:r w:rsidRPr="00F5134F">
        <w:t xml:space="preserve">MRs, </w:t>
      </w:r>
      <w:r>
        <w:t>H</w:t>
      </w:r>
      <w:r w:rsidRPr="00F5134F">
        <w:t xml:space="preserve">HA will implement new </w:t>
      </w:r>
      <w:r w:rsidR="0040387B">
        <w:t xml:space="preserve">non-tiered </w:t>
      </w:r>
      <w:r w:rsidRPr="00F5134F">
        <w:t xml:space="preserve">flat rents as necessary based on changes to the </w:t>
      </w:r>
      <w:r w:rsidR="00AF002D">
        <w:t>SA</w:t>
      </w:r>
      <w:r w:rsidRPr="00F5134F">
        <w:t xml:space="preserve">FMR or request an exception. </w:t>
      </w:r>
    </w:p>
    <w:p w14:paraId="1039B75D" w14:textId="77777777" w:rsidR="007E2AFA" w:rsidRPr="00F5134F" w:rsidRDefault="007E2AFA" w:rsidP="006421D2">
      <w:pPr>
        <w:pStyle w:val="Heading4"/>
      </w:pPr>
      <w:bookmarkStart w:id="1879" w:name="_Toc494951727"/>
      <w:bookmarkStart w:id="1880" w:name="_Toc33545582"/>
      <w:bookmarkStart w:id="1881" w:name="_Toc106037828"/>
      <w:bookmarkStart w:id="1882" w:name="_Toc106201467"/>
      <w:bookmarkStart w:id="1883" w:name="_Toc106201986"/>
      <w:bookmarkStart w:id="1884" w:name="_Toc106202512"/>
      <w:bookmarkStart w:id="1885" w:name="_Toc113344965"/>
      <w:bookmarkStart w:id="1886" w:name="_Toc137461705"/>
      <w:bookmarkStart w:id="1887" w:name="_Toc137471296"/>
      <w:bookmarkStart w:id="1888" w:name="_Toc137471805"/>
      <w:r w:rsidRPr="00F5134F">
        <w:t>Posting of</w:t>
      </w:r>
      <w:r w:rsidR="0040387B">
        <w:t xml:space="preserve"> Non-Tiered</w:t>
      </w:r>
      <w:r w:rsidRPr="00F5134F">
        <w:t xml:space="preserve"> Flat Rents</w:t>
      </w:r>
      <w:bookmarkEnd w:id="1879"/>
      <w:bookmarkEnd w:id="1880"/>
      <w:bookmarkEnd w:id="1881"/>
      <w:bookmarkEnd w:id="1882"/>
      <w:bookmarkEnd w:id="1883"/>
      <w:bookmarkEnd w:id="1884"/>
      <w:bookmarkEnd w:id="1885"/>
      <w:bookmarkEnd w:id="1886"/>
      <w:bookmarkEnd w:id="1887"/>
      <w:bookmarkEnd w:id="1888"/>
    </w:p>
    <w:p w14:paraId="113C2263" w14:textId="77777777" w:rsidR="007E2AFA" w:rsidRPr="00F5134F" w:rsidRDefault="00AF002D" w:rsidP="006421D2">
      <w:pPr>
        <w:widowControl w:val="0"/>
        <w:tabs>
          <w:tab w:val="left" w:pos="881"/>
        </w:tabs>
        <w:autoSpaceDE w:val="0"/>
        <w:autoSpaceDN w:val="0"/>
      </w:pPr>
      <w:r>
        <w:t>HHA</w:t>
      </w:r>
      <w:r w:rsidR="007E2AFA" w:rsidRPr="00F5134F">
        <w:t xml:space="preserve"> will publicly post the schedule of </w:t>
      </w:r>
      <w:r w:rsidR="0040387B">
        <w:t xml:space="preserve">non-tiered </w:t>
      </w:r>
      <w:r w:rsidR="007E2AFA" w:rsidRPr="00F5134F">
        <w:t xml:space="preserve">flat rents in </w:t>
      </w:r>
      <w:r>
        <w:t>HHA</w:t>
      </w:r>
      <w:r w:rsidR="007E2AFA" w:rsidRPr="00F5134F">
        <w:t>’s central office and in each of the development management offices.</w:t>
      </w:r>
    </w:p>
    <w:p w14:paraId="4AFFDAE6" w14:textId="77777777" w:rsidR="007E2AFA" w:rsidRPr="00FC2252" w:rsidRDefault="007E2AFA" w:rsidP="006421D2">
      <w:pPr>
        <w:pStyle w:val="Heading4"/>
      </w:pPr>
      <w:bookmarkStart w:id="1889" w:name="_Toc494951728"/>
      <w:bookmarkStart w:id="1890" w:name="_Toc33545583"/>
      <w:bookmarkStart w:id="1891" w:name="_Toc106037829"/>
      <w:bookmarkStart w:id="1892" w:name="_Toc106201468"/>
      <w:bookmarkStart w:id="1893" w:name="_Toc106201987"/>
      <w:bookmarkStart w:id="1894" w:name="_Toc106202513"/>
      <w:bookmarkStart w:id="1895" w:name="_Toc113344966"/>
      <w:bookmarkStart w:id="1896" w:name="_Toc137461706"/>
      <w:bookmarkStart w:id="1897" w:name="_Toc137471297"/>
      <w:bookmarkStart w:id="1898" w:name="_Toc137471806"/>
      <w:r w:rsidRPr="00FC2252">
        <w:t xml:space="preserve">Documentation of </w:t>
      </w:r>
      <w:r w:rsidR="0040387B">
        <w:t xml:space="preserve">Non-Tiered </w:t>
      </w:r>
      <w:r w:rsidRPr="00FC2252">
        <w:t>Flat Rents</w:t>
      </w:r>
      <w:bookmarkEnd w:id="1889"/>
      <w:bookmarkEnd w:id="1890"/>
      <w:bookmarkEnd w:id="1891"/>
      <w:bookmarkEnd w:id="1892"/>
      <w:bookmarkEnd w:id="1893"/>
      <w:bookmarkEnd w:id="1894"/>
      <w:bookmarkEnd w:id="1895"/>
      <w:bookmarkEnd w:id="1896"/>
      <w:bookmarkEnd w:id="1897"/>
      <w:bookmarkEnd w:id="1898"/>
    </w:p>
    <w:p w14:paraId="547D8677" w14:textId="77777777" w:rsidR="007E2AFA" w:rsidRDefault="00AF002D" w:rsidP="006421D2">
      <w:pPr>
        <w:widowControl w:val="0"/>
        <w:tabs>
          <w:tab w:val="left" w:pos="881"/>
        </w:tabs>
        <w:autoSpaceDE w:val="0"/>
        <w:autoSpaceDN w:val="0"/>
      </w:pPr>
      <w:r>
        <w:t>HHA</w:t>
      </w:r>
      <w:r w:rsidR="007E2AFA" w:rsidRPr="00382024">
        <w:t xml:space="preserve"> will maintain records that document the method used to determine flat rents, and that show how flat rents were determined by </w:t>
      </w:r>
      <w:r>
        <w:t>HHA</w:t>
      </w:r>
      <w:r w:rsidR="007E2AFA" w:rsidRPr="00382024">
        <w:t xml:space="preserve"> in accordance with t</w:t>
      </w:r>
      <w:r w:rsidR="007E2AFA">
        <w:t xml:space="preserve">he </w:t>
      </w:r>
      <w:r w:rsidR="007E2AFA" w:rsidRPr="00382024">
        <w:t>method</w:t>
      </w:r>
      <w:r w:rsidR="007E2AFA">
        <w:t xml:space="preserve"> in this ACOP</w:t>
      </w:r>
      <w:r w:rsidR="007E2AFA" w:rsidRPr="00382024">
        <w:t>.</w:t>
      </w:r>
    </w:p>
    <w:p w14:paraId="6E9C660F" w14:textId="77777777" w:rsidR="004365A0" w:rsidRPr="006F4CBD" w:rsidRDefault="004365A0" w:rsidP="00FD6FD3">
      <w:pPr>
        <w:pStyle w:val="Heading4"/>
      </w:pPr>
      <w:bookmarkStart w:id="1899" w:name="_Toc494951730"/>
      <w:bookmarkStart w:id="1900" w:name="_Toc33545584"/>
      <w:bookmarkStart w:id="1901" w:name="_Ref103264403"/>
      <w:bookmarkStart w:id="1902" w:name="_Ref103264544"/>
      <w:bookmarkStart w:id="1903" w:name="_Toc106037830"/>
      <w:bookmarkStart w:id="1904" w:name="_Toc106201469"/>
      <w:bookmarkStart w:id="1905" w:name="_Toc106201988"/>
      <w:bookmarkStart w:id="1906" w:name="_Toc106202514"/>
      <w:bookmarkStart w:id="1907" w:name="_Toc113344968"/>
      <w:bookmarkStart w:id="1908" w:name="_Toc137461708"/>
      <w:bookmarkStart w:id="1909" w:name="_Toc137471299"/>
      <w:bookmarkStart w:id="1910" w:name="_Toc137471808"/>
      <w:bookmarkStart w:id="1911" w:name="_Ref160536800"/>
      <w:r w:rsidRPr="006F4CBD">
        <w:t xml:space="preserve">Changing </w:t>
      </w:r>
      <w:r w:rsidR="00FD6FD3">
        <w:t>f</w:t>
      </w:r>
      <w:r w:rsidRPr="006F4CBD">
        <w:t xml:space="preserve">rom </w:t>
      </w:r>
      <w:r w:rsidR="00FD6FD3">
        <w:t xml:space="preserve">Non-Tiered </w:t>
      </w:r>
      <w:r w:rsidRPr="006F4CBD">
        <w:t xml:space="preserve">Flat Rent to Income-Based Rent Due </w:t>
      </w:r>
      <w:r>
        <w:t>t</w:t>
      </w:r>
      <w:r w:rsidRPr="006F4CBD">
        <w:t>o Hardship</w:t>
      </w:r>
      <w:bookmarkEnd w:id="1899"/>
      <w:bookmarkEnd w:id="1900"/>
      <w:bookmarkEnd w:id="1901"/>
      <w:bookmarkEnd w:id="1902"/>
      <w:bookmarkEnd w:id="1903"/>
      <w:bookmarkEnd w:id="1904"/>
      <w:bookmarkEnd w:id="1905"/>
      <w:bookmarkEnd w:id="1906"/>
      <w:bookmarkEnd w:id="1907"/>
      <w:bookmarkEnd w:id="1908"/>
      <w:bookmarkEnd w:id="1909"/>
      <w:bookmarkEnd w:id="1910"/>
      <w:bookmarkEnd w:id="1911"/>
    </w:p>
    <w:p w14:paraId="01043DB2" w14:textId="77777777" w:rsidR="004365A0" w:rsidRPr="006F4CBD" w:rsidRDefault="004365A0" w:rsidP="004365A0">
      <w:r w:rsidRPr="006F4CBD">
        <w:t>A family can opt to change from flat rent to income-based rent if they are unable to pay the flat rent due to financial hardship. All hardship situations will be verified.</w:t>
      </w:r>
    </w:p>
    <w:p w14:paraId="1ABF8D0A" w14:textId="77777777" w:rsidR="004365A0" w:rsidRPr="006F4CBD" w:rsidRDefault="004365A0" w:rsidP="004365A0">
      <w:r w:rsidRPr="006F4CBD">
        <w:t xml:space="preserve">Upon determination by </w:t>
      </w:r>
      <w:r>
        <w:t>H</w:t>
      </w:r>
      <w:r w:rsidRPr="006F4CBD">
        <w:t xml:space="preserve">HA that a financial hardship exists, </w:t>
      </w:r>
      <w:r>
        <w:t>H</w:t>
      </w:r>
      <w:r w:rsidRPr="006F4CBD">
        <w:t xml:space="preserve">HA will allow a family to change from flat rent to income-based rent effective the first of the month following the family’s approved request. </w:t>
      </w:r>
      <w:r w:rsidR="006C5D4F">
        <w:t xml:space="preserve">See </w:t>
      </w:r>
      <w:r w:rsidR="006C5D4F" w:rsidRPr="006C5D4F">
        <w:rPr>
          <w:b/>
          <w:bCs/>
          <w:color w:val="0070C0"/>
        </w:rPr>
        <w:fldChar w:fldCharType="begin"/>
      </w:r>
      <w:r w:rsidR="006C5D4F" w:rsidRPr="006C5D4F">
        <w:rPr>
          <w:b/>
          <w:bCs/>
          <w:color w:val="0070C0"/>
        </w:rPr>
        <w:instrText xml:space="preserve"> REF _Ref160536670 \h </w:instrText>
      </w:r>
      <w:r w:rsidR="006C5D4F">
        <w:rPr>
          <w:b/>
          <w:bCs/>
          <w:color w:val="0070C0"/>
        </w:rPr>
        <w:instrText xml:space="preserve"> \* MERGEFORMAT </w:instrText>
      </w:r>
      <w:r w:rsidR="006C5D4F" w:rsidRPr="006C5D4F">
        <w:rPr>
          <w:b/>
          <w:bCs/>
          <w:color w:val="0070C0"/>
        </w:rPr>
      </w:r>
      <w:r w:rsidR="006C5D4F" w:rsidRPr="006C5D4F">
        <w:rPr>
          <w:b/>
          <w:bCs/>
          <w:color w:val="0070C0"/>
        </w:rPr>
        <w:fldChar w:fldCharType="separate"/>
      </w:r>
      <w:r w:rsidR="006C5D4F" w:rsidRPr="006C5D4F">
        <w:rPr>
          <w:b/>
          <w:bCs/>
          <w:color w:val="0070C0"/>
        </w:rPr>
        <w:t>Non-Tiered Flat Rent Hardship</w:t>
      </w:r>
      <w:r w:rsidR="006C5D4F" w:rsidRPr="006C5D4F">
        <w:rPr>
          <w:b/>
          <w:bCs/>
          <w:color w:val="0070C0"/>
        </w:rPr>
        <w:fldChar w:fldCharType="end"/>
      </w:r>
      <w:r w:rsidR="006C5D4F">
        <w:t>.</w:t>
      </w:r>
    </w:p>
    <w:p w14:paraId="41927507" w14:textId="77777777" w:rsidR="004365A0" w:rsidRPr="006F4CBD" w:rsidRDefault="004365A0" w:rsidP="004365A0">
      <w:r w:rsidRPr="006F4CBD">
        <w:t>If a family changes from flat rent to an income-based rent due to a financial hardship, the family will not be offered the option to change back to flat rent until the next regular reexamination.</w:t>
      </w:r>
    </w:p>
    <w:p w14:paraId="2AA05BF5" w14:textId="77777777" w:rsidR="004365A0" w:rsidRPr="006F4CBD" w:rsidRDefault="004365A0" w:rsidP="004365A0">
      <w:r w:rsidRPr="006F4CBD">
        <w:t>Reasons for financial hardship include:</w:t>
      </w:r>
    </w:p>
    <w:p w14:paraId="64F49008" w14:textId="77777777" w:rsidR="004365A0" w:rsidRPr="006F4CBD" w:rsidRDefault="004365A0" w:rsidP="007F177E">
      <w:pPr>
        <w:pStyle w:val="ListParagraph"/>
        <w:numPr>
          <w:ilvl w:val="0"/>
          <w:numId w:val="190"/>
        </w:numPr>
        <w:contextualSpacing w:val="0"/>
      </w:pPr>
      <w:r w:rsidRPr="006F4CBD">
        <w:t xml:space="preserve">The family has experienced a decrease in income because of changed circumstances, including loss or reduction of employment, death in the family, or reduction in or loss of earnings or other assistance; </w:t>
      </w:r>
    </w:p>
    <w:p w14:paraId="15466E6E" w14:textId="77777777" w:rsidR="004365A0" w:rsidRPr="006F4CBD" w:rsidRDefault="004365A0" w:rsidP="007F177E">
      <w:pPr>
        <w:pStyle w:val="ListParagraph"/>
        <w:numPr>
          <w:ilvl w:val="0"/>
          <w:numId w:val="190"/>
        </w:numPr>
        <w:contextualSpacing w:val="0"/>
      </w:pPr>
      <w:r w:rsidRPr="006F4CBD">
        <w:t>The family has experienced an increase in expenses, because of changed circumstances, for medical costs, child care, transportation, education, or similar; or</w:t>
      </w:r>
    </w:p>
    <w:p w14:paraId="4A073E8A" w14:textId="77777777" w:rsidR="004365A0" w:rsidRPr="006F4CBD" w:rsidRDefault="004365A0" w:rsidP="007F177E">
      <w:pPr>
        <w:pStyle w:val="ListParagraph"/>
        <w:numPr>
          <w:ilvl w:val="0"/>
          <w:numId w:val="190"/>
        </w:numPr>
        <w:contextualSpacing w:val="0"/>
      </w:pPr>
      <w:r w:rsidRPr="006F4CBD">
        <w:t xml:space="preserve">Such other situations determined by </w:t>
      </w:r>
      <w:r>
        <w:t>H</w:t>
      </w:r>
      <w:r w:rsidRPr="006F4CBD">
        <w:t>HA as appropriate.</w:t>
      </w:r>
    </w:p>
    <w:p w14:paraId="12F7000A" w14:textId="77777777" w:rsidR="00DA5DB2" w:rsidRDefault="00C74247" w:rsidP="00BB64BD">
      <w:pPr>
        <w:pStyle w:val="Heading2"/>
      </w:pPr>
      <w:bookmarkStart w:id="1912" w:name="_Ref165031697"/>
      <w:bookmarkStart w:id="1913" w:name="_Ref165031725"/>
      <w:bookmarkStart w:id="1914" w:name="_Toc173222723"/>
      <w:bookmarkStart w:id="1915" w:name="_Toc200375721"/>
      <w:bookmarkStart w:id="1916" w:name="_Toc200376989"/>
      <w:r>
        <w:t>Treatment Group</w:t>
      </w:r>
      <w:bookmarkEnd w:id="1912"/>
      <w:bookmarkEnd w:id="1913"/>
      <w:bookmarkEnd w:id="1914"/>
      <w:bookmarkEnd w:id="1915"/>
      <w:bookmarkEnd w:id="1916"/>
    </w:p>
    <w:p w14:paraId="28C9332F" w14:textId="77777777" w:rsidR="00C74247" w:rsidRDefault="00717BC6" w:rsidP="00A346D3">
      <w:pPr>
        <w:rPr>
          <w:rFonts w:cs="Arial"/>
        </w:rPr>
      </w:pPr>
      <w:r>
        <w:rPr>
          <w:rFonts w:cs="Arial"/>
        </w:rPr>
        <w:t xml:space="preserve">Tenant rent for the Treatment Group is based on a HUD-approved Tiered </w:t>
      </w:r>
      <w:r w:rsidR="0079278D">
        <w:rPr>
          <w:rFonts w:cs="Arial"/>
        </w:rPr>
        <w:t xml:space="preserve">Flat </w:t>
      </w:r>
      <w:r>
        <w:rPr>
          <w:rFonts w:cs="Arial"/>
        </w:rPr>
        <w:t>Rent model</w:t>
      </w:r>
      <w:r w:rsidR="00D951D7">
        <w:rPr>
          <w:rFonts w:cs="Arial"/>
        </w:rPr>
        <w:t>.</w:t>
      </w:r>
    </w:p>
    <w:p w14:paraId="49BD6AB7" w14:textId="77777777" w:rsidR="00860598" w:rsidRDefault="00860598" w:rsidP="00677451">
      <w:pPr>
        <w:pStyle w:val="Heading3"/>
      </w:pPr>
      <w:bookmarkStart w:id="1917" w:name="_Toc200375722"/>
      <w:r>
        <w:t>Total Tenant Payment (TTP)</w:t>
      </w:r>
      <w:bookmarkEnd w:id="1917"/>
    </w:p>
    <w:p w14:paraId="02B3C3C1" w14:textId="77777777" w:rsidR="00860598" w:rsidRDefault="00CA6661" w:rsidP="00332E34">
      <w:pPr>
        <w:rPr>
          <w:rFonts w:cs="Arial"/>
        </w:rPr>
      </w:pPr>
      <w:r>
        <w:rPr>
          <w:rFonts w:cs="Arial"/>
        </w:rPr>
        <w:t>For the Treatment Group, TTP is determined differently, based on whether the family is a new admission or existing participant.</w:t>
      </w:r>
    </w:p>
    <w:p w14:paraId="45696B5A" w14:textId="77777777" w:rsidR="002513EE" w:rsidRPr="002513EE" w:rsidRDefault="008B23F1" w:rsidP="007F177E">
      <w:pPr>
        <w:pStyle w:val="ListParagraph"/>
        <w:numPr>
          <w:ilvl w:val="0"/>
          <w:numId w:val="87"/>
        </w:numPr>
        <w:contextualSpacing w:val="0"/>
        <w:rPr>
          <w:rFonts w:cs="Arial"/>
        </w:rPr>
      </w:pPr>
      <w:r w:rsidRPr="002513EE">
        <w:rPr>
          <w:rFonts w:cs="Arial"/>
        </w:rPr>
        <w:t xml:space="preserve">For </w:t>
      </w:r>
      <w:r w:rsidRPr="002513EE">
        <w:rPr>
          <w:rFonts w:cs="Arial"/>
          <w:b/>
          <w:bCs/>
        </w:rPr>
        <w:t>new admissions</w:t>
      </w:r>
      <w:r w:rsidRPr="002513EE">
        <w:rPr>
          <w:rFonts w:cs="Arial"/>
        </w:rPr>
        <w:t xml:space="preserve">, </w:t>
      </w:r>
      <w:r w:rsidRPr="00A2158C">
        <w:t xml:space="preserve">the tiered rent policy is based on </w:t>
      </w:r>
      <w:r w:rsidRPr="002513EE">
        <w:rPr>
          <w:b/>
          <w:bCs/>
        </w:rPr>
        <w:t>current gross income</w:t>
      </w:r>
      <w:r w:rsidRPr="00A2158C">
        <w:t xml:space="preserve"> with no deductions or allowances and establishes a single TTP for each $2,000 income tier.  </w:t>
      </w:r>
    </w:p>
    <w:p w14:paraId="784823ED" w14:textId="77777777" w:rsidR="00F6420B" w:rsidRPr="002513EE" w:rsidRDefault="00080760" w:rsidP="007F177E">
      <w:pPr>
        <w:pStyle w:val="ListParagraph"/>
        <w:numPr>
          <w:ilvl w:val="0"/>
          <w:numId w:val="87"/>
        </w:numPr>
        <w:contextualSpacing w:val="0"/>
        <w:rPr>
          <w:rFonts w:cs="Arial"/>
        </w:rPr>
      </w:pPr>
      <w:r w:rsidRPr="002513EE">
        <w:rPr>
          <w:rFonts w:cs="Arial"/>
        </w:rPr>
        <w:t xml:space="preserve">For </w:t>
      </w:r>
      <w:r w:rsidRPr="002513EE">
        <w:rPr>
          <w:rFonts w:cs="Arial"/>
          <w:b/>
          <w:bCs/>
        </w:rPr>
        <w:t>existing participants</w:t>
      </w:r>
      <w:r w:rsidRPr="002513EE">
        <w:rPr>
          <w:rFonts w:cs="Arial"/>
        </w:rPr>
        <w:t xml:space="preserve">, </w:t>
      </w:r>
      <w:r w:rsidR="00332E34" w:rsidRPr="00A2158C">
        <w:t xml:space="preserve">HHA’s tiered rent policy is based on </w:t>
      </w:r>
      <w:r w:rsidR="00332E34" w:rsidRPr="002513EE">
        <w:rPr>
          <w:b/>
          <w:bCs/>
        </w:rPr>
        <w:t>retrospective gross household income</w:t>
      </w:r>
      <w:r w:rsidR="00332E34" w:rsidRPr="00A2158C">
        <w:t xml:space="preserve"> with no deductions or allowances (except where hardship applies).  </w:t>
      </w:r>
    </w:p>
    <w:p w14:paraId="02972FD7" w14:textId="77777777" w:rsidR="005B33E7" w:rsidRPr="005B33E7" w:rsidRDefault="00741CAF" w:rsidP="005B33E7">
      <w:pPr>
        <w:rPr>
          <w:rFonts w:cs="Arial"/>
        </w:rPr>
      </w:pPr>
      <w:r w:rsidRPr="005B33E7">
        <w:rPr>
          <w:rFonts w:cs="Arial"/>
        </w:rPr>
        <w:t xml:space="preserve">Except for the two lowest income tiers which reflect the minimum rent, </w:t>
      </w:r>
      <w:r>
        <w:rPr>
          <w:rFonts w:cs="Arial"/>
        </w:rPr>
        <w:t>f</w:t>
      </w:r>
      <w:r w:rsidR="00F6420B" w:rsidRPr="005B33E7">
        <w:rPr>
          <w:rFonts w:cs="Arial"/>
        </w:rPr>
        <w:t xml:space="preserve">or both new admissions and existing participants, </w:t>
      </w:r>
      <w:r w:rsidR="00332E34" w:rsidRPr="005B33E7">
        <w:rPr>
          <w:rFonts w:cs="Arial"/>
        </w:rPr>
        <w:t>TTP is set at 28% of the bottom of the tier.</w:t>
      </w:r>
      <w:r>
        <w:rPr>
          <w:rFonts w:cs="Arial"/>
        </w:rPr>
        <w:t xml:space="preserve"> </w:t>
      </w:r>
      <w:r w:rsidRPr="005B33E7">
        <w:rPr>
          <w:rFonts w:cs="Arial"/>
        </w:rPr>
        <w:t xml:space="preserve">Tiered rents </w:t>
      </w:r>
      <w:r>
        <w:rPr>
          <w:rFonts w:cs="Arial"/>
        </w:rPr>
        <w:t>are</w:t>
      </w:r>
      <w:r w:rsidRPr="005B33E7">
        <w:rPr>
          <w:rFonts w:cs="Arial"/>
        </w:rPr>
        <w:t xml:space="preserve"> capped at the flat rent.</w:t>
      </w:r>
      <w:r>
        <w:rPr>
          <w:rFonts w:cs="Arial"/>
        </w:rPr>
        <w:t xml:space="preserve"> </w:t>
      </w:r>
      <w:r w:rsidR="005B33E7" w:rsidRPr="005B33E7">
        <w:rPr>
          <w:rFonts w:cs="Arial"/>
        </w:rPr>
        <w:t xml:space="preserve">See </w:t>
      </w:r>
      <w:r w:rsidRPr="00741CAF">
        <w:rPr>
          <w:rFonts w:cs="Arial"/>
          <w:b/>
          <w:bCs/>
          <w:color w:val="0070C0"/>
        </w:rPr>
        <w:fldChar w:fldCharType="begin"/>
      </w:r>
      <w:r w:rsidRPr="00741CAF">
        <w:rPr>
          <w:rFonts w:cs="Arial"/>
          <w:b/>
          <w:bCs/>
          <w:color w:val="0070C0"/>
        </w:rPr>
        <w:instrText xml:space="preserve"> REF _Ref148701954 \h </w:instrText>
      </w:r>
      <w:r>
        <w:rPr>
          <w:rFonts w:cs="Arial"/>
          <w:b/>
          <w:bCs/>
          <w:color w:val="0070C0"/>
        </w:rPr>
        <w:instrText xml:space="preserve"> \* MERGEFORMAT </w:instrText>
      </w:r>
      <w:r w:rsidRPr="00741CAF">
        <w:rPr>
          <w:rFonts w:cs="Arial"/>
          <w:b/>
          <w:bCs/>
          <w:color w:val="0070C0"/>
        </w:rPr>
      </w:r>
      <w:r w:rsidRPr="00741CAF">
        <w:rPr>
          <w:rFonts w:cs="Arial"/>
          <w:b/>
          <w:bCs/>
          <w:color w:val="0070C0"/>
        </w:rPr>
        <w:fldChar w:fldCharType="separate"/>
      </w:r>
      <w:r w:rsidRPr="00741CAF">
        <w:rPr>
          <w:b/>
          <w:bCs/>
          <w:color w:val="0070C0"/>
        </w:rPr>
        <w:t>APPENDIX E: TIERED RENT TABLE</w:t>
      </w:r>
      <w:r w:rsidRPr="00741CAF">
        <w:rPr>
          <w:rFonts w:cs="Arial"/>
          <w:b/>
          <w:bCs/>
          <w:color w:val="0070C0"/>
        </w:rPr>
        <w:fldChar w:fldCharType="end"/>
      </w:r>
      <w:r>
        <w:rPr>
          <w:rFonts w:cs="Arial"/>
        </w:rPr>
        <w:t xml:space="preserve">. </w:t>
      </w:r>
    </w:p>
    <w:p w14:paraId="7D12FE94" w14:textId="77777777" w:rsidR="0081496D" w:rsidRDefault="005B33E7" w:rsidP="0081496D">
      <w:pPr>
        <w:pStyle w:val="TableParagraph"/>
        <w:spacing w:after="160" w:line="259" w:lineRule="auto"/>
        <w:ind w:right="98"/>
        <w:jc w:val="both"/>
        <w:rPr>
          <w:rFonts w:ascii="Arial" w:hAnsi="Arial" w:cs="Arial"/>
        </w:rPr>
      </w:pPr>
      <w:r w:rsidRPr="005B33E7">
        <w:rPr>
          <w:rFonts w:ascii="Arial" w:hAnsi="Arial" w:cs="Arial"/>
        </w:rPr>
        <w:t>Under the tiered rent model, interim recertifications are not completed</w:t>
      </w:r>
      <w:r w:rsidR="0081496D">
        <w:rPr>
          <w:rFonts w:ascii="Arial" w:hAnsi="Arial" w:cs="Arial"/>
        </w:rPr>
        <w:t>. H</w:t>
      </w:r>
      <w:r w:rsidRPr="005B33E7">
        <w:rPr>
          <w:rFonts w:ascii="Arial" w:hAnsi="Arial" w:cs="Arial"/>
        </w:rPr>
        <w:t>owever, under certain circumstances, households may request a hardship TTP/rent</w:t>
      </w:r>
      <w:r w:rsidR="0081496D">
        <w:rPr>
          <w:rFonts w:ascii="Arial" w:hAnsi="Arial" w:cs="Arial"/>
        </w:rPr>
        <w:t xml:space="preserve"> (s</w:t>
      </w:r>
      <w:r w:rsidRPr="005B33E7">
        <w:rPr>
          <w:rFonts w:ascii="Arial" w:hAnsi="Arial" w:cs="Arial"/>
        </w:rPr>
        <w:t>ee</w:t>
      </w:r>
      <w:r w:rsidRPr="005B33E7">
        <w:rPr>
          <w:rFonts w:ascii="Arial" w:hAnsi="Arial" w:cs="Arial"/>
          <w:b/>
          <w:bCs/>
          <w:color w:val="0070C0"/>
        </w:rPr>
        <w:t xml:space="preserve"> </w:t>
      </w:r>
      <w:r w:rsidR="00026224" w:rsidRPr="00026224">
        <w:rPr>
          <w:rFonts w:ascii="Arial" w:hAnsi="Arial" w:cs="Arial"/>
          <w:b/>
          <w:bCs/>
          <w:color w:val="0070C0"/>
        </w:rPr>
        <w:fldChar w:fldCharType="begin"/>
      </w:r>
      <w:r w:rsidR="00026224" w:rsidRPr="00026224">
        <w:rPr>
          <w:rFonts w:ascii="Arial" w:hAnsi="Arial" w:cs="Arial"/>
          <w:b/>
          <w:bCs/>
          <w:color w:val="0070C0"/>
        </w:rPr>
        <w:instrText xml:space="preserve"> REF _Ref151016269 \h  \* MERGEFORMAT </w:instrText>
      </w:r>
      <w:r w:rsidR="00026224" w:rsidRPr="00026224">
        <w:rPr>
          <w:rFonts w:ascii="Arial" w:hAnsi="Arial" w:cs="Arial"/>
          <w:b/>
          <w:bCs/>
          <w:color w:val="0070C0"/>
        </w:rPr>
      </w:r>
      <w:r w:rsidR="00026224" w:rsidRPr="00026224">
        <w:rPr>
          <w:rFonts w:ascii="Arial" w:hAnsi="Arial" w:cs="Arial"/>
          <w:b/>
          <w:bCs/>
          <w:color w:val="0070C0"/>
        </w:rPr>
        <w:fldChar w:fldCharType="separate"/>
      </w:r>
      <w:r w:rsidR="00026224" w:rsidRPr="00026224">
        <w:rPr>
          <w:rFonts w:ascii="Arial" w:hAnsi="Arial" w:cs="Arial"/>
          <w:b/>
          <w:bCs/>
          <w:color w:val="0070C0"/>
        </w:rPr>
        <w:t>HARDSHIP POLICIES</w:t>
      </w:r>
      <w:r w:rsidR="00026224" w:rsidRPr="00026224">
        <w:rPr>
          <w:rFonts w:ascii="Arial" w:hAnsi="Arial" w:cs="Arial"/>
          <w:b/>
          <w:bCs/>
          <w:color w:val="0070C0"/>
        </w:rPr>
        <w:fldChar w:fldCharType="end"/>
      </w:r>
      <w:r w:rsidR="0081496D" w:rsidRPr="00026224">
        <w:rPr>
          <w:rFonts w:ascii="Arial" w:hAnsi="Arial" w:cs="Arial"/>
        </w:rPr>
        <w:t xml:space="preserve">). </w:t>
      </w:r>
      <w:r w:rsidR="0081496D" w:rsidRPr="005B33E7">
        <w:rPr>
          <w:rFonts w:ascii="Arial" w:hAnsi="Arial" w:cs="Arial"/>
        </w:rPr>
        <w:t>Income increases between regular recertifications will not result in rent increases.</w:t>
      </w:r>
    </w:p>
    <w:p w14:paraId="5CBD6BCD" w14:textId="77777777" w:rsidR="003D7745" w:rsidRPr="00A2158C" w:rsidRDefault="003D7745" w:rsidP="00677451">
      <w:pPr>
        <w:pStyle w:val="Heading3"/>
      </w:pPr>
      <w:bookmarkStart w:id="1918" w:name="_Toc137809048"/>
      <w:bookmarkStart w:id="1919" w:name="_Toc137809590"/>
      <w:bookmarkStart w:id="1920" w:name="_Toc137809834"/>
      <w:bookmarkStart w:id="1921" w:name="_Toc137810146"/>
      <w:bookmarkStart w:id="1922" w:name="_Toc138429479"/>
      <w:bookmarkStart w:id="1923" w:name="_Toc138430314"/>
      <w:bookmarkStart w:id="1924" w:name="_Toc138860568"/>
      <w:bookmarkStart w:id="1925" w:name="_Toc147141866"/>
      <w:bookmarkStart w:id="1926" w:name="_Toc200375723"/>
      <w:r w:rsidRPr="00A2158C">
        <w:t>Tenant Rent</w:t>
      </w:r>
      <w:bookmarkEnd w:id="1918"/>
      <w:bookmarkEnd w:id="1919"/>
      <w:bookmarkEnd w:id="1920"/>
      <w:bookmarkEnd w:id="1921"/>
      <w:bookmarkEnd w:id="1922"/>
      <w:bookmarkEnd w:id="1923"/>
      <w:bookmarkEnd w:id="1924"/>
      <w:bookmarkEnd w:id="1925"/>
      <w:bookmarkEnd w:id="1926"/>
    </w:p>
    <w:p w14:paraId="69DD87F0" w14:textId="77777777" w:rsidR="00567ECE" w:rsidRPr="002C0EE0" w:rsidRDefault="00567ECE" w:rsidP="00567ECE">
      <w:pPr>
        <w:rPr>
          <w:rFonts w:cs="Arial"/>
          <w:szCs w:val="20"/>
        </w:rPr>
      </w:pPr>
      <w:bookmarkStart w:id="1927" w:name="_Toc111092534"/>
      <w:bookmarkStart w:id="1928" w:name="_Toc114067499"/>
      <w:bookmarkStart w:id="1929" w:name="_Toc119412713"/>
      <w:bookmarkStart w:id="1930" w:name="_Toc137809051"/>
      <w:bookmarkStart w:id="1931" w:name="_Toc137809593"/>
      <w:bookmarkStart w:id="1932" w:name="_Toc137809837"/>
      <w:bookmarkStart w:id="1933" w:name="_Toc137810149"/>
      <w:bookmarkStart w:id="1934" w:name="_Toc138429482"/>
      <w:bookmarkStart w:id="1935" w:name="_Toc138430317"/>
      <w:bookmarkStart w:id="1936" w:name="_Toc138856471"/>
      <w:bookmarkStart w:id="1937" w:name="_Toc138857765"/>
      <w:bookmarkStart w:id="1938" w:name="_Toc138860571"/>
      <w:bookmarkStart w:id="1939" w:name="_Toc147141869"/>
      <w:r w:rsidRPr="00543C22">
        <w:rPr>
          <w:rFonts w:cs="Arial"/>
          <w:szCs w:val="20"/>
        </w:rPr>
        <w:t xml:space="preserve">If the family is occupying an apartment that has </w:t>
      </w:r>
      <w:r w:rsidRPr="002C0EE0">
        <w:rPr>
          <w:rFonts w:cs="Arial"/>
          <w:b/>
          <w:bCs/>
          <w:szCs w:val="20"/>
        </w:rPr>
        <w:t>tenant-paid utilities</w:t>
      </w:r>
      <w:r w:rsidRPr="00543C22">
        <w:rPr>
          <w:rFonts w:cs="Arial"/>
          <w:szCs w:val="20"/>
        </w:rPr>
        <w:t xml:space="preserve">, the </w:t>
      </w:r>
      <w:r>
        <w:rPr>
          <w:rFonts w:cs="Arial"/>
          <w:szCs w:val="20"/>
        </w:rPr>
        <w:t xml:space="preserve">tenant rent is the TTP minus the </w:t>
      </w:r>
      <w:r w:rsidRPr="00543C22">
        <w:rPr>
          <w:rFonts w:cs="Arial"/>
          <w:szCs w:val="20"/>
        </w:rPr>
        <w:t xml:space="preserve">utility allowance. </w:t>
      </w:r>
      <w:r w:rsidRPr="002C0EE0">
        <w:rPr>
          <w:rFonts w:cs="Arial"/>
          <w:szCs w:val="20"/>
        </w:rPr>
        <w:t xml:space="preserve">If the tenant rent is a negative number, the family receives a </w:t>
      </w:r>
      <w:r w:rsidRPr="00567ECE">
        <w:rPr>
          <w:rFonts w:cs="Arial"/>
          <w:b/>
          <w:bCs/>
          <w:color w:val="0070C0"/>
          <w:szCs w:val="20"/>
        </w:rPr>
        <w:fldChar w:fldCharType="begin"/>
      </w:r>
      <w:r w:rsidRPr="00567ECE">
        <w:rPr>
          <w:rFonts w:cs="Arial"/>
          <w:b/>
          <w:bCs/>
          <w:color w:val="0070C0"/>
          <w:szCs w:val="20"/>
        </w:rPr>
        <w:instrText xml:space="preserve"> REF _Ref148702200 \h  \* MERGEFORMAT </w:instrText>
      </w:r>
      <w:r w:rsidRPr="00567ECE">
        <w:rPr>
          <w:rFonts w:cs="Arial"/>
          <w:b/>
          <w:bCs/>
          <w:color w:val="0070C0"/>
          <w:szCs w:val="20"/>
        </w:rPr>
      </w:r>
      <w:r w:rsidRPr="00567ECE">
        <w:rPr>
          <w:rFonts w:cs="Arial"/>
          <w:b/>
          <w:bCs/>
          <w:color w:val="0070C0"/>
          <w:szCs w:val="20"/>
        </w:rPr>
        <w:fldChar w:fldCharType="separate"/>
      </w:r>
      <w:r w:rsidRPr="00567ECE">
        <w:rPr>
          <w:b/>
          <w:bCs/>
          <w:color w:val="0070C0"/>
        </w:rPr>
        <w:t>Utility Reimbursement</w:t>
      </w:r>
      <w:r w:rsidRPr="00567ECE">
        <w:rPr>
          <w:rFonts w:cs="Arial"/>
          <w:b/>
          <w:bCs/>
          <w:color w:val="0070C0"/>
          <w:szCs w:val="20"/>
        </w:rPr>
        <w:fldChar w:fldCharType="end"/>
      </w:r>
      <w:r w:rsidRPr="002C0EE0">
        <w:rPr>
          <w:rFonts w:cs="Arial"/>
          <w:szCs w:val="20"/>
        </w:rPr>
        <w:t>.</w:t>
      </w:r>
    </w:p>
    <w:p w14:paraId="72B4F4AD" w14:textId="77777777" w:rsidR="00567ECE" w:rsidRPr="00543C22" w:rsidRDefault="00567ECE" w:rsidP="00567ECE">
      <w:pPr>
        <w:rPr>
          <w:rFonts w:cs="Arial"/>
          <w:szCs w:val="20"/>
        </w:rPr>
      </w:pPr>
      <w:r w:rsidRPr="00543C22">
        <w:rPr>
          <w:rFonts w:cs="Arial"/>
          <w:szCs w:val="20"/>
        </w:rPr>
        <w:t xml:space="preserve">In units where </w:t>
      </w:r>
      <w:r w:rsidRPr="002C0EE0">
        <w:rPr>
          <w:rFonts w:cs="Arial"/>
          <w:b/>
          <w:bCs/>
          <w:szCs w:val="20"/>
        </w:rPr>
        <w:t>HHA pays all utility bills</w:t>
      </w:r>
      <w:r w:rsidRPr="00543C22">
        <w:rPr>
          <w:rFonts w:cs="Arial"/>
          <w:szCs w:val="20"/>
        </w:rPr>
        <w:t xml:space="preserve"> directly to the utility supplier, </w:t>
      </w:r>
      <w:r>
        <w:rPr>
          <w:rFonts w:cs="Arial"/>
          <w:szCs w:val="20"/>
        </w:rPr>
        <w:t>t</w:t>
      </w:r>
      <w:r w:rsidRPr="00543C22">
        <w:rPr>
          <w:rFonts w:cs="Arial"/>
          <w:szCs w:val="20"/>
        </w:rPr>
        <w:t xml:space="preserve">enant </w:t>
      </w:r>
      <w:r>
        <w:rPr>
          <w:rFonts w:cs="Arial"/>
          <w:szCs w:val="20"/>
        </w:rPr>
        <w:t>r</w:t>
      </w:r>
      <w:r w:rsidRPr="00543C22">
        <w:rPr>
          <w:rFonts w:cs="Arial"/>
          <w:szCs w:val="20"/>
        </w:rPr>
        <w:t xml:space="preserve">ent equals </w:t>
      </w:r>
      <w:r>
        <w:rPr>
          <w:rFonts w:cs="Arial"/>
          <w:szCs w:val="20"/>
        </w:rPr>
        <w:t>the family’s TTP</w:t>
      </w:r>
      <w:r w:rsidRPr="00543C22">
        <w:rPr>
          <w:rFonts w:cs="Arial"/>
          <w:szCs w:val="20"/>
        </w:rPr>
        <w:t>.</w:t>
      </w:r>
    </w:p>
    <w:p w14:paraId="231B7FAB" w14:textId="77777777" w:rsidR="00567ECE" w:rsidRPr="00A2158C" w:rsidRDefault="00567ECE" w:rsidP="00677451">
      <w:pPr>
        <w:pStyle w:val="Heading3"/>
      </w:pPr>
      <w:bookmarkStart w:id="1940" w:name="_Ref148702200"/>
      <w:bookmarkStart w:id="1941" w:name="_Toc200375724"/>
      <w:r w:rsidRPr="00A2158C">
        <w:t>Utility Reimbursement</w:t>
      </w:r>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r w:rsidRPr="00A2158C">
        <w:t xml:space="preserve"> </w:t>
      </w:r>
    </w:p>
    <w:p w14:paraId="70FD8F78" w14:textId="77777777" w:rsidR="00567ECE" w:rsidRDefault="00567ECE" w:rsidP="00567ECE">
      <w:r w:rsidRPr="00A2158C">
        <w:t>When the family’s utility allowance exceeds the TTP, the family is due a utility reimbursement. HHA will make utility reimbursements to the family.</w:t>
      </w:r>
    </w:p>
    <w:p w14:paraId="4A75F251" w14:textId="77777777" w:rsidR="003D7745" w:rsidRPr="00D14FA5" w:rsidRDefault="003D7745" w:rsidP="00677451">
      <w:pPr>
        <w:pStyle w:val="Heading3"/>
      </w:pPr>
      <w:bookmarkStart w:id="1942" w:name="_Toc114067497"/>
      <w:bookmarkStart w:id="1943" w:name="_Toc119412711"/>
      <w:bookmarkStart w:id="1944" w:name="_Ref136502433"/>
      <w:bookmarkStart w:id="1945" w:name="_Ref136503202"/>
      <w:bookmarkStart w:id="1946" w:name="_Ref136503434"/>
      <w:bookmarkStart w:id="1947" w:name="_Toc137809049"/>
      <w:bookmarkStart w:id="1948" w:name="_Toc137809591"/>
      <w:bookmarkStart w:id="1949" w:name="_Toc137809835"/>
      <w:bookmarkStart w:id="1950" w:name="_Toc137810147"/>
      <w:bookmarkStart w:id="1951" w:name="_Toc138429480"/>
      <w:bookmarkStart w:id="1952" w:name="_Toc138430315"/>
      <w:bookmarkStart w:id="1953" w:name="_Toc138856469"/>
      <w:bookmarkStart w:id="1954" w:name="_Toc138857763"/>
      <w:bookmarkStart w:id="1955" w:name="_Toc138860569"/>
      <w:bookmarkStart w:id="1956" w:name="_Toc147141867"/>
      <w:bookmarkStart w:id="1957" w:name="_Ref151016132"/>
      <w:bookmarkStart w:id="1958" w:name="_Toc200375725"/>
      <w:r w:rsidRPr="00D14FA5">
        <w:t>Rent for Over-Income Families</w:t>
      </w:r>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r w:rsidRPr="00D14FA5">
        <w:t xml:space="preserve"> </w:t>
      </w:r>
    </w:p>
    <w:p w14:paraId="29DDF3DB" w14:textId="77777777" w:rsidR="003D7745" w:rsidRPr="00567ECE" w:rsidRDefault="003D7745" w:rsidP="00567ECE">
      <w:pPr>
        <w:rPr>
          <w:rFonts w:cs="Arial"/>
        </w:rPr>
      </w:pPr>
      <w:r w:rsidRPr="00567ECE">
        <w:rPr>
          <w:rFonts w:cs="Arial"/>
        </w:rPr>
        <w:t xml:space="preserve">See </w:t>
      </w:r>
      <w:r w:rsidR="00026224" w:rsidRPr="007A7B0E">
        <w:rPr>
          <w:rFonts w:cs="Arial"/>
          <w:b/>
          <w:bCs/>
          <w:color w:val="0070C0"/>
        </w:rPr>
        <w:fldChar w:fldCharType="begin"/>
      </w:r>
      <w:r w:rsidR="00026224" w:rsidRPr="007A7B0E">
        <w:rPr>
          <w:rFonts w:cs="Arial"/>
          <w:b/>
          <w:bCs/>
          <w:color w:val="0070C0"/>
        </w:rPr>
        <w:instrText xml:space="preserve"> REF _Ref136504745 \h </w:instrText>
      </w:r>
      <w:r w:rsidR="007A7B0E" w:rsidRPr="007A7B0E">
        <w:rPr>
          <w:rFonts w:cs="Arial"/>
          <w:b/>
          <w:bCs/>
          <w:color w:val="0070C0"/>
        </w:rPr>
        <w:instrText xml:space="preserve"> \* MERGEFORMAT </w:instrText>
      </w:r>
      <w:r w:rsidR="00026224" w:rsidRPr="007A7B0E">
        <w:rPr>
          <w:rFonts w:cs="Arial"/>
          <w:b/>
          <w:bCs/>
          <w:color w:val="0070C0"/>
        </w:rPr>
      </w:r>
      <w:r w:rsidR="00026224" w:rsidRPr="007A7B0E">
        <w:rPr>
          <w:rFonts w:cs="Arial"/>
          <w:b/>
          <w:bCs/>
          <w:color w:val="0070C0"/>
        </w:rPr>
        <w:fldChar w:fldCharType="separate"/>
      </w:r>
      <w:r w:rsidR="00026224" w:rsidRPr="007A7B0E">
        <w:rPr>
          <w:b/>
          <w:bCs/>
          <w:color w:val="0070C0"/>
        </w:rPr>
        <w:t>Alternative Rent for NPHOI Families</w:t>
      </w:r>
      <w:r w:rsidR="00026224" w:rsidRPr="007A7B0E">
        <w:rPr>
          <w:rFonts w:cs="Arial"/>
          <w:b/>
          <w:bCs/>
          <w:color w:val="0070C0"/>
        </w:rPr>
        <w:fldChar w:fldCharType="end"/>
      </w:r>
      <w:r w:rsidRPr="00567ECE">
        <w:rPr>
          <w:rFonts w:cs="Arial"/>
        </w:rPr>
        <w:t xml:space="preserve"> for families who exceed the over-income limit as described in the </w:t>
      </w:r>
      <w:r w:rsidR="007A7B0E" w:rsidRPr="007A7B0E">
        <w:rPr>
          <w:rFonts w:cs="Arial"/>
          <w:b/>
          <w:bCs/>
          <w:color w:val="0070C0"/>
        </w:rPr>
        <w:fldChar w:fldCharType="begin"/>
      </w:r>
      <w:r w:rsidR="007A7B0E" w:rsidRPr="007A7B0E">
        <w:rPr>
          <w:rFonts w:cs="Arial"/>
          <w:b/>
          <w:bCs/>
          <w:color w:val="0070C0"/>
        </w:rPr>
        <w:instrText xml:space="preserve"> REF _Ref151015055 \h  \* MERGEFORMAT </w:instrText>
      </w:r>
      <w:r w:rsidR="007A7B0E" w:rsidRPr="007A7B0E">
        <w:rPr>
          <w:rFonts w:cs="Arial"/>
          <w:b/>
          <w:bCs/>
          <w:color w:val="0070C0"/>
        </w:rPr>
      </w:r>
      <w:r w:rsidR="007A7B0E" w:rsidRPr="007A7B0E">
        <w:rPr>
          <w:rFonts w:cs="Arial"/>
          <w:b/>
          <w:bCs/>
          <w:color w:val="0070C0"/>
        </w:rPr>
        <w:fldChar w:fldCharType="separate"/>
      </w:r>
      <w:r w:rsidR="007A7B0E" w:rsidRPr="007A7B0E">
        <w:rPr>
          <w:b/>
          <w:bCs/>
          <w:color w:val="0070C0"/>
        </w:rPr>
        <w:t>OVER-INCOME FAMILIES</w:t>
      </w:r>
      <w:r w:rsidR="007A7B0E" w:rsidRPr="007A7B0E">
        <w:rPr>
          <w:rFonts w:cs="Arial"/>
          <w:b/>
          <w:bCs/>
          <w:color w:val="0070C0"/>
        </w:rPr>
        <w:fldChar w:fldCharType="end"/>
      </w:r>
      <w:r w:rsidRPr="00567ECE">
        <w:rPr>
          <w:rFonts w:cs="Arial"/>
        </w:rPr>
        <w:t xml:space="preserve"> section.</w:t>
      </w:r>
    </w:p>
    <w:p w14:paraId="42E0D7A6" w14:textId="77777777" w:rsidR="00BC0DB5" w:rsidRPr="00765546" w:rsidRDefault="00BC0DB5" w:rsidP="00BB64BD">
      <w:pPr>
        <w:pStyle w:val="Heading2"/>
      </w:pPr>
      <w:bookmarkStart w:id="1959" w:name="_Toc521054898"/>
      <w:bookmarkStart w:id="1960" w:name="_Toc527019422"/>
      <w:bookmarkStart w:id="1961" w:name="_Toc534706957"/>
      <w:bookmarkStart w:id="1962" w:name="_Toc534707635"/>
      <w:bookmarkStart w:id="1963" w:name="_Toc534708443"/>
      <w:bookmarkStart w:id="1964" w:name="_Toc118116027"/>
      <w:bookmarkStart w:id="1965" w:name="_Ref148691889"/>
      <w:bookmarkStart w:id="1966" w:name="_Toc173222724"/>
      <w:bookmarkStart w:id="1967" w:name="_Toc200375726"/>
      <w:bookmarkStart w:id="1968" w:name="_Toc200376990"/>
      <w:r w:rsidRPr="00765546">
        <w:t>Minimum Rent</w:t>
      </w:r>
      <w:bookmarkEnd w:id="1959"/>
      <w:bookmarkEnd w:id="1960"/>
      <w:bookmarkEnd w:id="1961"/>
      <w:bookmarkEnd w:id="1962"/>
      <w:bookmarkEnd w:id="1963"/>
      <w:bookmarkEnd w:id="1964"/>
      <w:bookmarkEnd w:id="1965"/>
      <w:bookmarkEnd w:id="1966"/>
      <w:bookmarkEnd w:id="1967"/>
      <w:bookmarkEnd w:id="1968"/>
    </w:p>
    <w:p w14:paraId="46BDD2E5" w14:textId="77777777" w:rsidR="00BC0DB5" w:rsidRPr="00765546" w:rsidRDefault="00BC0DB5" w:rsidP="00BC0DB5">
      <w:pPr>
        <w:rPr>
          <w:rFonts w:cs="Arial"/>
          <w:szCs w:val="20"/>
        </w:rPr>
      </w:pPr>
      <w:r>
        <w:rPr>
          <w:rFonts w:cs="Arial"/>
          <w:szCs w:val="20"/>
        </w:rPr>
        <w:t>HHA</w:t>
      </w:r>
      <w:r w:rsidRPr="00765546">
        <w:rPr>
          <w:rFonts w:cs="Arial"/>
          <w:szCs w:val="20"/>
        </w:rPr>
        <w:t xml:space="preserve"> has established a minimum rent of $50 per month</w:t>
      </w:r>
      <w:r w:rsidR="009A4D9E">
        <w:rPr>
          <w:rFonts w:cs="Arial"/>
          <w:szCs w:val="20"/>
        </w:rPr>
        <w:t xml:space="preserve"> for families in all groups</w:t>
      </w:r>
      <w:r w:rsidRPr="00765546">
        <w:rPr>
          <w:rFonts w:cs="Arial"/>
          <w:szCs w:val="20"/>
        </w:rPr>
        <w:t xml:space="preserve">. </w:t>
      </w:r>
      <w:r w:rsidRPr="00851339">
        <w:rPr>
          <w:rFonts w:cs="Arial"/>
          <w:spacing w:val="-5"/>
          <w:w w:val="105"/>
        </w:rPr>
        <w:t xml:space="preserve">See </w:t>
      </w:r>
      <w:r w:rsidR="00DC7A58" w:rsidRPr="00DC7A58">
        <w:rPr>
          <w:rFonts w:cs="Arial"/>
          <w:b/>
          <w:bCs/>
          <w:color w:val="0070C0"/>
          <w:spacing w:val="-5"/>
          <w:w w:val="105"/>
          <w:highlight w:val="yellow"/>
        </w:rPr>
        <w:fldChar w:fldCharType="begin"/>
      </w:r>
      <w:r w:rsidR="00DC7A58" w:rsidRPr="00DC7A58">
        <w:rPr>
          <w:rFonts w:cs="Arial"/>
          <w:b/>
          <w:bCs/>
          <w:color w:val="0070C0"/>
          <w:spacing w:val="-5"/>
          <w:w w:val="105"/>
        </w:rPr>
        <w:instrText xml:space="preserve"> REF _Ref112745963 \h </w:instrText>
      </w:r>
      <w:r w:rsidR="00DC7A58" w:rsidRPr="00DC7A58">
        <w:rPr>
          <w:rFonts w:cs="Arial"/>
          <w:b/>
          <w:bCs/>
          <w:color w:val="0070C0"/>
          <w:spacing w:val="-5"/>
          <w:w w:val="105"/>
          <w:highlight w:val="yellow"/>
        </w:rPr>
        <w:instrText xml:space="preserve"> \* MERGEFORMAT </w:instrText>
      </w:r>
      <w:r w:rsidR="00DC7A58" w:rsidRPr="00DC7A58">
        <w:rPr>
          <w:rFonts w:cs="Arial"/>
          <w:b/>
          <w:bCs/>
          <w:color w:val="0070C0"/>
          <w:spacing w:val="-5"/>
          <w:w w:val="105"/>
          <w:highlight w:val="yellow"/>
        </w:rPr>
      </w:r>
      <w:r w:rsidR="00DC7A58" w:rsidRPr="00DC7A58">
        <w:rPr>
          <w:rFonts w:cs="Arial"/>
          <w:b/>
          <w:bCs/>
          <w:color w:val="0070C0"/>
          <w:spacing w:val="-5"/>
          <w:w w:val="105"/>
          <w:highlight w:val="yellow"/>
        </w:rPr>
        <w:fldChar w:fldCharType="separate"/>
      </w:r>
      <w:r w:rsidR="00DC7A58" w:rsidRPr="00DC7A58">
        <w:rPr>
          <w:b/>
          <w:bCs/>
          <w:color w:val="0070C0"/>
        </w:rPr>
        <w:t>Minimum Rent Hardship</w:t>
      </w:r>
      <w:r w:rsidR="00DC7A58" w:rsidRPr="00DC7A58">
        <w:rPr>
          <w:rFonts w:cs="Arial"/>
          <w:b/>
          <w:bCs/>
          <w:color w:val="0070C0"/>
          <w:spacing w:val="-5"/>
          <w:w w:val="105"/>
          <w:highlight w:val="yellow"/>
        </w:rPr>
        <w:fldChar w:fldCharType="end"/>
      </w:r>
      <w:r w:rsidR="004061EF">
        <w:rPr>
          <w:rFonts w:cs="Arial"/>
          <w:spacing w:val="-5"/>
          <w:w w:val="105"/>
        </w:rPr>
        <w:t xml:space="preserve"> for when a family cannot pay the minimum rent</w:t>
      </w:r>
      <w:r w:rsidR="00E635E4">
        <w:rPr>
          <w:rFonts w:cs="Arial"/>
          <w:spacing w:val="-5"/>
          <w:w w:val="105"/>
        </w:rPr>
        <w:t xml:space="preserve"> because of a hardship</w:t>
      </w:r>
      <w:r w:rsidR="004061EF">
        <w:rPr>
          <w:rFonts w:cs="Arial"/>
          <w:spacing w:val="-5"/>
          <w:w w:val="105"/>
        </w:rPr>
        <w:t>.</w:t>
      </w:r>
    </w:p>
    <w:p w14:paraId="7B5081FD" w14:textId="77777777" w:rsidR="00BC0DB5" w:rsidRPr="00765546" w:rsidRDefault="00BC0DB5" w:rsidP="008E5F41">
      <w:pPr>
        <w:autoSpaceDE w:val="0"/>
        <w:autoSpaceDN w:val="0"/>
        <w:adjustRightInd w:val="0"/>
        <w:spacing w:after="120"/>
      </w:pPr>
    </w:p>
    <w:p w14:paraId="5A97CF34" w14:textId="77777777" w:rsidR="00BC0DB5" w:rsidRPr="00765546" w:rsidRDefault="00BC0DB5" w:rsidP="00BC0DB5"/>
    <w:p w14:paraId="0CF4E751" w14:textId="77777777" w:rsidR="00CA68D2" w:rsidRPr="00BC0DB5" w:rsidRDefault="00CA68D2" w:rsidP="00CA68D2">
      <w:pPr>
        <w:pStyle w:val="00Normal"/>
        <w:sectPr w:rsidR="00CA68D2" w:rsidRPr="00BC0DB5" w:rsidSect="00EE2233">
          <w:pgSz w:w="12240" w:h="15840"/>
          <w:pgMar w:top="1440" w:right="1440" w:bottom="1440" w:left="1440" w:header="720" w:footer="720" w:gutter="0"/>
          <w:cols w:space="720"/>
          <w:docGrid w:linePitch="360"/>
        </w:sectPr>
      </w:pPr>
    </w:p>
    <w:p w14:paraId="2A5AD7B5" w14:textId="6F6F57CF" w:rsidR="001B2406" w:rsidRPr="0081308A" w:rsidRDefault="0036743D" w:rsidP="00CA68D2">
      <w:pPr>
        <w:pStyle w:val="Heading1"/>
        <w:ind w:left="0" w:firstLine="0"/>
      </w:pPr>
      <w:bookmarkStart w:id="1969" w:name="_Ref151016269"/>
      <w:bookmarkStart w:id="1970" w:name="_Toc173222725"/>
      <w:bookmarkStart w:id="1971" w:name="_Toc200375727"/>
      <w:bookmarkStart w:id="1972" w:name="_Toc200376991"/>
      <w:bookmarkStart w:id="1973" w:name="_Ref150425743"/>
      <w:r w:rsidRPr="0081308A">
        <w:t>HARDSHIPS</w:t>
      </w:r>
      <w:bookmarkEnd w:id="1969"/>
      <w:bookmarkEnd w:id="1970"/>
      <w:bookmarkEnd w:id="1971"/>
      <w:bookmarkEnd w:id="1972"/>
    </w:p>
    <w:p w14:paraId="7A1206F4" w14:textId="77777777" w:rsidR="00B86128" w:rsidRPr="00B86128" w:rsidRDefault="00B86128" w:rsidP="00B86128">
      <w:pPr>
        <w:adjustRightInd w:val="0"/>
        <w:rPr>
          <w:rFonts w:cs="Arial"/>
        </w:rPr>
      </w:pPr>
      <w:bookmarkStart w:id="1974" w:name="_Hlk95921827"/>
      <w:r w:rsidRPr="00B86128">
        <w:rPr>
          <w:rFonts w:cs="Arial"/>
        </w:rPr>
        <w:t>HHA has developed conditions-based hardship policies as described below to address and mitigate financial hardships which may occur at enrollment or at any time during the tenancy or program participation. In cases involving hardship, HHA will work with families to connect them to economic self-sufficiency programs to address the conditions which have caused applicable hardships. HHA’s general hardship policies are outlined bel</w:t>
      </w:r>
      <w:r w:rsidR="003D00A1">
        <w:rPr>
          <w:rFonts w:cs="Arial"/>
        </w:rPr>
        <w:t>ow:</w:t>
      </w:r>
    </w:p>
    <w:p w14:paraId="20A1B46E" w14:textId="77777777" w:rsidR="00B86128" w:rsidRPr="00B86128" w:rsidRDefault="00B86128" w:rsidP="007F177E">
      <w:pPr>
        <w:pStyle w:val="ListParagraph"/>
        <w:numPr>
          <w:ilvl w:val="0"/>
          <w:numId w:val="260"/>
        </w:numPr>
        <w:autoSpaceDE w:val="0"/>
        <w:autoSpaceDN w:val="0"/>
        <w:adjustRightInd w:val="0"/>
        <w:ind w:left="720"/>
        <w:contextualSpacing w:val="0"/>
        <w:rPr>
          <w:rFonts w:cs="Arial"/>
        </w:rPr>
      </w:pPr>
      <w:r w:rsidRPr="00B86128">
        <w:rPr>
          <w:rFonts w:cs="Arial"/>
        </w:rPr>
        <w:t>HHA will review its hardship policies with families during its intake and recertification process and will consider if a household qualifies for a hardship exemption at the time of a potential termination of assistance that is due to an MTW activity.</w:t>
      </w:r>
    </w:p>
    <w:p w14:paraId="7693A81D" w14:textId="77777777" w:rsidR="00B86128" w:rsidRPr="00B86128" w:rsidRDefault="00B86128" w:rsidP="007F177E">
      <w:pPr>
        <w:pStyle w:val="ListParagraph"/>
        <w:numPr>
          <w:ilvl w:val="0"/>
          <w:numId w:val="260"/>
        </w:numPr>
        <w:ind w:left="720"/>
        <w:contextualSpacing w:val="0"/>
        <w:rPr>
          <w:rFonts w:cs="Arial"/>
          <w:bCs/>
        </w:rPr>
      </w:pPr>
      <w:r w:rsidRPr="00B86128">
        <w:rPr>
          <w:rFonts w:cs="Arial"/>
          <w:bCs/>
        </w:rPr>
        <w:t>There is no limit to the number of hardships that a household may receive.</w:t>
      </w:r>
    </w:p>
    <w:p w14:paraId="19A55DAB" w14:textId="77777777" w:rsidR="00B86128" w:rsidRPr="00B86128" w:rsidRDefault="00B86128" w:rsidP="007F177E">
      <w:pPr>
        <w:pStyle w:val="ListParagraph"/>
        <w:numPr>
          <w:ilvl w:val="0"/>
          <w:numId w:val="260"/>
        </w:numPr>
        <w:ind w:left="720"/>
        <w:contextualSpacing w:val="0"/>
        <w:rPr>
          <w:rFonts w:cs="Arial"/>
          <w:bCs/>
        </w:rPr>
      </w:pPr>
      <w:r w:rsidRPr="00B86128">
        <w:rPr>
          <w:rFonts w:cs="Arial"/>
          <w:bCs/>
        </w:rPr>
        <w:t xml:space="preserve">If a household is approved for a hardship, and subsequently experiences another adverse event while still in hardship status, they may request an additional hardship that might further reduce their TTP. </w:t>
      </w:r>
    </w:p>
    <w:p w14:paraId="780729C8" w14:textId="77777777" w:rsidR="00B86128" w:rsidRPr="00B86128" w:rsidRDefault="00B86128" w:rsidP="007F177E">
      <w:pPr>
        <w:pStyle w:val="ListParagraph"/>
        <w:numPr>
          <w:ilvl w:val="0"/>
          <w:numId w:val="260"/>
        </w:numPr>
        <w:ind w:left="720"/>
        <w:contextualSpacing w:val="0"/>
        <w:rPr>
          <w:rFonts w:cs="Arial"/>
          <w:bCs/>
        </w:rPr>
      </w:pPr>
      <w:bookmarkStart w:id="1975" w:name="_Hlk97545278"/>
      <w:r w:rsidRPr="00B86128">
        <w:rPr>
          <w:rFonts w:cs="Arial"/>
          <w:bCs/>
        </w:rPr>
        <w:t xml:space="preserve">If a household is approved for a hardship, they are not required to report subsequent income increases during the period of their approved hardship. </w:t>
      </w:r>
      <w:bookmarkEnd w:id="1975"/>
    </w:p>
    <w:p w14:paraId="45DAD47E" w14:textId="77777777" w:rsidR="00B86128" w:rsidRPr="00B86128" w:rsidRDefault="00B86128" w:rsidP="007F177E">
      <w:pPr>
        <w:pStyle w:val="ListParagraph"/>
        <w:numPr>
          <w:ilvl w:val="0"/>
          <w:numId w:val="260"/>
        </w:numPr>
        <w:ind w:left="720"/>
        <w:contextualSpacing w:val="0"/>
        <w:rPr>
          <w:rFonts w:cs="Arial"/>
          <w:bCs/>
        </w:rPr>
      </w:pPr>
      <w:r w:rsidRPr="00B86128">
        <w:rPr>
          <w:rFonts w:cs="Arial"/>
          <w:bCs/>
        </w:rPr>
        <w:t>If a household is approved for a temporary hardship, when that hardship is scheduled to expire the household will be notified and may request an extension. When a hardship expires, the household will return to paying the tiered rent assigned according to their prior/retrospective gross income at their last triennial income examination.</w:t>
      </w:r>
    </w:p>
    <w:p w14:paraId="7716C2E8" w14:textId="77777777" w:rsidR="00B86128" w:rsidRPr="00B86128" w:rsidRDefault="00B86128" w:rsidP="007F177E">
      <w:pPr>
        <w:pStyle w:val="ListParagraph"/>
        <w:numPr>
          <w:ilvl w:val="0"/>
          <w:numId w:val="260"/>
        </w:numPr>
        <w:ind w:left="720"/>
        <w:contextualSpacing w:val="0"/>
        <w:rPr>
          <w:rFonts w:cs="Arial"/>
          <w:bCs/>
        </w:rPr>
      </w:pPr>
      <w:r w:rsidRPr="00B86128">
        <w:rPr>
          <w:rFonts w:cs="Arial"/>
          <w:bCs/>
        </w:rPr>
        <w:t>If the head of household, spouse, or co-head of household becomes elderly or disabled, the household is eligible to be excluded from the tiered rent and return to the traditional income-based rent policy.</w:t>
      </w:r>
    </w:p>
    <w:p w14:paraId="3F403604" w14:textId="77777777" w:rsidR="00B86128" w:rsidRPr="00B86128" w:rsidRDefault="00B86128" w:rsidP="007F177E">
      <w:pPr>
        <w:pStyle w:val="ListParagraph"/>
        <w:numPr>
          <w:ilvl w:val="0"/>
          <w:numId w:val="260"/>
        </w:numPr>
        <w:ind w:left="720"/>
        <w:contextualSpacing w:val="0"/>
        <w:rPr>
          <w:rFonts w:cs="Arial"/>
          <w:bCs/>
        </w:rPr>
      </w:pPr>
      <w:r w:rsidRPr="00B86128">
        <w:rPr>
          <w:rFonts w:cs="Arial"/>
          <w:bCs/>
        </w:rPr>
        <w:t>This hardship policy presents eligibility criteria and remedies for different types of hardships. The different types of hardships below are not mutually exclusive. If a household’s circumstances correspond to more than one type of hardship, they will receive the hardship most beneficial to them.</w:t>
      </w:r>
    </w:p>
    <w:p w14:paraId="1D651B7C" w14:textId="77777777" w:rsidR="00B86128" w:rsidRDefault="00B86128" w:rsidP="00B86128">
      <w:pPr>
        <w:adjustRightInd w:val="0"/>
        <w:rPr>
          <w:rFonts w:cs="Arial"/>
        </w:rPr>
      </w:pPr>
      <w:bookmarkStart w:id="1976" w:name="_Hlk113352889"/>
      <w:r w:rsidRPr="00B86128">
        <w:rPr>
          <w:rFonts w:cs="Arial"/>
        </w:rPr>
        <w:t>The table below identifies HHA’s hardship policies by topic and applicable group.</w:t>
      </w:r>
    </w:p>
    <w:p w14:paraId="4ADC2A54" w14:textId="77777777" w:rsidR="00F73563" w:rsidRPr="00B86128" w:rsidRDefault="00F73563" w:rsidP="00F73563">
      <w:pPr>
        <w:pStyle w:val="ListParagraph"/>
        <w:ind w:left="0"/>
        <w:jc w:val="center"/>
        <w:rPr>
          <w:rFonts w:cs="Arial"/>
          <w:b/>
          <w:bCs/>
        </w:rPr>
      </w:pPr>
      <w:r w:rsidRPr="00B86128">
        <w:rPr>
          <w:rFonts w:cs="Arial"/>
          <w:b/>
          <w:bCs/>
        </w:rPr>
        <w:t>Hardship Policy Applicability Table</w:t>
      </w:r>
    </w:p>
    <w:tbl>
      <w:tblPr>
        <w:tblStyle w:val="TableGrid"/>
        <w:tblW w:w="0" w:type="auto"/>
        <w:tblLook w:val="04A0" w:firstRow="1" w:lastRow="0" w:firstColumn="1" w:lastColumn="0" w:noHBand="0" w:noVBand="1"/>
      </w:tblPr>
      <w:tblGrid>
        <w:gridCol w:w="3685"/>
        <w:gridCol w:w="5665"/>
      </w:tblGrid>
      <w:tr w:rsidR="00846E5E" w14:paraId="261F041D" w14:textId="77777777" w:rsidTr="005B5E47">
        <w:trPr>
          <w:tblHeader/>
        </w:trPr>
        <w:tc>
          <w:tcPr>
            <w:tcW w:w="3685" w:type="dxa"/>
          </w:tcPr>
          <w:p w14:paraId="7B50C0E3" w14:textId="77777777" w:rsidR="00846E5E" w:rsidRPr="00156459" w:rsidRDefault="00846E5E" w:rsidP="00156459">
            <w:pPr>
              <w:adjustRightInd w:val="0"/>
              <w:spacing w:before="60" w:after="60"/>
              <w:jc w:val="center"/>
              <w:rPr>
                <w:rFonts w:cs="Arial"/>
                <w:b/>
                <w:bCs/>
              </w:rPr>
            </w:pPr>
            <w:r w:rsidRPr="00156459">
              <w:rPr>
                <w:rFonts w:cs="Arial"/>
                <w:b/>
                <w:bCs/>
              </w:rPr>
              <w:t>Group(s)</w:t>
            </w:r>
          </w:p>
        </w:tc>
        <w:tc>
          <w:tcPr>
            <w:tcW w:w="5665" w:type="dxa"/>
          </w:tcPr>
          <w:p w14:paraId="6404C5A4" w14:textId="77777777" w:rsidR="00846E5E" w:rsidRPr="00156459" w:rsidRDefault="00846E5E" w:rsidP="00156459">
            <w:pPr>
              <w:adjustRightInd w:val="0"/>
              <w:spacing w:before="60" w:after="60"/>
              <w:jc w:val="center"/>
              <w:rPr>
                <w:rFonts w:cs="Arial"/>
                <w:b/>
                <w:bCs/>
              </w:rPr>
            </w:pPr>
            <w:r w:rsidRPr="00156459">
              <w:rPr>
                <w:rFonts w:cs="Arial"/>
                <w:b/>
                <w:bCs/>
              </w:rPr>
              <w:t>Applicable Hardship Policies</w:t>
            </w:r>
          </w:p>
        </w:tc>
      </w:tr>
      <w:tr w:rsidR="00846E5E" w14:paraId="3A9F0119" w14:textId="77777777" w:rsidTr="00156459">
        <w:tc>
          <w:tcPr>
            <w:tcW w:w="3685" w:type="dxa"/>
          </w:tcPr>
          <w:p w14:paraId="0EED96B8" w14:textId="28E4C26D" w:rsidR="00846E5E" w:rsidRPr="00D07061" w:rsidRDefault="00D07061" w:rsidP="00156459">
            <w:pPr>
              <w:adjustRightInd w:val="0"/>
              <w:spacing w:before="60" w:after="60"/>
              <w:jc w:val="left"/>
              <w:rPr>
                <w:rFonts w:cs="Arial"/>
                <w:b/>
                <w:bCs/>
              </w:rPr>
            </w:pPr>
            <w:r w:rsidRPr="00D07061">
              <w:rPr>
                <w:rFonts w:cs="Arial"/>
                <w:b/>
                <w:bCs/>
                <w:color w:val="0070C0"/>
              </w:rPr>
              <w:fldChar w:fldCharType="begin"/>
            </w:r>
            <w:r w:rsidRPr="00D07061">
              <w:rPr>
                <w:rFonts w:cs="Arial"/>
                <w:b/>
                <w:bCs/>
                <w:color w:val="0070C0"/>
              </w:rPr>
              <w:instrText xml:space="preserve"> REF _Ref165036551 \h  \* MERGEFORMAT </w:instrText>
            </w:r>
            <w:r w:rsidRPr="00D07061">
              <w:rPr>
                <w:rFonts w:cs="Arial"/>
                <w:b/>
                <w:bCs/>
                <w:color w:val="0070C0"/>
              </w:rPr>
            </w:r>
            <w:r w:rsidRPr="00D07061">
              <w:rPr>
                <w:rFonts w:cs="Arial"/>
                <w:b/>
                <w:bCs/>
                <w:color w:val="0070C0"/>
              </w:rPr>
              <w:fldChar w:fldCharType="separate"/>
            </w:r>
            <w:r w:rsidRPr="00D07061">
              <w:rPr>
                <w:b/>
                <w:bCs/>
                <w:color w:val="0070C0"/>
              </w:rPr>
              <w:t>All Groups: Treatment, Control, and Excluded</w:t>
            </w:r>
            <w:r w:rsidRPr="00D07061">
              <w:rPr>
                <w:rFonts w:cs="Arial"/>
                <w:b/>
                <w:bCs/>
                <w:color w:val="0070C0"/>
              </w:rPr>
              <w:fldChar w:fldCharType="end"/>
            </w:r>
          </w:p>
        </w:tc>
        <w:tc>
          <w:tcPr>
            <w:tcW w:w="5665" w:type="dxa"/>
          </w:tcPr>
          <w:p w14:paraId="4BBBBD93" w14:textId="77777777" w:rsidR="00846E5E" w:rsidRPr="00156459" w:rsidRDefault="00846E5E" w:rsidP="007F177E">
            <w:pPr>
              <w:pStyle w:val="ListParagraph"/>
              <w:numPr>
                <w:ilvl w:val="0"/>
                <w:numId w:val="120"/>
              </w:numPr>
              <w:adjustRightInd w:val="0"/>
              <w:spacing w:before="60" w:after="60"/>
              <w:ind w:left="516"/>
              <w:contextualSpacing w:val="0"/>
              <w:jc w:val="left"/>
              <w:rPr>
                <w:rFonts w:cs="Arial"/>
              </w:rPr>
            </w:pPr>
            <w:r w:rsidRPr="00156459">
              <w:rPr>
                <w:rFonts w:cs="Arial"/>
              </w:rPr>
              <w:t>Alternative Verification Hierarchy</w:t>
            </w:r>
          </w:p>
          <w:p w14:paraId="7C649B19" w14:textId="77777777" w:rsidR="00846E5E" w:rsidRPr="00156459" w:rsidRDefault="00846E5E" w:rsidP="007F177E">
            <w:pPr>
              <w:pStyle w:val="ListParagraph"/>
              <w:numPr>
                <w:ilvl w:val="0"/>
                <w:numId w:val="120"/>
              </w:numPr>
              <w:adjustRightInd w:val="0"/>
              <w:spacing w:before="60" w:after="60"/>
              <w:ind w:left="516"/>
              <w:contextualSpacing w:val="0"/>
              <w:jc w:val="left"/>
              <w:rPr>
                <w:rFonts w:cs="Arial"/>
              </w:rPr>
            </w:pPr>
            <w:r w:rsidRPr="00156459">
              <w:rPr>
                <w:rFonts w:cs="Arial"/>
              </w:rPr>
              <w:t>Minimum Rent Hardship</w:t>
            </w:r>
          </w:p>
        </w:tc>
      </w:tr>
      <w:tr w:rsidR="00156459" w14:paraId="3546A20F" w14:textId="77777777" w:rsidTr="00156459">
        <w:tc>
          <w:tcPr>
            <w:tcW w:w="3685" w:type="dxa"/>
          </w:tcPr>
          <w:p w14:paraId="00F9EF08" w14:textId="77BC657A" w:rsidR="00156459" w:rsidRPr="00D07061" w:rsidRDefault="00D07061" w:rsidP="00156459">
            <w:pPr>
              <w:adjustRightInd w:val="0"/>
              <w:spacing w:before="60" w:after="60"/>
              <w:jc w:val="left"/>
              <w:rPr>
                <w:rFonts w:cs="Arial"/>
                <w:b/>
                <w:bCs/>
              </w:rPr>
            </w:pPr>
            <w:r w:rsidRPr="00D07061">
              <w:rPr>
                <w:rFonts w:cs="Arial"/>
                <w:b/>
                <w:bCs/>
                <w:color w:val="0070C0"/>
              </w:rPr>
              <w:fldChar w:fldCharType="begin"/>
            </w:r>
            <w:r w:rsidRPr="00D07061">
              <w:rPr>
                <w:rFonts w:cs="Arial"/>
                <w:b/>
                <w:bCs/>
                <w:color w:val="0070C0"/>
              </w:rPr>
              <w:instrText xml:space="preserve"> REF _Ref136613297 \h  \* MERGEFORMAT </w:instrText>
            </w:r>
            <w:r w:rsidRPr="00D07061">
              <w:rPr>
                <w:rFonts w:cs="Arial"/>
                <w:b/>
                <w:bCs/>
                <w:color w:val="0070C0"/>
              </w:rPr>
            </w:r>
            <w:r w:rsidRPr="00D07061">
              <w:rPr>
                <w:rFonts w:cs="Arial"/>
                <w:b/>
                <w:bCs/>
                <w:color w:val="0070C0"/>
              </w:rPr>
              <w:fldChar w:fldCharType="separate"/>
            </w:r>
            <w:r w:rsidRPr="00D07061">
              <w:rPr>
                <w:b/>
                <w:bCs/>
                <w:color w:val="0070C0"/>
              </w:rPr>
              <w:t>Control and Excluded Groups Only</w:t>
            </w:r>
            <w:r w:rsidRPr="00D07061">
              <w:rPr>
                <w:rFonts w:cs="Arial"/>
                <w:b/>
                <w:bCs/>
                <w:color w:val="0070C0"/>
              </w:rPr>
              <w:fldChar w:fldCharType="end"/>
            </w:r>
          </w:p>
        </w:tc>
        <w:tc>
          <w:tcPr>
            <w:tcW w:w="5665" w:type="dxa"/>
          </w:tcPr>
          <w:p w14:paraId="0F53BC4F" w14:textId="77777777" w:rsidR="00156459" w:rsidRPr="00156459" w:rsidRDefault="00156459" w:rsidP="007F177E">
            <w:pPr>
              <w:pStyle w:val="ListParagraph"/>
              <w:numPr>
                <w:ilvl w:val="0"/>
                <w:numId w:val="120"/>
              </w:numPr>
              <w:adjustRightInd w:val="0"/>
              <w:spacing w:before="60" w:after="60"/>
              <w:ind w:left="516"/>
              <w:contextualSpacing w:val="0"/>
              <w:jc w:val="left"/>
              <w:rPr>
                <w:rFonts w:cs="Arial"/>
              </w:rPr>
            </w:pPr>
            <w:r w:rsidRPr="00156459">
              <w:rPr>
                <w:rFonts w:cs="Arial"/>
              </w:rPr>
              <w:t>Health and Medical Care Expense and/or Disability Expense Hardship</w:t>
            </w:r>
          </w:p>
          <w:p w14:paraId="1A6BD13C" w14:textId="77777777" w:rsidR="00156459" w:rsidRPr="00156459" w:rsidRDefault="00156459" w:rsidP="007F177E">
            <w:pPr>
              <w:pStyle w:val="ListParagraph"/>
              <w:numPr>
                <w:ilvl w:val="0"/>
                <w:numId w:val="120"/>
              </w:numPr>
              <w:adjustRightInd w:val="0"/>
              <w:spacing w:before="60" w:after="60"/>
              <w:ind w:left="516"/>
              <w:contextualSpacing w:val="0"/>
              <w:jc w:val="left"/>
              <w:rPr>
                <w:rFonts w:cs="Arial"/>
              </w:rPr>
            </w:pPr>
            <w:r w:rsidRPr="00156459">
              <w:rPr>
                <w:rFonts w:cs="Arial"/>
              </w:rPr>
              <w:t>Child Care Expense Hardship</w:t>
            </w:r>
          </w:p>
        </w:tc>
      </w:tr>
      <w:tr w:rsidR="00156459" w14:paraId="6C6002F0" w14:textId="77777777" w:rsidTr="00156459">
        <w:tc>
          <w:tcPr>
            <w:tcW w:w="3685" w:type="dxa"/>
          </w:tcPr>
          <w:p w14:paraId="71C3DE91" w14:textId="73F6ACE3" w:rsidR="00156459" w:rsidRPr="00D07061" w:rsidRDefault="00D07061" w:rsidP="00156459">
            <w:pPr>
              <w:adjustRightInd w:val="0"/>
              <w:spacing w:before="60" w:after="60"/>
              <w:jc w:val="left"/>
              <w:rPr>
                <w:rFonts w:cs="Arial"/>
                <w:b/>
                <w:bCs/>
              </w:rPr>
            </w:pPr>
            <w:r w:rsidRPr="00D07061">
              <w:rPr>
                <w:rFonts w:cs="Arial"/>
                <w:b/>
                <w:bCs/>
                <w:color w:val="0070C0"/>
              </w:rPr>
              <w:fldChar w:fldCharType="begin"/>
            </w:r>
            <w:r w:rsidRPr="00D07061">
              <w:rPr>
                <w:rFonts w:cs="Arial"/>
                <w:b/>
                <w:bCs/>
                <w:color w:val="0070C0"/>
              </w:rPr>
              <w:instrText xml:space="preserve"> REF _Ref155262205 \h  \* MERGEFORMAT </w:instrText>
            </w:r>
            <w:r w:rsidRPr="00D07061">
              <w:rPr>
                <w:rFonts w:cs="Arial"/>
                <w:b/>
                <w:bCs/>
                <w:color w:val="0070C0"/>
              </w:rPr>
            </w:r>
            <w:r w:rsidRPr="00D07061">
              <w:rPr>
                <w:rFonts w:cs="Arial"/>
                <w:b/>
                <w:bCs/>
                <w:color w:val="0070C0"/>
              </w:rPr>
              <w:fldChar w:fldCharType="separate"/>
            </w:r>
            <w:r w:rsidRPr="00D07061">
              <w:rPr>
                <w:b/>
                <w:bCs/>
                <w:color w:val="0070C0"/>
              </w:rPr>
              <w:t>Treatment Group Only</w:t>
            </w:r>
            <w:r w:rsidRPr="00D07061">
              <w:rPr>
                <w:rFonts w:cs="Arial"/>
                <w:b/>
                <w:bCs/>
                <w:color w:val="0070C0"/>
              </w:rPr>
              <w:fldChar w:fldCharType="end"/>
            </w:r>
          </w:p>
        </w:tc>
        <w:tc>
          <w:tcPr>
            <w:tcW w:w="5665" w:type="dxa"/>
          </w:tcPr>
          <w:p w14:paraId="023E6351" w14:textId="77777777" w:rsidR="00156459" w:rsidRPr="008A05A5" w:rsidRDefault="00156459" w:rsidP="007F177E">
            <w:pPr>
              <w:pStyle w:val="ListParagraph"/>
              <w:numPr>
                <w:ilvl w:val="0"/>
                <w:numId w:val="120"/>
              </w:numPr>
              <w:adjustRightInd w:val="0"/>
              <w:spacing w:before="60" w:after="60"/>
              <w:ind w:left="516"/>
              <w:contextualSpacing w:val="0"/>
              <w:jc w:val="left"/>
              <w:rPr>
                <w:rFonts w:cs="Arial"/>
              </w:rPr>
            </w:pPr>
            <w:r w:rsidRPr="008A05A5">
              <w:rPr>
                <w:rFonts w:cs="Arial"/>
              </w:rPr>
              <w:t>Hardship at Enrollment: Decrease in Income</w:t>
            </w:r>
          </w:p>
          <w:p w14:paraId="2E74D53F" w14:textId="77777777" w:rsidR="00156459" w:rsidRPr="008A05A5" w:rsidRDefault="00156459" w:rsidP="007F177E">
            <w:pPr>
              <w:pStyle w:val="ListParagraph"/>
              <w:numPr>
                <w:ilvl w:val="0"/>
                <w:numId w:val="120"/>
              </w:numPr>
              <w:adjustRightInd w:val="0"/>
              <w:spacing w:before="60" w:after="60"/>
              <w:ind w:left="516"/>
              <w:contextualSpacing w:val="0"/>
              <w:jc w:val="left"/>
              <w:rPr>
                <w:rFonts w:cs="Arial"/>
              </w:rPr>
            </w:pPr>
            <w:r w:rsidRPr="008A05A5">
              <w:rPr>
                <w:rFonts w:cs="Arial"/>
              </w:rPr>
              <w:t>Hardship at Enrollment: Increase in TTP Due to Loss of Child Care Expense Deduction</w:t>
            </w:r>
          </w:p>
          <w:p w14:paraId="53259BEB" w14:textId="77777777" w:rsidR="00156459" w:rsidRPr="00156459" w:rsidRDefault="00156459" w:rsidP="007F177E">
            <w:pPr>
              <w:pStyle w:val="ListParagraph"/>
              <w:numPr>
                <w:ilvl w:val="0"/>
                <w:numId w:val="120"/>
              </w:numPr>
              <w:adjustRightInd w:val="0"/>
              <w:spacing w:before="60" w:after="60"/>
              <w:ind w:left="516"/>
              <w:contextualSpacing w:val="0"/>
              <w:jc w:val="left"/>
              <w:rPr>
                <w:rFonts w:cs="Arial"/>
              </w:rPr>
            </w:pPr>
            <w:r w:rsidRPr="00156459">
              <w:rPr>
                <w:rFonts w:cs="Arial"/>
              </w:rPr>
              <w:t>Reduction in Income Hardship</w:t>
            </w:r>
          </w:p>
          <w:p w14:paraId="64DB6288" w14:textId="77777777" w:rsidR="00156459" w:rsidRPr="00156459" w:rsidRDefault="00156459" w:rsidP="007F177E">
            <w:pPr>
              <w:pStyle w:val="ListParagraph"/>
              <w:numPr>
                <w:ilvl w:val="0"/>
                <w:numId w:val="120"/>
              </w:numPr>
              <w:adjustRightInd w:val="0"/>
              <w:spacing w:before="60" w:after="60"/>
              <w:ind w:left="516"/>
              <w:contextualSpacing w:val="0"/>
              <w:jc w:val="left"/>
              <w:rPr>
                <w:rFonts w:cs="Arial"/>
              </w:rPr>
            </w:pPr>
            <w:r w:rsidRPr="00156459">
              <w:rPr>
                <w:rFonts w:cs="Arial"/>
              </w:rPr>
              <w:t>Child Care Expense Hardship</w:t>
            </w:r>
          </w:p>
          <w:p w14:paraId="4F5FE548" w14:textId="77777777" w:rsidR="00156459" w:rsidRPr="00156459" w:rsidRDefault="00156459" w:rsidP="007F177E">
            <w:pPr>
              <w:pStyle w:val="ListParagraph"/>
              <w:numPr>
                <w:ilvl w:val="0"/>
                <w:numId w:val="120"/>
              </w:numPr>
              <w:adjustRightInd w:val="0"/>
              <w:spacing w:before="60" w:after="60"/>
              <w:ind w:left="516"/>
              <w:contextualSpacing w:val="0"/>
              <w:jc w:val="left"/>
              <w:rPr>
                <w:rFonts w:cs="Arial"/>
              </w:rPr>
            </w:pPr>
            <w:r w:rsidRPr="00156459">
              <w:rPr>
                <w:rFonts w:cs="Arial"/>
              </w:rPr>
              <w:t>Full-Time Student Hardship</w:t>
            </w:r>
          </w:p>
          <w:p w14:paraId="2CEBC7E2" w14:textId="77777777" w:rsidR="00156459" w:rsidRPr="00156459" w:rsidRDefault="00156459" w:rsidP="007F177E">
            <w:pPr>
              <w:pStyle w:val="ListParagraph"/>
              <w:numPr>
                <w:ilvl w:val="0"/>
                <w:numId w:val="120"/>
              </w:numPr>
              <w:adjustRightInd w:val="0"/>
              <w:spacing w:before="60" w:after="60"/>
              <w:ind w:left="516"/>
              <w:contextualSpacing w:val="0"/>
              <w:jc w:val="left"/>
              <w:rPr>
                <w:rFonts w:cs="Arial"/>
              </w:rPr>
            </w:pPr>
            <w:r w:rsidRPr="00156459">
              <w:rPr>
                <w:rFonts w:cs="Arial"/>
              </w:rPr>
              <w:t>Other Hardship</w:t>
            </w:r>
          </w:p>
        </w:tc>
      </w:tr>
      <w:tr w:rsidR="00156459" w14:paraId="2F02520D" w14:textId="77777777" w:rsidTr="00156459">
        <w:tc>
          <w:tcPr>
            <w:tcW w:w="3685" w:type="dxa"/>
          </w:tcPr>
          <w:p w14:paraId="3A5DA939" w14:textId="6E2D6FDD" w:rsidR="00156459" w:rsidRPr="00D07061" w:rsidRDefault="00D07061" w:rsidP="00156459">
            <w:pPr>
              <w:adjustRightInd w:val="0"/>
              <w:spacing w:before="60" w:after="60"/>
              <w:jc w:val="left"/>
              <w:rPr>
                <w:rFonts w:cs="Arial"/>
                <w:b/>
                <w:bCs/>
              </w:rPr>
            </w:pPr>
            <w:r w:rsidRPr="00D07061">
              <w:rPr>
                <w:rFonts w:cs="Arial"/>
                <w:b/>
                <w:bCs/>
                <w:color w:val="0070C0"/>
              </w:rPr>
              <w:fldChar w:fldCharType="begin"/>
            </w:r>
            <w:r w:rsidRPr="00D07061">
              <w:rPr>
                <w:rFonts w:cs="Arial"/>
                <w:b/>
                <w:bCs/>
                <w:color w:val="0070C0"/>
              </w:rPr>
              <w:instrText xml:space="preserve"> REF _Ref165036576 \h  \* MERGEFORMAT </w:instrText>
            </w:r>
            <w:r w:rsidRPr="00D07061">
              <w:rPr>
                <w:rFonts w:cs="Arial"/>
                <w:b/>
                <w:bCs/>
                <w:color w:val="0070C0"/>
              </w:rPr>
            </w:r>
            <w:r w:rsidRPr="00D07061">
              <w:rPr>
                <w:rFonts w:cs="Arial"/>
                <w:b/>
                <w:bCs/>
                <w:color w:val="0070C0"/>
              </w:rPr>
              <w:fldChar w:fldCharType="separate"/>
            </w:r>
            <w:r w:rsidRPr="00D07061">
              <w:rPr>
                <w:b/>
                <w:bCs/>
                <w:color w:val="0070C0"/>
              </w:rPr>
              <w:t>Excluded Group Only</w:t>
            </w:r>
            <w:r w:rsidRPr="00D07061">
              <w:rPr>
                <w:rFonts w:cs="Arial"/>
                <w:b/>
                <w:bCs/>
                <w:color w:val="0070C0"/>
              </w:rPr>
              <w:fldChar w:fldCharType="end"/>
            </w:r>
          </w:p>
        </w:tc>
        <w:tc>
          <w:tcPr>
            <w:tcW w:w="5665" w:type="dxa"/>
          </w:tcPr>
          <w:p w14:paraId="3631C93F" w14:textId="77777777" w:rsidR="00156459" w:rsidRPr="00156459" w:rsidRDefault="00156459" w:rsidP="007F177E">
            <w:pPr>
              <w:pStyle w:val="ListParagraph"/>
              <w:numPr>
                <w:ilvl w:val="0"/>
                <w:numId w:val="120"/>
              </w:numPr>
              <w:adjustRightInd w:val="0"/>
              <w:spacing w:before="60" w:after="60"/>
              <w:ind w:left="516"/>
              <w:contextualSpacing w:val="0"/>
              <w:jc w:val="left"/>
              <w:rPr>
                <w:rFonts w:cs="Arial"/>
              </w:rPr>
            </w:pPr>
            <w:r w:rsidRPr="00156459">
              <w:rPr>
                <w:rFonts w:cs="Arial"/>
              </w:rPr>
              <w:t>Flat</w:t>
            </w:r>
            <w:r w:rsidR="00910427">
              <w:rPr>
                <w:rFonts w:cs="Arial"/>
              </w:rPr>
              <w:t xml:space="preserve"> </w:t>
            </w:r>
            <w:r w:rsidRPr="00156459">
              <w:rPr>
                <w:rFonts w:cs="Arial"/>
              </w:rPr>
              <w:t>Rent Hardship</w:t>
            </w:r>
          </w:p>
        </w:tc>
      </w:tr>
    </w:tbl>
    <w:p w14:paraId="0712803D" w14:textId="77777777" w:rsidR="00846E5E" w:rsidRDefault="00846E5E" w:rsidP="00C778CC">
      <w:pPr>
        <w:adjustRightInd w:val="0"/>
        <w:spacing w:after="0" w:line="240" w:lineRule="auto"/>
        <w:rPr>
          <w:rFonts w:cs="Arial"/>
        </w:rPr>
      </w:pPr>
    </w:p>
    <w:p w14:paraId="6BCE4A85" w14:textId="77777777" w:rsidR="00B86128" w:rsidRPr="00B86128" w:rsidRDefault="00B86128" w:rsidP="00B86128">
      <w:pPr>
        <w:pStyle w:val="Heading2"/>
      </w:pPr>
      <w:bookmarkStart w:id="1977" w:name="_Toc114067501"/>
      <w:bookmarkStart w:id="1978" w:name="_Toc119412715"/>
      <w:bookmarkStart w:id="1979" w:name="_Toc137809062"/>
      <w:bookmarkStart w:id="1980" w:name="_Toc137809604"/>
      <w:bookmarkStart w:id="1981" w:name="_Toc137809848"/>
      <w:bookmarkStart w:id="1982" w:name="_Toc137810160"/>
      <w:bookmarkStart w:id="1983" w:name="_Toc138429493"/>
      <w:bookmarkStart w:id="1984" w:name="_Toc138430328"/>
      <w:bookmarkStart w:id="1985" w:name="_Toc138856479"/>
      <w:bookmarkStart w:id="1986" w:name="_Toc138857773"/>
      <w:bookmarkStart w:id="1987" w:name="_Toc138860582"/>
      <w:bookmarkStart w:id="1988" w:name="_Toc147141881"/>
      <w:bookmarkStart w:id="1989" w:name="_Toc173222726"/>
      <w:bookmarkStart w:id="1990" w:name="_Toc200375728"/>
      <w:bookmarkStart w:id="1991" w:name="_Toc200376992"/>
      <w:bookmarkEnd w:id="1974"/>
      <w:bookmarkEnd w:id="1976"/>
      <w:r w:rsidRPr="00B86128">
        <w:t>Hardship Process</w:t>
      </w:r>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p>
    <w:p w14:paraId="640DD084" w14:textId="77777777" w:rsidR="00B86128" w:rsidRPr="00194C7E" w:rsidRDefault="00BE33A8" w:rsidP="00194C7E">
      <w:pPr>
        <w:adjustRightInd w:val="0"/>
        <w:rPr>
          <w:rFonts w:cs="Arial"/>
        </w:rPr>
      </w:pPr>
      <w:r>
        <w:rPr>
          <w:rFonts w:cs="Arial"/>
        </w:rPr>
        <w:t>All h</w:t>
      </w:r>
      <w:r w:rsidR="00B86128" w:rsidRPr="00194C7E">
        <w:rPr>
          <w:rFonts w:cs="Arial"/>
        </w:rPr>
        <w:t>ouseholds who request a hardship will be subject to the hardship process outlined below.</w:t>
      </w:r>
    </w:p>
    <w:p w14:paraId="01055011" w14:textId="77777777" w:rsidR="00B86128" w:rsidRPr="00312815" w:rsidRDefault="00B86128" w:rsidP="007F177E">
      <w:pPr>
        <w:numPr>
          <w:ilvl w:val="0"/>
          <w:numId w:val="261"/>
        </w:numPr>
        <w:autoSpaceDE w:val="0"/>
        <w:autoSpaceDN w:val="0"/>
        <w:ind w:left="720"/>
        <w:rPr>
          <w:rFonts w:eastAsia="Times New Roman" w:cs="Arial"/>
        </w:rPr>
      </w:pPr>
      <w:r w:rsidRPr="00312815">
        <w:rPr>
          <w:rFonts w:eastAsia="Times New Roman" w:cs="Arial"/>
        </w:rPr>
        <w:t xml:space="preserve">When a household makes a written request for a hardship exemption, HHA will suspend the MTW or applicable activity on the first day of the next month after the hardship request is received. </w:t>
      </w:r>
    </w:p>
    <w:p w14:paraId="43DD562C" w14:textId="77777777" w:rsidR="00B86128" w:rsidRPr="00194C7E" w:rsidRDefault="00B86128" w:rsidP="007F177E">
      <w:pPr>
        <w:numPr>
          <w:ilvl w:val="0"/>
          <w:numId w:val="261"/>
        </w:numPr>
        <w:ind w:left="720"/>
        <w:rPr>
          <w:rFonts w:eastAsia="Times New Roman" w:cs="Arial"/>
        </w:rPr>
      </w:pPr>
      <w:r w:rsidRPr="00194C7E">
        <w:rPr>
          <w:rFonts w:eastAsia="Times New Roman" w:cs="Arial"/>
        </w:rPr>
        <w:t xml:space="preserve">HHA will approve a provisional hardship TTP beginning the first day of the next month after the receipt of a valid hardship request indicating qualifying circumstances. </w:t>
      </w:r>
    </w:p>
    <w:p w14:paraId="1D3FA018" w14:textId="77777777" w:rsidR="00B86128" w:rsidRPr="00194C7E" w:rsidRDefault="00B86128" w:rsidP="007F177E">
      <w:pPr>
        <w:numPr>
          <w:ilvl w:val="0"/>
          <w:numId w:val="261"/>
        </w:numPr>
        <w:ind w:left="720"/>
        <w:rPr>
          <w:rFonts w:eastAsia="Times New Roman" w:cs="Arial"/>
        </w:rPr>
      </w:pPr>
      <w:r w:rsidRPr="00194C7E">
        <w:rPr>
          <w:rFonts w:eastAsia="Times New Roman" w:cs="Arial"/>
        </w:rPr>
        <w:t xml:space="preserve">The provisional hardship TTP will be based on the tier corresponding to the household’s current gross income, reported by the household in their hardship request. </w:t>
      </w:r>
    </w:p>
    <w:p w14:paraId="2CED69F3" w14:textId="77777777" w:rsidR="00B86128" w:rsidRPr="00194C7E" w:rsidRDefault="00B86128" w:rsidP="007F177E">
      <w:pPr>
        <w:numPr>
          <w:ilvl w:val="0"/>
          <w:numId w:val="261"/>
        </w:numPr>
        <w:ind w:left="720"/>
        <w:rPr>
          <w:rFonts w:eastAsia="Times New Roman" w:cs="Arial"/>
        </w:rPr>
      </w:pPr>
      <w:r w:rsidRPr="00194C7E">
        <w:rPr>
          <w:rFonts w:eastAsia="Times New Roman" w:cs="Arial"/>
        </w:rPr>
        <w:t xml:space="preserve">The household will be required to provide the required documentation within </w:t>
      </w:r>
      <w:r w:rsidR="003F4886">
        <w:rPr>
          <w:rFonts w:eastAsia="Times New Roman" w:cs="Arial"/>
        </w:rPr>
        <w:t>15 calendar days</w:t>
      </w:r>
      <w:r w:rsidRPr="00194C7E">
        <w:rPr>
          <w:rFonts w:eastAsia="Times New Roman" w:cs="Arial"/>
        </w:rPr>
        <w:t xml:space="preserve"> to enable HHA to verify the hardship. </w:t>
      </w:r>
    </w:p>
    <w:p w14:paraId="2B064FB8" w14:textId="77777777" w:rsidR="00B86128" w:rsidRPr="00194C7E" w:rsidRDefault="00B86128" w:rsidP="007F177E">
      <w:pPr>
        <w:numPr>
          <w:ilvl w:val="0"/>
          <w:numId w:val="261"/>
        </w:numPr>
        <w:ind w:left="720"/>
        <w:rPr>
          <w:rFonts w:cs="Arial"/>
        </w:rPr>
      </w:pPr>
      <w:r w:rsidRPr="00194C7E">
        <w:rPr>
          <w:rFonts w:eastAsia="Times New Roman" w:cs="Arial"/>
        </w:rPr>
        <w:t xml:space="preserve">HHA will decide whether to grant the hardship </w:t>
      </w:r>
      <w:r w:rsidR="003F4886">
        <w:rPr>
          <w:rFonts w:eastAsia="Times New Roman" w:cs="Arial"/>
        </w:rPr>
        <w:t>timely</w:t>
      </w:r>
      <w:r w:rsidRPr="00194C7E">
        <w:rPr>
          <w:rFonts w:eastAsia="Times New Roman" w:cs="Arial"/>
        </w:rPr>
        <w:t xml:space="preserve">. If the hardship request is denied, the household may be required to enter into a repayment agreement. </w:t>
      </w:r>
    </w:p>
    <w:p w14:paraId="2C2D016A" w14:textId="77777777" w:rsidR="00B86128" w:rsidRPr="00312815" w:rsidRDefault="00B86128" w:rsidP="007F177E">
      <w:pPr>
        <w:numPr>
          <w:ilvl w:val="0"/>
          <w:numId w:val="261"/>
        </w:numPr>
        <w:ind w:left="720"/>
        <w:rPr>
          <w:rFonts w:cs="Arial"/>
        </w:rPr>
      </w:pPr>
      <w:r w:rsidRPr="00194C7E">
        <w:rPr>
          <w:rFonts w:cs="Arial"/>
        </w:rPr>
        <w:t xml:space="preserve">If the household is not eligible for the requested hardship (see above table), the request </w:t>
      </w:r>
      <w:r w:rsidRPr="00312815">
        <w:rPr>
          <w:rFonts w:cs="Arial"/>
        </w:rPr>
        <w:t>will be administratively closed without right to appeal.</w:t>
      </w:r>
    </w:p>
    <w:p w14:paraId="559C027E" w14:textId="77777777" w:rsidR="00B86128" w:rsidRPr="00312815" w:rsidRDefault="00B86128" w:rsidP="007F177E">
      <w:pPr>
        <w:pStyle w:val="ListParagraph"/>
        <w:numPr>
          <w:ilvl w:val="0"/>
          <w:numId w:val="261"/>
        </w:numPr>
        <w:autoSpaceDE w:val="0"/>
        <w:autoSpaceDN w:val="0"/>
        <w:adjustRightInd w:val="0"/>
        <w:ind w:left="720"/>
        <w:contextualSpacing w:val="0"/>
        <w:rPr>
          <w:rFonts w:cs="Arial"/>
        </w:rPr>
      </w:pPr>
      <w:r w:rsidRPr="00312815">
        <w:rPr>
          <w:rFonts w:cs="Arial"/>
        </w:rPr>
        <w:t>HHA will retain records of all MTW hardship requests received and the results of these requests and supply them at HUD’s request. HHA will retain this information for the duration of the Agency’s participation in the MTW demonstration program and make such information available for public review and inspection at HHA’s principal office during normal business hours.</w:t>
      </w:r>
    </w:p>
    <w:p w14:paraId="5D188472" w14:textId="77777777" w:rsidR="00B86128" w:rsidRPr="00194C7E" w:rsidRDefault="00B86128" w:rsidP="007F177E">
      <w:pPr>
        <w:pStyle w:val="ListParagraph"/>
        <w:numPr>
          <w:ilvl w:val="0"/>
          <w:numId w:val="261"/>
        </w:numPr>
        <w:autoSpaceDE w:val="0"/>
        <w:autoSpaceDN w:val="0"/>
        <w:adjustRightInd w:val="0"/>
        <w:ind w:left="720"/>
        <w:contextualSpacing w:val="0"/>
        <w:rPr>
          <w:rFonts w:cs="Arial"/>
        </w:rPr>
      </w:pPr>
      <w:r w:rsidRPr="00194C7E">
        <w:rPr>
          <w:rFonts w:cs="Arial"/>
        </w:rPr>
        <w:t xml:space="preserve">If a financial hardship request is denied, HHA will provide the household with an opportunity to request a grievance hearing for a second level review of the denied hardship request. Such request must be made </w:t>
      </w:r>
      <w:r w:rsidRPr="003F4886">
        <w:rPr>
          <w:rFonts w:cs="Arial"/>
        </w:rPr>
        <w:t>within 15 calendar days</w:t>
      </w:r>
      <w:r w:rsidRPr="00194C7E">
        <w:rPr>
          <w:rFonts w:cs="Arial"/>
        </w:rPr>
        <w:t xml:space="preserve"> from the date on the denial.</w:t>
      </w:r>
    </w:p>
    <w:p w14:paraId="109E001B" w14:textId="77777777" w:rsidR="00B86128" w:rsidRDefault="00B86128" w:rsidP="007F177E">
      <w:pPr>
        <w:pStyle w:val="ListParagraph"/>
        <w:numPr>
          <w:ilvl w:val="0"/>
          <w:numId w:val="261"/>
        </w:numPr>
        <w:autoSpaceDE w:val="0"/>
        <w:autoSpaceDN w:val="0"/>
        <w:adjustRightInd w:val="0"/>
        <w:ind w:left="720"/>
        <w:contextualSpacing w:val="0"/>
        <w:rPr>
          <w:rFonts w:cs="Arial"/>
        </w:rPr>
      </w:pPr>
      <w:bookmarkStart w:id="1992" w:name="_Hlk99688529"/>
      <w:r w:rsidRPr="00194C7E">
        <w:rPr>
          <w:rFonts w:cs="Arial"/>
        </w:rPr>
        <w:t>Except where stated, generally, approved hardship rents related to MTW will remain in place for a 12-month period at which time the household must reapply for hardship. If the household does not reapply or is not approved for a continued hardship, the rent will revert back to the pre-hardship tiered rent. Where a hardship request is granted and the triennial recertification occurs prior to the end of the 12-month hardship period, the hardship will automatically end at the triennial recertification. The household may reapply for hardship at the triennial recertification.</w:t>
      </w:r>
    </w:p>
    <w:p w14:paraId="1876B47F" w14:textId="77777777" w:rsidR="001633A6" w:rsidRDefault="001633A6" w:rsidP="001633A6">
      <w:pPr>
        <w:pStyle w:val="Heading2"/>
        <w:tabs>
          <w:tab w:val="left" w:pos="360"/>
        </w:tabs>
        <w:ind w:left="360"/>
      </w:pPr>
      <w:bookmarkStart w:id="1993" w:name="_Ref165036551"/>
      <w:bookmarkStart w:id="1994" w:name="_Toc173222727"/>
      <w:bookmarkStart w:id="1995" w:name="_Toc200375729"/>
      <w:bookmarkStart w:id="1996" w:name="_Toc200376993"/>
      <w:bookmarkStart w:id="1997" w:name="_Toc114067507"/>
      <w:bookmarkStart w:id="1998" w:name="_Toc119412721"/>
      <w:bookmarkStart w:id="1999" w:name="_Toc137809070"/>
      <w:bookmarkStart w:id="2000" w:name="_Toc137809612"/>
      <w:bookmarkStart w:id="2001" w:name="_Toc137809856"/>
      <w:bookmarkStart w:id="2002" w:name="_Toc137810168"/>
      <w:bookmarkStart w:id="2003" w:name="_Toc138429501"/>
      <w:bookmarkStart w:id="2004" w:name="_Toc138430336"/>
      <w:bookmarkStart w:id="2005" w:name="_Toc138856487"/>
      <w:bookmarkStart w:id="2006" w:name="_Toc138857781"/>
      <w:bookmarkStart w:id="2007" w:name="_Toc138860590"/>
      <w:bookmarkStart w:id="2008" w:name="_Toc147141889"/>
      <w:bookmarkStart w:id="2009" w:name="_Toc95620258"/>
      <w:r>
        <w:t>All Groups: Treatment, Control, and Excluded</w:t>
      </w:r>
      <w:bookmarkEnd w:id="1993"/>
      <w:bookmarkEnd w:id="1994"/>
      <w:bookmarkEnd w:id="1995"/>
      <w:bookmarkEnd w:id="1996"/>
    </w:p>
    <w:p w14:paraId="1CF737D1" w14:textId="77777777" w:rsidR="001633A6" w:rsidRPr="00A2158C" w:rsidRDefault="001633A6" w:rsidP="00677451">
      <w:pPr>
        <w:pStyle w:val="Heading3"/>
      </w:pPr>
      <w:bookmarkStart w:id="2010" w:name="_Ref155262532"/>
      <w:bookmarkStart w:id="2011" w:name="_Toc200375730"/>
      <w:r w:rsidRPr="00A2158C">
        <w:t>Alternative Verification Hierarchy Hardship</w:t>
      </w:r>
      <w:bookmarkEnd w:id="1997"/>
      <w:bookmarkEnd w:id="1998"/>
      <w:bookmarkEnd w:id="1999"/>
      <w:bookmarkEnd w:id="2000"/>
      <w:bookmarkEnd w:id="2001"/>
      <w:bookmarkEnd w:id="2002"/>
      <w:bookmarkEnd w:id="2003"/>
      <w:bookmarkEnd w:id="2004"/>
      <w:bookmarkEnd w:id="2005"/>
      <w:bookmarkEnd w:id="2006"/>
      <w:bookmarkEnd w:id="2007"/>
      <w:bookmarkEnd w:id="2008"/>
      <w:bookmarkEnd w:id="2010"/>
      <w:bookmarkEnd w:id="2011"/>
    </w:p>
    <w:p w14:paraId="532511EF" w14:textId="77777777" w:rsidR="001633A6" w:rsidRPr="00C95F46" w:rsidRDefault="001633A6" w:rsidP="001633A6">
      <w:pPr>
        <w:rPr>
          <w:rFonts w:cs="Arial"/>
        </w:rPr>
      </w:pPr>
      <w:bookmarkStart w:id="2012" w:name="_Hlk100219588"/>
      <w:r w:rsidRPr="00C95F46">
        <w:rPr>
          <w:rFonts w:cs="Arial"/>
        </w:rPr>
        <w:t xml:space="preserve">If a household does not agree with an income and rent determination which may be predicated upon the use of third-party documents and tenant declarations outside of the HUD standard </w:t>
      </w:r>
      <w:r w:rsidR="00DA5374">
        <w:rPr>
          <w:rFonts w:cs="Arial"/>
        </w:rPr>
        <w:t>v</w:t>
      </w:r>
      <w:r w:rsidRPr="00C95F46">
        <w:rPr>
          <w:rFonts w:cs="Arial"/>
        </w:rPr>
        <w:t xml:space="preserve">erification </w:t>
      </w:r>
      <w:r w:rsidR="00DA5374">
        <w:rPr>
          <w:rFonts w:cs="Arial"/>
        </w:rPr>
        <w:t>h</w:t>
      </w:r>
      <w:r w:rsidRPr="00C95F46">
        <w:rPr>
          <w:rFonts w:cs="Arial"/>
        </w:rPr>
        <w:t>ierarchy, the household may request an informal hearing as a second level of review of HHA’s determinations. HHA will follow its existing policies upon receipt of the household’s request for an informal hearing.</w:t>
      </w:r>
    </w:p>
    <w:p w14:paraId="502DE2D4" w14:textId="77777777" w:rsidR="001633A6" w:rsidRPr="00C95F46" w:rsidRDefault="001633A6" w:rsidP="001633A6">
      <w:pPr>
        <w:rPr>
          <w:rFonts w:cs="Arial"/>
        </w:rPr>
      </w:pPr>
      <w:r w:rsidRPr="00C95F46">
        <w:rPr>
          <w:rFonts w:cs="Arial"/>
        </w:rPr>
        <w:t>The Alternative Verification Hierarchy Hardship policy applies to families in the Treatment</w:t>
      </w:r>
      <w:r w:rsidR="00632EE3">
        <w:rPr>
          <w:rFonts w:cs="Arial"/>
        </w:rPr>
        <w:t>, Control,</w:t>
      </w:r>
      <w:r w:rsidRPr="00C95F46">
        <w:rPr>
          <w:rFonts w:cs="Arial"/>
        </w:rPr>
        <w:t xml:space="preserve"> and Excluded groups.</w:t>
      </w:r>
    </w:p>
    <w:p w14:paraId="0B63B32A" w14:textId="77777777" w:rsidR="001633A6" w:rsidRPr="00A2158C" w:rsidRDefault="001633A6" w:rsidP="00677451">
      <w:pPr>
        <w:pStyle w:val="Heading3"/>
      </w:pPr>
      <w:bookmarkStart w:id="2013" w:name="_Ref112745963"/>
      <w:bookmarkStart w:id="2014" w:name="_Toc114067509"/>
      <w:bookmarkStart w:id="2015" w:name="_Toc119412723"/>
      <w:bookmarkStart w:id="2016" w:name="_Toc137809072"/>
      <w:bookmarkStart w:id="2017" w:name="_Toc137809614"/>
      <w:bookmarkStart w:id="2018" w:name="_Toc137809858"/>
      <w:bookmarkStart w:id="2019" w:name="_Toc137810170"/>
      <w:bookmarkStart w:id="2020" w:name="_Toc138429503"/>
      <w:bookmarkStart w:id="2021" w:name="_Toc138430338"/>
      <w:bookmarkStart w:id="2022" w:name="_Toc138856489"/>
      <w:bookmarkStart w:id="2023" w:name="_Toc138857783"/>
      <w:bookmarkStart w:id="2024" w:name="_Toc138860592"/>
      <w:bookmarkStart w:id="2025" w:name="_Toc147141891"/>
      <w:bookmarkStart w:id="2026" w:name="_Toc200375731"/>
      <w:bookmarkEnd w:id="2009"/>
      <w:bookmarkEnd w:id="2012"/>
      <w:r w:rsidRPr="00A2158C">
        <w:t>Minimum Rent Hardship</w:t>
      </w:r>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p>
    <w:p w14:paraId="0ADD0510" w14:textId="77777777" w:rsidR="001633A6" w:rsidRPr="00A2158C" w:rsidRDefault="001633A6" w:rsidP="001633A6">
      <w:pPr>
        <w:adjustRightInd w:val="0"/>
        <w:rPr>
          <w:rFonts w:cs="Arial"/>
          <w:szCs w:val="20"/>
        </w:rPr>
      </w:pPr>
      <w:r w:rsidRPr="00A2158C">
        <w:rPr>
          <w:rFonts w:cs="Arial"/>
          <w:szCs w:val="20"/>
        </w:rPr>
        <w:t>HHA may grant an exemption from the minimum rent if a family is unable to pay the minimum rent because of a financial hardship.</w:t>
      </w:r>
    </w:p>
    <w:p w14:paraId="5C17F022" w14:textId="77777777" w:rsidR="001633A6" w:rsidRPr="00A2158C" w:rsidRDefault="001633A6" w:rsidP="001633A6">
      <w:pPr>
        <w:adjustRightInd w:val="0"/>
        <w:rPr>
          <w:rFonts w:cs="Arial"/>
          <w:szCs w:val="20"/>
        </w:rPr>
      </w:pPr>
      <w:r w:rsidRPr="00A2158C">
        <w:rPr>
          <w:rFonts w:cs="Arial"/>
          <w:szCs w:val="20"/>
        </w:rPr>
        <w:t>The minimum rent hardship policy applies to the families in the Treatment, Excluded</w:t>
      </w:r>
      <w:r w:rsidR="00D92EB9">
        <w:rPr>
          <w:rFonts w:cs="Arial"/>
          <w:szCs w:val="20"/>
        </w:rPr>
        <w:t>,</w:t>
      </w:r>
      <w:r w:rsidRPr="00A2158C">
        <w:rPr>
          <w:rFonts w:cs="Arial"/>
          <w:szCs w:val="20"/>
        </w:rPr>
        <w:t xml:space="preserve"> and Control groups</w:t>
      </w:r>
      <w:r w:rsidR="00DC4EFA">
        <w:rPr>
          <w:rFonts w:cs="Arial"/>
          <w:szCs w:val="20"/>
        </w:rPr>
        <w:t xml:space="preserve"> who are</w:t>
      </w:r>
      <w:r w:rsidR="00730C71">
        <w:rPr>
          <w:rFonts w:cs="Arial"/>
          <w:szCs w:val="20"/>
        </w:rPr>
        <w:t xml:space="preserve"> required to pay the minimum rent. </w:t>
      </w:r>
      <w:r w:rsidR="00121303" w:rsidRPr="00765546">
        <w:t>If a household’s TTP is higher than the minimum rent, the household is not eligible for a minimum rent hardship exemption.</w:t>
      </w:r>
    </w:p>
    <w:p w14:paraId="1D642078" w14:textId="77777777" w:rsidR="001633A6" w:rsidRPr="00A2158C" w:rsidRDefault="001633A6" w:rsidP="001633A6">
      <w:pPr>
        <w:pStyle w:val="Heading4"/>
      </w:pPr>
      <w:bookmarkStart w:id="2027" w:name="_Toc137809073"/>
      <w:bookmarkStart w:id="2028" w:name="_Toc137809615"/>
      <w:bookmarkStart w:id="2029" w:name="_Toc137809859"/>
      <w:bookmarkStart w:id="2030" w:name="_Toc137810171"/>
      <w:bookmarkStart w:id="2031" w:name="_Toc138429504"/>
      <w:bookmarkStart w:id="2032" w:name="_Toc138430339"/>
      <w:bookmarkStart w:id="2033" w:name="_Toc138860593"/>
      <w:bookmarkStart w:id="2034" w:name="_Toc147141892"/>
      <w:r w:rsidRPr="00A2158C">
        <w:t>Defined Financial Hardships</w:t>
      </w:r>
      <w:bookmarkEnd w:id="2027"/>
      <w:bookmarkEnd w:id="2028"/>
      <w:bookmarkEnd w:id="2029"/>
      <w:bookmarkEnd w:id="2030"/>
      <w:bookmarkEnd w:id="2031"/>
      <w:bookmarkEnd w:id="2032"/>
      <w:bookmarkEnd w:id="2033"/>
      <w:bookmarkEnd w:id="2034"/>
    </w:p>
    <w:p w14:paraId="253E6673" w14:textId="77777777" w:rsidR="001633A6" w:rsidRPr="00A2158C" w:rsidRDefault="001633A6" w:rsidP="001633A6">
      <w:pPr>
        <w:adjustRightInd w:val="0"/>
        <w:rPr>
          <w:rFonts w:cs="Arial"/>
          <w:szCs w:val="20"/>
        </w:rPr>
      </w:pPr>
      <w:r w:rsidRPr="00A2158C">
        <w:rPr>
          <w:rFonts w:cs="Arial"/>
          <w:szCs w:val="20"/>
        </w:rPr>
        <w:t>Financial hardship includes the following situations:</w:t>
      </w:r>
    </w:p>
    <w:p w14:paraId="65ED0EDC" w14:textId="77777777" w:rsidR="001633A6" w:rsidRPr="00A2158C" w:rsidRDefault="001633A6" w:rsidP="007F177E">
      <w:pPr>
        <w:pStyle w:val="ListParagraph"/>
        <w:numPr>
          <w:ilvl w:val="0"/>
          <w:numId w:val="113"/>
        </w:numPr>
        <w:autoSpaceDE w:val="0"/>
        <w:autoSpaceDN w:val="0"/>
        <w:adjustRightInd w:val="0"/>
        <w:ind w:left="720"/>
        <w:contextualSpacing w:val="0"/>
        <w:rPr>
          <w:rFonts w:cs="Arial"/>
          <w:szCs w:val="20"/>
        </w:rPr>
      </w:pPr>
      <w:r w:rsidRPr="00A2158C">
        <w:rPr>
          <w:rFonts w:cs="Arial"/>
          <w:szCs w:val="20"/>
        </w:rPr>
        <w:t>The family has lost eligibility for or is awaiting an eligibility determination for a federal, state, or local assistance program.</w:t>
      </w:r>
    </w:p>
    <w:p w14:paraId="525FF9E5" w14:textId="77777777" w:rsidR="001633A6" w:rsidRPr="00A2158C" w:rsidRDefault="001633A6" w:rsidP="007F177E">
      <w:pPr>
        <w:pStyle w:val="ListParagraph"/>
        <w:numPr>
          <w:ilvl w:val="1"/>
          <w:numId w:val="115"/>
        </w:numPr>
        <w:tabs>
          <w:tab w:val="left" w:pos="720"/>
        </w:tabs>
        <w:ind w:left="1440"/>
        <w:contextualSpacing w:val="0"/>
      </w:pPr>
      <w:r w:rsidRPr="00A2158C">
        <w:t xml:space="preserve">A hardship will be considered to exist only if the loss of eligibility has an impact on the family’s ability to pay the minimum rent. </w:t>
      </w:r>
    </w:p>
    <w:p w14:paraId="47029637" w14:textId="77777777" w:rsidR="001633A6" w:rsidRDefault="001633A6" w:rsidP="007F177E">
      <w:pPr>
        <w:pStyle w:val="ListParagraph"/>
        <w:numPr>
          <w:ilvl w:val="1"/>
          <w:numId w:val="115"/>
        </w:numPr>
        <w:tabs>
          <w:tab w:val="left" w:pos="720"/>
        </w:tabs>
        <w:ind w:left="1440"/>
        <w:contextualSpacing w:val="0"/>
      </w:pPr>
      <w:r w:rsidRPr="00A2158C">
        <w:t>For a family waiting for a determination of eligibility, the hardship period will end as of the first of the month following:</w:t>
      </w:r>
    </w:p>
    <w:p w14:paraId="49499585" w14:textId="77777777" w:rsidR="001633A6" w:rsidRDefault="001633A6" w:rsidP="007F177E">
      <w:pPr>
        <w:pStyle w:val="ListParagraph"/>
        <w:numPr>
          <w:ilvl w:val="2"/>
          <w:numId w:val="115"/>
        </w:numPr>
        <w:ind w:left="2160" w:hanging="360"/>
        <w:contextualSpacing w:val="0"/>
      </w:pPr>
      <w:r w:rsidRPr="00A2158C">
        <w:t>Implementation of assistance, if approved, or</w:t>
      </w:r>
    </w:p>
    <w:p w14:paraId="26F9EB7B" w14:textId="77777777" w:rsidR="001633A6" w:rsidRPr="00A2158C" w:rsidRDefault="001633A6" w:rsidP="007F177E">
      <w:pPr>
        <w:pStyle w:val="ListParagraph"/>
        <w:numPr>
          <w:ilvl w:val="2"/>
          <w:numId w:val="115"/>
        </w:numPr>
        <w:ind w:left="2160" w:hanging="360"/>
        <w:contextualSpacing w:val="0"/>
      </w:pPr>
      <w:r w:rsidRPr="00A2158C">
        <w:t xml:space="preserve">The decision to deny assistance. A family whose request for assistance is denied may request a hardship exemption based upon one of the other allowable hardship circumstances. </w:t>
      </w:r>
    </w:p>
    <w:p w14:paraId="5CCB9131" w14:textId="77777777" w:rsidR="001633A6" w:rsidRPr="00A2158C" w:rsidRDefault="001633A6" w:rsidP="007F177E">
      <w:pPr>
        <w:pStyle w:val="ListParagraph"/>
        <w:numPr>
          <w:ilvl w:val="0"/>
          <w:numId w:val="113"/>
        </w:numPr>
        <w:ind w:left="720"/>
        <w:contextualSpacing w:val="0"/>
      </w:pPr>
      <w:r w:rsidRPr="00A2158C">
        <w:t>The family would be evicted because it is unable to pay the minimum rent. For a family to qualify under this provision, the cause of the potential eviction must be the family’s failure to pay rent or tenant-paid utilities.</w:t>
      </w:r>
    </w:p>
    <w:p w14:paraId="088DF7E5" w14:textId="77777777" w:rsidR="001633A6" w:rsidRPr="00A2158C" w:rsidRDefault="001633A6" w:rsidP="007F177E">
      <w:pPr>
        <w:pStyle w:val="ListParagraph"/>
        <w:numPr>
          <w:ilvl w:val="0"/>
          <w:numId w:val="113"/>
        </w:numPr>
        <w:ind w:left="720"/>
        <w:contextualSpacing w:val="0"/>
      </w:pPr>
      <w:r w:rsidRPr="00A2158C">
        <w:t>Family income has decreased because of changed family circumstances, including the loss of employment.</w:t>
      </w:r>
    </w:p>
    <w:p w14:paraId="496BBFAB" w14:textId="77777777" w:rsidR="001633A6" w:rsidRPr="00A2158C" w:rsidRDefault="001633A6" w:rsidP="007F177E">
      <w:pPr>
        <w:pStyle w:val="ListParagraph"/>
        <w:numPr>
          <w:ilvl w:val="0"/>
          <w:numId w:val="113"/>
        </w:numPr>
        <w:ind w:left="720"/>
        <w:contextualSpacing w:val="0"/>
      </w:pPr>
      <w:r w:rsidRPr="00A2158C">
        <w:t>A death has occurred in the family. In order to qualify under this provision, a family must describe how the death has created a financial hardship (e.g., because of funeral-related expenses or the loss of the family member’s income).</w:t>
      </w:r>
    </w:p>
    <w:p w14:paraId="45A4D4CB" w14:textId="77777777" w:rsidR="001633A6" w:rsidRPr="00A2158C" w:rsidRDefault="001633A6" w:rsidP="003975F6">
      <w:pPr>
        <w:pStyle w:val="Heading4"/>
        <w:keepNext/>
      </w:pPr>
      <w:bookmarkStart w:id="2035" w:name="_Toc137809074"/>
      <w:bookmarkStart w:id="2036" w:name="_Toc137809616"/>
      <w:bookmarkStart w:id="2037" w:name="_Toc137809860"/>
      <w:bookmarkStart w:id="2038" w:name="_Toc137810172"/>
      <w:bookmarkStart w:id="2039" w:name="_Toc138429505"/>
      <w:bookmarkStart w:id="2040" w:name="_Toc138430340"/>
      <w:bookmarkStart w:id="2041" w:name="_Toc138860594"/>
      <w:bookmarkStart w:id="2042" w:name="_Toc147141893"/>
      <w:r w:rsidRPr="00A2158C">
        <w:t>Determination of Financial Hardship from Minimum Rent</w:t>
      </w:r>
      <w:bookmarkEnd w:id="2035"/>
      <w:bookmarkEnd w:id="2036"/>
      <w:bookmarkEnd w:id="2037"/>
      <w:bookmarkEnd w:id="2038"/>
      <w:bookmarkEnd w:id="2039"/>
      <w:bookmarkEnd w:id="2040"/>
      <w:bookmarkEnd w:id="2041"/>
      <w:bookmarkEnd w:id="2042"/>
    </w:p>
    <w:p w14:paraId="5F844922" w14:textId="77777777" w:rsidR="001633A6" w:rsidRPr="002476EC" w:rsidRDefault="001633A6" w:rsidP="003975F6">
      <w:pPr>
        <w:keepNext/>
        <w:tabs>
          <w:tab w:val="left" w:pos="720"/>
        </w:tabs>
        <w:rPr>
          <w:spacing w:val="-2"/>
        </w:rPr>
      </w:pPr>
      <w:r w:rsidRPr="002476EC">
        <w:rPr>
          <w:spacing w:val="-2"/>
        </w:rPr>
        <w:t>When a family requests a financial hardship exemption, HHA will suspend the minimum rent requirement beginning the first of the month following the family’s request. HHA will then determine whether the financial hardship exists and whether the hardship is temporary or long-term.</w:t>
      </w:r>
    </w:p>
    <w:p w14:paraId="70F691F0" w14:textId="77777777" w:rsidR="001633A6" w:rsidRPr="00A2158C" w:rsidRDefault="001633A6" w:rsidP="001633A6">
      <w:pPr>
        <w:tabs>
          <w:tab w:val="left" w:pos="720"/>
        </w:tabs>
      </w:pPr>
      <w:r w:rsidRPr="00A2158C">
        <w:t>HHA defines temporary hardship as a hardship expected to last 90 days or less. Long-term hardship is defined as a hardship expected to last more than 90 days.</w:t>
      </w:r>
    </w:p>
    <w:p w14:paraId="3E49964E" w14:textId="77777777" w:rsidR="001633A6" w:rsidRDefault="001633A6" w:rsidP="001633A6">
      <w:pPr>
        <w:tabs>
          <w:tab w:val="left" w:pos="720"/>
        </w:tabs>
      </w:pPr>
      <w:r w:rsidRPr="00A2158C">
        <w:t xml:space="preserve">When the minimum rent is suspended, the family will be required to </w:t>
      </w:r>
      <w:r w:rsidR="00B4476F">
        <w:t xml:space="preserve">pay the </w:t>
      </w:r>
      <w:r w:rsidR="00690929">
        <w:t>higher of:</w:t>
      </w:r>
    </w:p>
    <w:p w14:paraId="2817FA64" w14:textId="77777777" w:rsidR="00690929" w:rsidRDefault="00690929" w:rsidP="007F177E">
      <w:pPr>
        <w:pStyle w:val="ListParagraph"/>
        <w:numPr>
          <w:ilvl w:val="0"/>
          <w:numId w:val="121"/>
        </w:numPr>
        <w:tabs>
          <w:tab w:val="left" w:pos="720"/>
        </w:tabs>
        <w:contextualSpacing w:val="0"/>
      </w:pPr>
      <w:r>
        <w:t>30% of their monthly adjusted income, or</w:t>
      </w:r>
    </w:p>
    <w:p w14:paraId="3AED8FD1" w14:textId="77777777" w:rsidR="00690929" w:rsidRDefault="00690929" w:rsidP="007F177E">
      <w:pPr>
        <w:pStyle w:val="ListParagraph"/>
        <w:numPr>
          <w:ilvl w:val="0"/>
          <w:numId w:val="121"/>
        </w:numPr>
        <w:tabs>
          <w:tab w:val="left" w:pos="720"/>
        </w:tabs>
        <w:contextualSpacing w:val="0"/>
      </w:pPr>
      <w:r>
        <w:t>10% of their monthly gross income.</w:t>
      </w:r>
    </w:p>
    <w:p w14:paraId="46B31553" w14:textId="77777777" w:rsidR="00D005AE" w:rsidRDefault="00D005AE" w:rsidP="007238A1">
      <w:pPr>
        <w:pStyle w:val="Heading4"/>
      </w:pPr>
      <w:r>
        <w:t>No Financial Hardship</w:t>
      </w:r>
    </w:p>
    <w:p w14:paraId="5F45E72B" w14:textId="77777777" w:rsidR="00D005AE" w:rsidRDefault="00D005AE" w:rsidP="00D005AE">
      <w:pPr>
        <w:tabs>
          <w:tab w:val="left" w:pos="720"/>
        </w:tabs>
      </w:pPr>
      <w:r>
        <w:t>If HHA determines there is no financial hardship, HHA will reinstate the minimum rent and require the family to repay the amounts suspended</w:t>
      </w:r>
      <w:r w:rsidR="007238A1">
        <w:t xml:space="preserve"> </w:t>
      </w:r>
      <w:r w:rsidR="007238A1" w:rsidRPr="006C67F7">
        <w:t>within 30 calendar days</w:t>
      </w:r>
      <w:r w:rsidR="007238A1">
        <w:t xml:space="preserve"> of HHA’s notice that a hardship exemption has not been granted.</w:t>
      </w:r>
    </w:p>
    <w:p w14:paraId="17C24A8B" w14:textId="77777777" w:rsidR="001633A6" w:rsidRPr="00A2158C" w:rsidRDefault="001633A6" w:rsidP="001633A6">
      <w:pPr>
        <w:pStyle w:val="Heading4"/>
        <w:rPr>
          <w:u w:val="single"/>
        </w:rPr>
      </w:pPr>
      <w:bookmarkStart w:id="2043" w:name="_Toc137809075"/>
      <w:bookmarkStart w:id="2044" w:name="_Toc137809617"/>
      <w:bookmarkStart w:id="2045" w:name="_Toc137809861"/>
      <w:bookmarkStart w:id="2046" w:name="_Toc137810173"/>
      <w:bookmarkStart w:id="2047" w:name="_Toc138429506"/>
      <w:bookmarkStart w:id="2048" w:name="_Toc138430341"/>
      <w:bookmarkStart w:id="2049" w:name="_Toc138860595"/>
      <w:bookmarkStart w:id="2050" w:name="_Toc147141894"/>
      <w:r w:rsidRPr="00CD63E0">
        <w:t>Temporary Hardship</w:t>
      </w:r>
      <w:bookmarkEnd w:id="2043"/>
      <w:bookmarkEnd w:id="2044"/>
      <w:bookmarkEnd w:id="2045"/>
      <w:bookmarkEnd w:id="2046"/>
      <w:bookmarkEnd w:id="2047"/>
      <w:bookmarkEnd w:id="2048"/>
      <w:bookmarkEnd w:id="2049"/>
      <w:bookmarkEnd w:id="2050"/>
    </w:p>
    <w:p w14:paraId="13B27BE2" w14:textId="77777777" w:rsidR="001633A6" w:rsidRPr="00A2158C" w:rsidRDefault="001633A6" w:rsidP="001633A6">
      <w:pPr>
        <w:tabs>
          <w:tab w:val="left" w:pos="720"/>
        </w:tabs>
      </w:pPr>
      <w:r w:rsidRPr="00A2158C">
        <w:t xml:space="preserve">If HHA determines that a qualifying financial hardship is temporary, HHA will suspend the minimum rent for the 90-day period beginning the first of the month following the date of the family’s request for a hardship exemption. </w:t>
      </w:r>
    </w:p>
    <w:p w14:paraId="41474838" w14:textId="77777777" w:rsidR="001633A6" w:rsidRPr="00A2158C" w:rsidRDefault="001633A6" w:rsidP="001633A6">
      <w:pPr>
        <w:tabs>
          <w:tab w:val="left" w:pos="720"/>
        </w:tabs>
      </w:pPr>
      <w:r w:rsidRPr="00A2158C">
        <w:t xml:space="preserve">At the end of the 90-day suspension period, the family must resume payment of the minimum rent and must repay HHA the amounts suspended. HHA will offer a reasonable repayment agreement, on terms and conditions established by HHA. HHA also may determine that circumstances have changed and the hardship is now a long-term hardship. </w:t>
      </w:r>
    </w:p>
    <w:p w14:paraId="66AA723F" w14:textId="77777777" w:rsidR="001633A6" w:rsidRPr="00A2158C" w:rsidRDefault="001633A6" w:rsidP="001633A6">
      <w:pPr>
        <w:tabs>
          <w:tab w:val="left" w:pos="720"/>
        </w:tabs>
      </w:pPr>
      <w:r w:rsidRPr="00A2158C">
        <w:t>HHA  will enter into a repayment agreement in accordance with the policies in this plan.</w:t>
      </w:r>
    </w:p>
    <w:p w14:paraId="33EDB5ED" w14:textId="77777777" w:rsidR="001633A6" w:rsidRPr="00CD63E0" w:rsidRDefault="001633A6" w:rsidP="001633A6">
      <w:pPr>
        <w:pStyle w:val="Heading4"/>
      </w:pPr>
      <w:bookmarkStart w:id="2051" w:name="_Toc137809076"/>
      <w:bookmarkStart w:id="2052" w:name="_Toc137809618"/>
      <w:bookmarkStart w:id="2053" w:name="_Toc137809862"/>
      <w:bookmarkStart w:id="2054" w:name="_Toc137810174"/>
      <w:bookmarkStart w:id="2055" w:name="_Toc138429507"/>
      <w:bookmarkStart w:id="2056" w:name="_Toc138430342"/>
      <w:bookmarkStart w:id="2057" w:name="_Toc138860596"/>
      <w:bookmarkStart w:id="2058" w:name="_Toc147141895"/>
      <w:r w:rsidRPr="00CD63E0">
        <w:t>Long-Term Hardship</w:t>
      </w:r>
      <w:bookmarkEnd w:id="2051"/>
      <w:bookmarkEnd w:id="2052"/>
      <w:bookmarkEnd w:id="2053"/>
      <w:bookmarkEnd w:id="2054"/>
      <w:bookmarkEnd w:id="2055"/>
      <w:bookmarkEnd w:id="2056"/>
      <w:bookmarkEnd w:id="2057"/>
      <w:bookmarkEnd w:id="2058"/>
    </w:p>
    <w:p w14:paraId="4169132C" w14:textId="77777777" w:rsidR="001633A6" w:rsidRPr="00A2158C" w:rsidRDefault="001633A6" w:rsidP="001633A6">
      <w:pPr>
        <w:tabs>
          <w:tab w:val="left" w:pos="720"/>
        </w:tabs>
      </w:pPr>
      <w:r w:rsidRPr="00A2158C">
        <w:t>If HHA determines that the financial hardship is long-term, HHA will exempt the family from the minimum rent requirement for so long as the hardship continues. The exemption will apply from the first of the month following the family’s request until the end of the qualifying hardship. When the financial hardship has been determined to be long-term, the family is not required to repay the minimum rent.</w:t>
      </w:r>
    </w:p>
    <w:p w14:paraId="77116329" w14:textId="77777777" w:rsidR="001633A6" w:rsidRPr="00697A85" w:rsidRDefault="001633A6" w:rsidP="001633A6">
      <w:pPr>
        <w:adjustRightInd w:val="0"/>
        <w:rPr>
          <w:rFonts w:cs="Arial"/>
          <w:spacing w:val="-2"/>
          <w:szCs w:val="20"/>
        </w:rPr>
      </w:pPr>
      <w:r w:rsidRPr="00697A85">
        <w:rPr>
          <w:spacing w:val="-2"/>
        </w:rPr>
        <w:t xml:space="preserve">The hardship is deemed to be discontinued when </w:t>
      </w:r>
      <w:r w:rsidRPr="00697A85">
        <w:rPr>
          <w:rFonts w:cs="Arial"/>
          <w:spacing w:val="-2"/>
          <w:szCs w:val="20"/>
        </w:rPr>
        <w:t xml:space="preserve">the family’s TTP is greater than the minimum rent. </w:t>
      </w:r>
    </w:p>
    <w:p w14:paraId="71161679" w14:textId="77777777" w:rsidR="001633A6" w:rsidRDefault="001633A6" w:rsidP="001633A6">
      <w:pPr>
        <w:autoSpaceDE w:val="0"/>
        <w:autoSpaceDN w:val="0"/>
        <w:adjustRightInd w:val="0"/>
        <w:rPr>
          <w:rFonts w:cs="Arial"/>
          <w:szCs w:val="20"/>
        </w:rPr>
      </w:pPr>
      <w:r w:rsidRPr="00A2158C">
        <w:rPr>
          <w:rFonts w:cs="Arial"/>
          <w:szCs w:val="20"/>
        </w:rPr>
        <w:t xml:space="preserve">Families on approved hardships from minimum rent are required to report all increases in income and/or decreases in unreimbursed expenses, where applicable, </w:t>
      </w:r>
      <w:r w:rsidRPr="0036198D">
        <w:rPr>
          <w:rFonts w:cs="Arial"/>
          <w:szCs w:val="20"/>
        </w:rPr>
        <w:t>within 1</w:t>
      </w:r>
      <w:r w:rsidR="0036198D" w:rsidRPr="0036198D">
        <w:rPr>
          <w:rFonts w:cs="Arial"/>
          <w:szCs w:val="20"/>
        </w:rPr>
        <w:t>5 calendar</w:t>
      </w:r>
      <w:r w:rsidRPr="0036198D">
        <w:rPr>
          <w:rFonts w:cs="Arial"/>
          <w:szCs w:val="20"/>
        </w:rPr>
        <w:t xml:space="preserve"> days from the date of occurrence.</w:t>
      </w:r>
    </w:p>
    <w:p w14:paraId="17F50BC8" w14:textId="77777777" w:rsidR="00156459" w:rsidRPr="006D7ACD" w:rsidRDefault="00156459" w:rsidP="00156459">
      <w:pPr>
        <w:pStyle w:val="Heading2"/>
      </w:pPr>
      <w:bookmarkStart w:id="2059" w:name="_Ref136613297"/>
      <w:bookmarkStart w:id="2060" w:name="_Toc137809066"/>
      <w:bookmarkStart w:id="2061" w:name="_Toc137809608"/>
      <w:bookmarkStart w:id="2062" w:name="_Toc137809852"/>
      <w:bookmarkStart w:id="2063" w:name="_Toc137810164"/>
      <w:bookmarkStart w:id="2064" w:name="_Toc138429497"/>
      <w:bookmarkStart w:id="2065" w:name="_Toc138430332"/>
      <w:bookmarkStart w:id="2066" w:name="_Toc138856483"/>
      <w:bookmarkStart w:id="2067" w:name="_Toc138857777"/>
      <w:bookmarkStart w:id="2068" w:name="_Toc138860586"/>
      <w:bookmarkStart w:id="2069" w:name="_Toc147141885"/>
      <w:bookmarkStart w:id="2070" w:name="_Toc173222728"/>
      <w:bookmarkStart w:id="2071" w:name="_Toc200375732"/>
      <w:bookmarkStart w:id="2072" w:name="_Toc200376994"/>
      <w:bookmarkStart w:id="2073" w:name="_Toc114067505"/>
      <w:bookmarkStart w:id="2074" w:name="_Toc119412719"/>
      <w:r>
        <w:t xml:space="preserve">Control and </w:t>
      </w:r>
      <w:r w:rsidRPr="006D7ACD">
        <w:t>Excluded Groups Only</w:t>
      </w:r>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p>
    <w:p w14:paraId="2ED1B0D4" w14:textId="77777777" w:rsidR="00156459" w:rsidRDefault="00156459" w:rsidP="00677451">
      <w:pPr>
        <w:pStyle w:val="Heading3"/>
      </w:pPr>
      <w:bookmarkStart w:id="2075" w:name="_Ref155261074"/>
      <w:bookmarkStart w:id="2076" w:name="_Toc200375733"/>
      <w:r w:rsidRPr="006D7ACD">
        <w:t>Health and Medical Care Expense and/or Disability Assistance Expense Hardship</w:t>
      </w:r>
      <w:bookmarkEnd w:id="2075"/>
      <w:bookmarkEnd w:id="2076"/>
    </w:p>
    <w:p w14:paraId="00830F0D" w14:textId="77777777" w:rsidR="001C34B0" w:rsidRDefault="001C34B0" w:rsidP="001C34B0">
      <w:pPr>
        <w:pStyle w:val="ListParagraph"/>
        <w:pBdr>
          <w:top w:val="single" w:sz="4" w:space="1" w:color="auto"/>
          <w:left w:val="single" w:sz="4" w:space="4" w:color="auto"/>
          <w:bottom w:val="single" w:sz="4" w:space="1" w:color="auto"/>
          <w:right w:val="single" w:sz="4" w:space="4" w:color="auto"/>
        </w:pBdr>
        <w:ind w:left="0"/>
        <w:rPr>
          <w:b/>
          <w:bCs/>
        </w:rPr>
      </w:pPr>
      <w:r w:rsidRPr="0018067A">
        <w:rPr>
          <w:b/>
          <w:bCs/>
          <w:i/>
          <w:iCs/>
        </w:rPr>
        <w:t xml:space="preserve">Note: the following </w:t>
      </w:r>
      <w:r>
        <w:rPr>
          <w:b/>
          <w:bCs/>
          <w:i/>
          <w:iCs/>
        </w:rPr>
        <w:t>section is</w:t>
      </w:r>
      <w:r w:rsidRPr="0018067A">
        <w:rPr>
          <w:b/>
          <w:bCs/>
          <w:i/>
          <w:iCs/>
        </w:rPr>
        <w:t xml:space="preserve"> only applicable upon implementation of the HOTMA Final Rule (Sections 102 and 104). Prior to implementation, the following </w:t>
      </w:r>
      <w:r>
        <w:rPr>
          <w:b/>
          <w:bCs/>
          <w:i/>
          <w:iCs/>
        </w:rPr>
        <w:t>does not apply.</w:t>
      </w:r>
    </w:p>
    <w:p w14:paraId="3D797F32" w14:textId="77777777" w:rsidR="00156459" w:rsidRPr="002F5BE9" w:rsidRDefault="00156459" w:rsidP="00156459">
      <w:pPr>
        <w:rPr>
          <w:rFonts w:cs="Arial"/>
        </w:rPr>
      </w:pPr>
      <w:r w:rsidRPr="0087422E">
        <w:rPr>
          <w:rFonts w:cs="Arial"/>
        </w:rPr>
        <w:t xml:space="preserve">Families </w:t>
      </w:r>
      <w:r>
        <w:rPr>
          <w:rFonts w:cs="Arial"/>
        </w:rPr>
        <w:t xml:space="preserve">in the Control and Excluded groups </w:t>
      </w:r>
      <w:r w:rsidRPr="0087422E">
        <w:rPr>
          <w:rFonts w:cs="Arial"/>
        </w:rPr>
        <w:t xml:space="preserve">may request hardships related to health and medical care expenses and/or disability assistance expenses. There are two categories of hardship for </w:t>
      </w:r>
      <w:r w:rsidRPr="002F5BE9">
        <w:rPr>
          <w:rFonts w:cs="Arial"/>
        </w:rPr>
        <w:t>this: the first category is for households receiving a medical expense deduction upon implementation of HOTMA and subject to applicable HUD guidance; the second category is for qualifying hardships that would not otherwise trigger a reexamination.</w:t>
      </w:r>
    </w:p>
    <w:p w14:paraId="79117442" w14:textId="77777777" w:rsidR="00156459" w:rsidRPr="002F5BE9" w:rsidRDefault="00156459" w:rsidP="00156459">
      <w:pPr>
        <w:rPr>
          <w:rFonts w:cs="Arial"/>
          <w:b/>
        </w:rPr>
      </w:pPr>
      <w:r w:rsidRPr="002F5BE9">
        <w:rPr>
          <w:rFonts w:cs="Arial"/>
          <w:b/>
        </w:rPr>
        <w:t>Request:</w:t>
      </w:r>
    </w:p>
    <w:p w14:paraId="2DA5F2AD" w14:textId="77777777" w:rsidR="004E23F5" w:rsidRPr="002F5BE9" w:rsidRDefault="004E23F5" w:rsidP="007F177E">
      <w:pPr>
        <w:pStyle w:val="ListParagraph"/>
        <w:numPr>
          <w:ilvl w:val="0"/>
          <w:numId w:val="107"/>
        </w:numPr>
        <w:contextualSpacing w:val="0"/>
        <w:rPr>
          <w:rFonts w:cs="Arial"/>
          <w:bCs/>
        </w:rPr>
      </w:pPr>
      <w:r w:rsidRPr="002F5BE9">
        <w:rPr>
          <w:rFonts w:cs="Arial"/>
          <w:bCs/>
        </w:rPr>
        <w:t xml:space="preserve">The </w:t>
      </w:r>
      <w:r w:rsidR="00661F6A" w:rsidRPr="002F5BE9">
        <w:rPr>
          <w:rFonts w:cs="Arial"/>
          <w:bCs/>
        </w:rPr>
        <w:t>f</w:t>
      </w:r>
      <w:r w:rsidRPr="002F5BE9">
        <w:rPr>
          <w:rFonts w:cs="Arial"/>
          <w:bCs/>
        </w:rPr>
        <w:t xml:space="preserve">irst </w:t>
      </w:r>
      <w:r w:rsidR="00661F6A" w:rsidRPr="002F5BE9">
        <w:rPr>
          <w:rFonts w:cs="Arial"/>
          <w:bCs/>
        </w:rPr>
        <w:t>c</w:t>
      </w:r>
      <w:r w:rsidRPr="002F5BE9">
        <w:rPr>
          <w:rFonts w:cs="Arial"/>
          <w:bCs/>
        </w:rPr>
        <w:t xml:space="preserve">ategory hardship </w:t>
      </w:r>
      <w:r w:rsidR="00AE6E92" w:rsidRPr="002F5BE9">
        <w:rPr>
          <w:rFonts w:cs="Arial"/>
          <w:bCs/>
        </w:rPr>
        <w:t xml:space="preserve">in this section </w:t>
      </w:r>
      <w:r w:rsidRPr="002F5BE9">
        <w:rPr>
          <w:rFonts w:cs="Arial"/>
          <w:bCs/>
        </w:rPr>
        <w:t xml:space="preserve">will be applied automatically to </w:t>
      </w:r>
      <w:r w:rsidR="00AB4C07" w:rsidRPr="002F5BE9">
        <w:rPr>
          <w:rFonts w:cs="Arial"/>
          <w:bCs/>
        </w:rPr>
        <w:t>each</w:t>
      </w:r>
      <w:r w:rsidR="0088589B" w:rsidRPr="002F5BE9">
        <w:rPr>
          <w:rFonts w:cs="Arial"/>
          <w:bCs/>
        </w:rPr>
        <w:t xml:space="preserve"> household receiving a </w:t>
      </w:r>
      <w:r w:rsidR="004C67F0" w:rsidRPr="002F5BE9">
        <w:rPr>
          <w:rFonts w:cs="Arial"/>
          <w:bCs/>
        </w:rPr>
        <w:t xml:space="preserve">medical and/or disability expense deduction as of the most recent </w:t>
      </w:r>
      <w:r w:rsidR="00CE345F" w:rsidRPr="002F5BE9">
        <w:rPr>
          <w:rFonts w:cs="Arial"/>
          <w:bCs/>
        </w:rPr>
        <w:t>incom</w:t>
      </w:r>
      <w:r w:rsidR="00B333C3" w:rsidRPr="002F5BE9">
        <w:rPr>
          <w:rFonts w:cs="Arial"/>
          <w:bCs/>
        </w:rPr>
        <w:t>e</w:t>
      </w:r>
      <w:r w:rsidR="00CE345F" w:rsidRPr="002F5BE9">
        <w:rPr>
          <w:rFonts w:cs="Arial"/>
          <w:bCs/>
        </w:rPr>
        <w:t xml:space="preserve"> revi</w:t>
      </w:r>
      <w:r w:rsidR="00B333C3" w:rsidRPr="002F5BE9">
        <w:rPr>
          <w:rFonts w:cs="Arial"/>
          <w:bCs/>
        </w:rPr>
        <w:t xml:space="preserve">ew </w:t>
      </w:r>
      <w:r w:rsidR="00AE2F42" w:rsidRPr="002F5BE9">
        <w:rPr>
          <w:rFonts w:cs="Arial"/>
          <w:bCs/>
        </w:rPr>
        <w:t>upon implementation of HOTMA and where that deduction exceeds 5 percent of the family’s annual income.</w:t>
      </w:r>
      <w:r w:rsidR="008D7E25" w:rsidRPr="002F5BE9">
        <w:rPr>
          <w:rFonts w:cs="Arial"/>
          <w:bCs/>
        </w:rPr>
        <w:t xml:space="preserve"> No request for the hardship is required.</w:t>
      </w:r>
    </w:p>
    <w:p w14:paraId="525BA380" w14:textId="77777777" w:rsidR="00156459" w:rsidRPr="002F5BE9" w:rsidRDefault="00156459" w:rsidP="007F177E">
      <w:pPr>
        <w:pStyle w:val="ListParagraph"/>
        <w:numPr>
          <w:ilvl w:val="0"/>
          <w:numId w:val="107"/>
        </w:numPr>
        <w:contextualSpacing w:val="0"/>
        <w:rPr>
          <w:rFonts w:cs="Arial"/>
          <w:bCs/>
        </w:rPr>
      </w:pPr>
      <w:r w:rsidRPr="002F5BE9">
        <w:rPr>
          <w:rFonts w:cs="Arial"/>
          <w:bCs/>
        </w:rPr>
        <w:t>Hardship requests must be made in writing</w:t>
      </w:r>
      <w:r w:rsidR="00AE6E92" w:rsidRPr="002F5BE9">
        <w:rPr>
          <w:rFonts w:cs="Arial"/>
          <w:bCs/>
        </w:rPr>
        <w:t xml:space="preserve"> for the </w:t>
      </w:r>
      <w:r w:rsidR="00661F6A" w:rsidRPr="002F5BE9">
        <w:rPr>
          <w:rFonts w:cs="Arial"/>
          <w:bCs/>
        </w:rPr>
        <w:t>s</w:t>
      </w:r>
      <w:r w:rsidR="00AE6E92" w:rsidRPr="002F5BE9">
        <w:rPr>
          <w:rFonts w:cs="Arial"/>
          <w:bCs/>
        </w:rPr>
        <w:t xml:space="preserve">econd </w:t>
      </w:r>
      <w:r w:rsidR="00661F6A" w:rsidRPr="002F5BE9">
        <w:rPr>
          <w:rFonts w:cs="Arial"/>
          <w:bCs/>
        </w:rPr>
        <w:t>c</w:t>
      </w:r>
      <w:r w:rsidR="00AE6E92" w:rsidRPr="002F5BE9">
        <w:rPr>
          <w:rFonts w:cs="Arial"/>
          <w:bCs/>
        </w:rPr>
        <w:t>ategory in this section.</w:t>
      </w:r>
    </w:p>
    <w:p w14:paraId="209C385F" w14:textId="77777777" w:rsidR="00156459" w:rsidRPr="002F5BE9" w:rsidRDefault="00156459" w:rsidP="00156459">
      <w:pPr>
        <w:rPr>
          <w:rFonts w:cs="Arial"/>
          <w:bCs/>
        </w:rPr>
      </w:pPr>
      <w:r w:rsidRPr="002F5BE9">
        <w:rPr>
          <w:rFonts w:cs="Arial"/>
          <w:b/>
        </w:rPr>
        <w:t>Eligibility:</w:t>
      </w:r>
      <w:r w:rsidRPr="002F5BE9">
        <w:rPr>
          <w:rFonts w:cs="Arial"/>
          <w:bCs/>
          <w:i/>
          <w:iCs/>
        </w:rPr>
        <w:t xml:space="preserve"> </w:t>
      </w:r>
    </w:p>
    <w:p w14:paraId="242B6A4E" w14:textId="77777777" w:rsidR="00156459" w:rsidRPr="002F5BE9" w:rsidRDefault="00156459" w:rsidP="007F177E">
      <w:pPr>
        <w:pStyle w:val="ListParagraph"/>
        <w:widowControl w:val="0"/>
        <w:numPr>
          <w:ilvl w:val="0"/>
          <w:numId w:val="107"/>
        </w:numPr>
        <w:autoSpaceDE w:val="0"/>
        <w:autoSpaceDN w:val="0"/>
        <w:contextualSpacing w:val="0"/>
        <w:rPr>
          <w:rFonts w:cs="Arial"/>
        </w:rPr>
      </w:pPr>
      <w:r w:rsidRPr="002F5BE9">
        <w:rPr>
          <w:rFonts w:cs="Arial"/>
          <w:b/>
          <w:bCs/>
        </w:rPr>
        <w:t>First Category.</w:t>
      </w:r>
      <w:r w:rsidRPr="002F5BE9">
        <w:rPr>
          <w:rFonts w:cs="Arial"/>
        </w:rPr>
        <w:t xml:space="preserve"> This category applies to families receiving a medical and/or disability assistance expense deduction upon implementation of HOTMA and subject to applicable HUD guidance. This is a transitional category that will phase out.</w:t>
      </w:r>
    </w:p>
    <w:p w14:paraId="309A0B5A" w14:textId="77777777" w:rsidR="00156459" w:rsidRPr="002F5BE9" w:rsidRDefault="00156459" w:rsidP="007F177E">
      <w:pPr>
        <w:pStyle w:val="ListParagraph"/>
        <w:widowControl w:val="0"/>
        <w:numPr>
          <w:ilvl w:val="0"/>
          <w:numId w:val="107"/>
        </w:numPr>
        <w:autoSpaceDE w:val="0"/>
        <w:autoSpaceDN w:val="0"/>
        <w:contextualSpacing w:val="0"/>
        <w:rPr>
          <w:rFonts w:cs="Arial"/>
        </w:rPr>
      </w:pPr>
      <w:r w:rsidRPr="002F5BE9">
        <w:rPr>
          <w:rFonts w:cs="Arial"/>
          <w:b/>
          <w:bCs/>
        </w:rPr>
        <w:t>Second Category.</w:t>
      </w:r>
      <w:r w:rsidRPr="002F5BE9">
        <w:rPr>
          <w:rFonts w:cs="Arial"/>
        </w:rPr>
        <w:t xml:space="preserve"> A family may qualify for the second category of hardship exemption for health and medical care expenses and/or disability assistance expenses at any time if they can demonstrate that the family’s applicable health and medical care expenses or reasonable attendant care or auxiliary apparatus expenses increase or the family’s financial hardship is a result of a change in circumstances (as defined by HHA) that would not otherwise trigger an interim reexamination. This relief may be given to a family regardless of whether they received (or are currently receiving) relief under the first hardship category.</w:t>
      </w:r>
    </w:p>
    <w:p w14:paraId="20B24D72" w14:textId="77777777" w:rsidR="00156459" w:rsidRPr="002F5BE9" w:rsidRDefault="00156459" w:rsidP="00156459">
      <w:pPr>
        <w:rPr>
          <w:rFonts w:cs="Arial"/>
          <w:b/>
        </w:rPr>
      </w:pPr>
      <w:r w:rsidRPr="002F5BE9">
        <w:rPr>
          <w:rFonts w:cs="Arial"/>
          <w:b/>
        </w:rPr>
        <w:t>Remedy</w:t>
      </w:r>
    </w:p>
    <w:p w14:paraId="7351C868" w14:textId="77777777" w:rsidR="00156459" w:rsidRPr="002F5BE9" w:rsidRDefault="00156459" w:rsidP="007F177E">
      <w:pPr>
        <w:pStyle w:val="ListParagraph"/>
        <w:widowControl w:val="0"/>
        <w:numPr>
          <w:ilvl w:val="0"/>
          <w:numId w:val="116"/>
        </w:numPr>
        <w:autoSpaceDE w:val="0"/>
        <w:autoSpaceDN w:val="0"/>
        <w:contextualSpacing w:val="0"/>
        <w:rPr>
          <w:rFonts w:cs="Arial"/>
        </w:rPr>
      </w:pPr>
      <w:r w:rsidRPr="002F5BE9">
        <w:rPr>
          <w:rFonts w:cs="Arial"/>
          <w:b/>
          <w:bCs/>
        </w:rPr>
        <w:t xml:space="preserve">First Category. </w:t>
      </w:r>
      <w:r w:rsidRPr="002F5BE9">
        <w:rPr>
          <w:rFonts w:cs="Arial"/>
        </w:rPr>
        <w:t>For families that are eligible for this category, the following phased-in relief may be offered if the hardship is granted:</w:t>
      </w:r>
    </w:p>
    <w:p w14:paraId="23822E40" w14:textId="77777777" w:rsidR="00156459" w:rsidRPr="002F5BE9" w:rsidRDefault="00156459" w:rsidP="007F177E">
      <w:pPr>
        <w:pStyle w:val="ListParagraph"/>
        <w:widowControl w:val="0"/>
        <w:numPr>
          <w:ilvl w:val="0"/>
          <w:numId w:val="117"/>
        </w:numPr>
        <w:autoSpaceDE w:val="0"/>
        <w:autoSpaceDN w:val="0"/>
        <w:ind w:left="1440"/>
        <w:contextualSpacing w:val="0"/>
        <w:rPr>
          <w:rFonts w:cs="Arial"/>
        </w:rPr>
      </w:pPr>
      <w:r w:rsidRPr="002F5BE9">
        <w:rPr>
          <w:rFonts w:cs="Arial"/>
        </w:rPr>
        <w:t xml:space="preserve">For the first year, a deduction of eligible expenses that exceed 5 percent of the family’s annual income; </w:t>
      </w:r>
    </w:p>
    <w:p w14:paraId="54351973" w14:textId="77777777" w:rsidR="00156459" w:rsidRPr="002F5BE9" w:rsidRDefault="00156459" w:rsidP="007F177E">
      <w:pPr>
        <w:pStyle w:val="ListParagraph"/>
        <w:widowControl w:val="0"/>
        <w:numPr>
          <w:ilvl w:val="0"/>
          <w:numId w:val="117"/>
        </w:numPr>
        <w:autoSpaceDE w:val="0"/>
        <w:autoSpaceDN w:val="0"/>
        <w:ind w:left="1440"/>
        <w:contextualSpacing w:val="0"/>
        <w:rPr>
          <w:rFonts w:cs="Arial"/>
        </w:rPr>
      </w:pPr>
      <w:r w:rsidRPr="002F5BE9">
        <w:rPr>
          <w:rFonts w:cs="Arial"/>
        </w:rPr>
        <w:t>For the second year, a deduction of the eligible expenses that exceed 7.5 percent of the family’s annual income; and</w:t>
      </w:r>
    </w:p>
    <w:p w14:paraId="141E4691" w14:textId="77777777" w:rsidR="00156459" w:rsidRPr="002F5BE9" w:rsidRDefault="00156459" w:rsidP="007F177E">
      <w:pPr>
        <w:pStyle w:val="ListParagraph"/>
        <w:widowControl w:val="0"/>
        <w:numPr>
          <w:ilvl w:val="0"/>
          <w:numId w:val="117"/>
        </w:numPr>
        <w:autoSpaceDE w:val="0"/>
        <w:autoSpaceDN w:val="0"/>
        <w:ind w:left="1440"/>
        <w:contextualSpacing w:val="0"/>
        <w:rPr>
          <w:rFonts w:cs="Arial"/>
        </w:rPr>
      </w:pPr>
      <w:r w:rsidRPr="002F5BE9">
        <w:rPr>
          <w:rFonts w:cs="Arial"/>
        </w:rPr>
        <w:t>For the third year, a deduction of the eligible expenses that exceed 10 percent of the family’s annual income, unless the family qualifies for a new exemption under the second hardship category.</w:t>
      </w:r>
    </w:p>
    <w:p w14:paraId="6885F0D4" w14:textId="77777777" w:rsidR="00156459" w:rsidRPr="002F5BE9" w:rsidRDefault="00156459" w:rsidP="007F177E">
      <w:pPr>
        <w:pStyle w:val="ListParagraph"/>
        <w:widowControl w:val="0"/>
        <w:numPr>
          <w:ilvl w:val="0"/>
          <w:numId w:val="118"/>
        </w:numPr>
        <w:autoSpaceDE w:val="0"/>
        <w:autoSpaceDN w:val="0"/>
        <w:contextualSpacing w:val="0"/>
        <w:rPr>
          <w:rFonts w:cs="Arial"/>
          <w:b/>
          <w:bCs/>
        </w:rPr>
      </w:pPr>
      <w:r w:rsidRPr="002F5BE9">
        <w:rPr>
          <w:rFonts w:cs="Arial"/>
          <w:b/>
          <w:bCs/>
        </w:rPr>
        <w:t xml:space="preserve">Second Category. </w:t>
      </w:r>
      <w:r w:rsidRPr="002F5BE9">
        <w:rPr>
          <w:rFonts w:cs="Arial"/>
        </w:rPr>
        <w:t>If approved for the hardship, under this category, the family will receive a deduction of eligible expenses that exceed 5 percent of the family’s annual income until the circumstances that made the family eligible for the relief are no longer applicable or after 90 days, whichever is earlier. HHA, at its discretion, may extend this relief for one additional 90-day period while the family’s hardship continues.</w:t>
      </w:r>
    </w:p>
    <w:p w14:paraId="7574F225" w14:textId="77777777" w:rsidR="00156459" w:rsidRPr="002F5BE9" w:rsidRDefault="00156459" w:rsidP="00156459">
      <w:pPr>
        <w:rPr>
          <w:rFonts w:cs="Arial"/>
          <w:b/>
          <w:bCs/>
        </w:rPr>
      </w:pPr>
      <w:r w:rsidRPr="002F5BE9">
        <w:rPr>
          <w:rFonts w:cs="Arial"/>
          <w:b/>
          <w:bCs/>
        </w:rPr>
        <w:t>Time Frame:</w:t>
      </w:r>
    </w:p>
    <w:p w14:paraId="227A5C52" w14:textId="77777777" w:rsidR="00156459" w:rsidRPr="002F5BE9" w:rsidRDefault="00156459" w:rsidP="007F177E">
      <w:pPr>
        <w:pStyle w:val="ListParagraph"/>
        <w:widowControl w:val="0"/>
        <w:numPr>
          <w:ilvl w:val="0"/>
          <w:numId w:val="118"/>
        </w:numPr>
        <w:autoSpaceDE w:val="0"/>
        <w:autoSpaceDN w:val="0"/>
        <w:contextualSpacing w:val="0"/>
        <w:rPr>
          <w:rFonts w:cs="Arial"/>
        </w:rPr>
      </w:pPr>
      <w:r w:rsidRPr="002F5BE9">
        <w:rPr>
          <w:rFonts w:cs="Arial"/>
          <w:b/>
          <w:bCs/>
        </w:rPr>
        <w:t xml:space="preserve">First Category. </w:t>
      </w:r>
      <w:r w:rsidRPr="002F5BE9">
        <w:rPr>
          <w:rFonts w:cs="Arial"/>
        </w:rPr>
        <w:t xml:space="preserve"> The hardship will remain in place for two consecutive years, unless the family receives a hardship exemption under the second category; if the family receives a hardship under the second category, they may no longer receive relief (i.e., it will stop) under the first category. This category is only for households receiving a medical expense deduction upon implementation of HOTMA; a family may only receive this hardship at their first regular</w:t>
      </w:r>
      <w:r w:rsidR="00661F6A" w:rsidRPr="002F5BE9">
        <w:rPr>
          <w:rFonts w:cs="Arial"/>
        </w:rPr>
        <w:t xml:space="preserve"> or interim</w:t>
      </w:r>
      <w:r w:rsidRPr="002F5BE9">
        <w:rPr>
          <w:rFonts w:cs="Arial"/>
        </w:rPr>
        <w:t xml:space="preserve"> recertification</w:t>
      </w:r>
      <w:r w:rsidR="001F6FBB" w:rsidRPr="002F5BE9">
        <w:rPr>
          <w:rFonts w:cs="Arial"/>
        </w:rPr>
        <w:t xml:space="preserve"> (whichever occurs first)</w:t>
      </w:r>
      <w:r w:rsidRPr="002F5BE9">
        <w:rPr>
          <w:rFonts w:cs="Arial"/>
        </w:rPr>
        <w:t xml:space="preserve"> upon or after implementation of HOTMA and subject to applicable HUD guidance, and may not receive a second hardship under this category.  </w:t>
      </w:r>
    </w:p>
    <w:p w14:paraId="4B347866" w14:textId="77777777" w:rsidR="00156459" w:rsidRPr="002F5BE9" w:rsidRDefault="00156459" w:rsidP="007F177E">
      <w:pPr>
        <w:pStyle w:val="ListParagraph"/>
        <w:widowControl w:val="0"/>
        <w:numPr>
          <w:ilvl w:val="0"/>
          <w:numId w:val="118"/>
        </w:numPr>
        <w:autoSpaceDE w:val="0"/>
        <w:autoSpaceDN w:val="0"/>
        <w:contextualSpacing w:val="0"/>
        <w:rPr>
          <w:rFonts w:cs="Arial"/>
          <w:b/>
          <w:bCs/>
        </w:rPr>
      </w:pPr>
      <w:r w:rsidRPr="002F5BE9">
        <w:rPr>
          <w:rFonts w:cs="Arial"/>
          <w:b/>
          <w:bCs/>
        </w:rPr>
        <w:t xml:space="preserve">Second Category. </w:t>
      </w:r>
      <w:r w:rsidRPr="002F5BE9">
        <w:rPr>
          <w:rFonts w:cs="Arial"/>
        </w:rPr>
        <w:t>This hardship will remain until the circumstances that made the family eligible for the relief are no longer applicable or after 90 days, whichever is earlier. HHA, at its discretion, may extend this relief for one additional 90-day period while the family’s hardship continues.</w:t>
      </w:r>
    </w:p>
    <w:p w14:paraId="36FBCD41" w14:textId="77777777" w:rsidR="00156459" w:rsidRPr="002F5BE9" w:rsidRDefault="00156459" w:rsidP="00156459">
      <w:pPr>
        <w:rPr>
          <w:rFonts w:cs="Arial"/>
          <w:b/>
          <w:bCs/>
        </w:rPr>
      </w:pPr>
      <w:r w:rsidRPr="002F5BE9">
        <w:rPr>
          <w:rFonts w:cs="Arial"/>
          <w:b/>
          <w:bCs/>
        </w:rPr>
        <w:t>Applicability:</w:t>
      </w:r>
    </w:p>
    <w:p w14:paraId="74FDF52D" w14:textId="77777777" w:rsidR="00156459" w:rsidRPr="002F5BE9" w:rsidRDefault="00156459" w:rsidP="007F177E">
      <w:pPr>
        <w:pStyle w:val="ListParagraph"/>
        <w:widowControl w:val="0"/>
        <w:numPr>
          <w:ilvl w:val="0"/>
          <w:numId w:val="119"/>
        </w:numPr>
        <w:autoSpaceDE w:val="0"/>
        <w:autoSpaceDN w:val="0"/>
        <w:contextualSpacing w:val="0"/>
        <w:rPr>
          <w:rFonts w:cs="Arial"/>
          <w:b/>
          <w:bCs/>
        </w:rPr>
      </w:pPr>
      <w:r w:rsidRPr="002F5BE9">
        <w:rPr>
          <w:rFonts w:cs="Arial"/>
        </w:rPr>
        <w:t>This hardship is applicable to families in the Excluded group only.</w:t>
      </w:r>
    </w:p>
    <w:p w14:paraId="4DB3B2E3" w14:textId="77777777" w:rsidR="00156459" w:rsidRPr="002F5BE9" w:rsidRDefault="00156459" w:rsidP="00156459">
      <w:pPr>
        <w:rPr>
          <w:rFonts w:cs="Arial"/>
          <w:b/>
          <w:bCs/>
        </w:rPr>
      </w:pPr>
      <w:r w:rsidRPr="002F5BE9">
        <w:rPr>
          <w:rFonts w:cs="Arial"/>
          <w:b/>
          <w:bCs/>
        </w:rPr>
        <w:t>Example:</w:t>
      </w:r>
    </w:p>
    <w:p w14:paraId="01E28BE8" w14:textId="77777777" w:rsidR="00156459" w:rsidRPr="002F5BE9" w:rsidRDefault="00156459" w:rsidP="007F177E">
      <w:pPr>
        <w:pStyle w:val="ListParagraph"/>
        <w:widowControl w:val="0"/>
        <w:numPr>
          <w:ilvl w:val="0"/>
          <w:numId w:val="119"/>
        </w:numPr>
        <w:autoSpaceDE w:val="0"/>
        <w:autoSpaceDN w:val="0"/>
        <w:contextualSpacing w:val="0"/>
        <w:rPr>
          <w:rFonts w:cs="Arial"/>
          <w:b/>
          <w:bCs/>
        </w:rPr>
      </w:pPr>
      <w:r w:rsidRPr="002F5BE9">
        <w:rPr>
          <w:rFonts w:cs="Arial"/>
          <w:b/>
          <w:bCs/>
        </w:rPr>
        <w:t xml:space="preserve">First Category: </w:t>
      </w:r>
    </w:p>
    <w:p w14:paraId="6B1DE3CC" w14:textId="77777777" w:rsidR="00156459" w:rsidRPr="002F5BE9" w:rsidRDefault="00156459" w:rsidP="007F177E">
      <w:pPr>
        <w:pStyle w:val="ListParagraph"/>
        <w:widowControl w:val="0"/>
        <w:numPr>
          <w:ilvl w:val="1"/>
          <w:numId w:val="119"/>
        </w:numPr>
        <w:autoSpaceDE w:val="0"/>
        <w:autoSpaceDN w:val="0"/>
        <w:contextualSpacing w:val="0"/>
        <w:rPr>
          <w:rFonts w:cs="Arial"/>
        </w:rPr>
      </w:pPr>
      <w:r w:rsidRPr="002F5BE9">
        <w:rPr>
          <w:rFonts w:cs="Arial"/>
        </w:rPr>
        <w:t>Elderly/disabled family</w:t>
      </w:r>
      <w:r w:rsidRPr="002F5BE9">
        <w:rPr>
          <w:rFonts w:cs="Arial"/>
          <w:b/>
          <w:bCs/>
        </w:rPr>
        <w:t xml:space="preserve"> </w:t>
      </w:r>
      <w:r w:rsidRPr="002F5BE9">
        <w:rPr>
          <w:rFonts w:cs="Arial"/>
        </w:rPr>
        <w:t>has a gross income of $30,000.</w:t>
      </w:r>
    </w:p>
    <w:p w14:paraId="74B902DE" w14:textId="77777777" w:rsidR="00156459" w:rsidRPr="002F5BE9" w:rsidRDefault="00156459" w:rsidP="007F177E">
      <w:pPr>
        <w:pStyle w:val="ListParagraph"/>
        <w:widowControl w:val="0"/>
        <w:numPr>
          <w:ilvl w:val="2"/>
          <w:numId w:val="119"/>
        </w:numPr>
        <w:autoSpaceDE w:val="0"/>
        <w:autoSpaceDN w:val="0"/>
        <w:contextualSpacing w:val="0"/>
        <w:rPr>
          <w:rFonts w:cs="Arial"/>
        </w:rPr>
      </w:pPr>
      <w:r w:rsidRPr="002F5BE9">
        <w:rPr>
          <w:rFonts w:cs="Arial"/>
        </w:rPr>
        <w:t>3% of this is $900</w:t>
      </w:r>
    </w:p>
    <w:p w14:paraId="78AFF5DB" w14:textId="77777777" w:rsidR="00156459" w:rsidRPr="002F5BE9" w:rsidRDefault="00156459" w:rsidP="007F177E">
      <w:pPr>
        <w:pStyle w:val="ListParagraph"/>
        <w:widowControl w:val="0"/>
        <w:numPr>
          <w:ilvl w:val="2"/>
          <w:numId w:val="119"/>
        </w:numPr>
        <w:autoSpaceDE w:val="0"/>
        <w:autoSpaceDN w:val="0"/>
        <w:contextualSpacing w:val="0"/>
        <w:rPr>
          <w:rFonts w:cs="Arial"/>
        </w:rPr>
      </w:pPr>
      <w:r w:rsidRPr="002F5BE9">
        <w:rPr>
          <w:rFonts w:cs="Arial"/>
        </w:rPr>
        <w:t>10% of this is $3,000</w:t>
      </w:r>
    </w:p>
    <w:p w14:paraId="1177D277" w14:textId="77777777" w:rsidR="00156459" w:rsidRPr="002F5BE9" w:rsidRDefault="00156459" w:rsidP="007F177E">
      <w:pPr>
        <w:pStyle w:val="ListParagraph"/>
        <w:widowControl w:val="0"/>
        <w:numPr>
          <w:ilvl w:val="1"/>
          <w:numId w:val="119"/>
        </w:numPr>
        <w:autoSpaceDE w:val="0"/>
        <w:autoSpaceDN w:val="0"/>
        <w:contextualSpacing w:val="0"/>
        <w:rPr>
          <w:rFonts w:cs="Arial"/>
        </w:rPr>
      </w:pPr>
      <w:r w:rsidRPr="002F5BE9">
        <w:rPr>
          <w:rFonts w:cs="Arial"/>
        </w:rPr>
        <w:t>Upon implementation of HOTMA, the family’s medical expenses total $2,500.</w:t>
      </w:r>
    </w:p>
    <w:p w14:paraId="3CD1D51B" w14:textId="77777777" w:rsidR="00156459" w:rsidRPr="002F5BE9" w:rsidRDefault="00156459" w:rsidP="007F177E">
      <w:pPr>
        <w:pStyle w:val="ListParagraph"/>
        <w:widowControl w:val="0"/>
        <w:numPr>
          <w:ilvl w:val="2"/>
          <w:numId w:val="119"/>
        </w:numPr>
        <w:autoSpaceDE w:val="0"/>
        <w:autoSpaceDN w:val="0"/>
        <w:contextualSpacing w:val="0"/>
        <w:rPr>
          <w:rFonts w:cs="Arial"/>
        </w:rPr>
      </w:pPr>
      <w:r w:rsidRPr="002F5BE9">
        <w:rPr>
          <w:rFonts w:cs="Arial"/>
        </w:rPr>
        <w:t>Under the 3% threshold, their medical expense deduction is $1,600 ($2,500 minus $900);</w:t>
      </w:r>
    </w:p>
    <w:p w14:paraId="58E93749" w14:textId="77777777" w:rsidR="00156459" w:rsidRPr="002F5BE9" w:rsidRDefault="00156459" w:rsidP="007F177E">
      <w:pPr>
        <w:pStyle w:val="ListParagraph"/>
        <w:widowControl w:val="0"/>
        <w:numPr>
          <w:ilvl w:val="2"/>
          <w:numId w:val="119"/>
        </w:numPr>
        <w:autoSpaceDE w:val="0"/>
        <w:autoSpaceDN w:val="0"/>
        <w:contextualSpacing w:val="0"/>
        <w:rPr>
          <w:rFonts w:cs="Arial"/>
        </w:rPr>
      </w:pPr>
      <w:r w:rsidRPr="002F5BE9">
        <w:rPr>
          <w:rFonts w:cs="Arial"/>
        </w:rPr>
        <w:t>Under the 10% threshold, their medical expense deduction is $0, since the total expenses are less than the threshold amount of $3,000.</w:t>
      </w:r>
    </w:p>
    <w:p w14:paraId="05FADA7E" w14:textId="77777777" w:rsidR="00156459" w:rsidRPr="002F5BE9" w:rsidRDefault="00156459" w:rsidP="007F177E">
      <w:pPr>
        <w:pStyle w:val="ListParagraph"/>
        <w:widowControl w:val="0"/>
        <w:numPr>
          <w:ilvl w:val="1"/>
          <w:numId w:val="119"/>
        </w:numPr>
        <w:autoSpaceDE w:val="0"/>
        <w:autoSpaceDN w:val="0"/>
        <w:contextualSpacing w:val="0"/>
        <w:rPr>
          <w:rFonts w:cs="Arial"/>
        </w:rPr>
      </w:pPr>
      <w:r w:rsidRPr="002F5BE9">
        <w:rPr>
          <w:rFonts w:cs="Arial"/>
        </w:rPr>
        <w:t>If the family is</w:t>
      </w:r>
      <w:r w:rsidR="00BD34CC" w:rsidRPr="002F5BE9">
        <w:rPr>
          <w:rFonts w:cs="Arial"/>
        </w:rPr>
        <w:t xml:space="preserve"> eligible</w:t>
      </w:r>
      <w:r w:rsidRPr="002F5BE9">
        <w:rPr>
          <w:rFonts w:cs="Arial"/>
        </w:rPr>
        <w:t xml:space="preserve"> for the hardship:</w:t>
      </w:r>
    </w:p>
    <w:p w14:paraId="039CC7A1" w14:textId="77777777" w:rsidR="00156459" w:rsidRPr="002F5BE9" w:rsidRDefault="00156459" w:rsidP="007F177E">
      <w:pPr>
        <w:pStyle w:val="ListParagraph"/>
        <w:widowControl w:val="0"/>
        <w:numPr>
          <w:ilvl w:val="2"/>
          <w:numId w:val="119"/>
        </w:numPr>
        <w:autoSpaceDE w:val="0"/>
        <w:autoSpaceDN w:val="0"/>
        <w:contextualSpacing w:val="0"/>
        <w:rPr>
          <w:rFonts w:cs="Arial"/>
        </w:rPr>
      </w:pPr>
      <w:r w:rsidRPr="002F5BE9">
        <w:rPr>
          <w:rFonts w:cs="Arial"/>
        </w:rPr>
        <w:t>For the first year, their medical expenses will be calculated with a 5% threshold ($30,000 x 0.05 = $1,500), so their health and medical care expense deduction will be $1,000 ($2,500 minus $1,500);</w:t>
      </w:r>
    </w:p>
    <w:p w14:paraId="30A31347" w14:textId="77777777" w:rsidR="00156459" w:rsidRPr="002F5BE9" w:rsidRDefault="00156459" w:rsidP="007F177E">
      <w:pPr>
        <w:pStyle w:val="ListParagraph"/>
        <w:widowControl w:val="0"/>
        <w:numPr>
          <w:ilvl w:val="2"/>
          <w:numId w:val="119"/>
        </w:numPr>
        <w:autoSpaceDE w:val="0"/>
        <w:autoSpaceDN w:val="0"/>
        <w:contextualSpacing w:val="0"/>
        <w:rPr>
          <w:rFonts w:cs="Arial"/>
        </w:rPr>
      </w:pPr>
      <w:r w:rsidRPr="002F5BE9">
        <w:rPr>
          <w:rFonts w:cs="Arial"/>
        </w:rPr>
        <w:t>For the second year (assuming the family’s gross income and medical expenses do not change), their medical expenses will be calculated with a 7.5% threshold ($30,000 x 0.075 = $2,250), so their health and medical care expense deduction will be $250 ($2,500 minus $2,250).</w:t>
      </w:r>
    </w:p>
    <w:p w14:paraId="7B274F93" w14:textId="77777777" w:rsidR="00156459" w:rsidRPr="002F5BE9" w:rsidRDefault="00156459" w:rsidP="007F177E">
      <w:pPr>
        <w:pStyle w:val="ListParagraph"/>
        <w:widowControl w:val="0"/>
        <w:numPr>
          <w:ilvl w:val="2"/>
          <w:numId w:val="119"/>
        </w:numPr>
        <w:autoSpaceDE w:val="0"/>
        <w:autoSpaceDN w:val="0"/>
        <w:contextualSpacing w:val="0"/>
        <w:rPr>
          <w:rFonts w:cs="Arial"/>
        </w:rPr>
      </w:pPr>
      <w:r w:rsidRPr="002F5BE9">
        <w:rPr>
          <w:rFonts w:cs="Arial"/>
        </w:rPr>
        <w:t>At the third year, the 10% threshold will be applied to their health and medical care expenses.</w:t>
      </w:r>
    </w:p>
    <w:p w14:paraId="2E24B0DE" w14:textId="77777777" w:rsidR="00156459" w:rsidRPr="002F5BE9" w:rsidRDefault="00156459" w:rsidP="00677451">
      <w:pPr>
        <w:pStyle w:val="Heading3"/>
      </w:pPr>
      <w:bookmarkStart w:id="2077" w:name="_Ref155261596"/>
      <w:bookmarkStart w:id="2078" w:name="_Toc200375734"/>
      <w:bookmarkStart w:id="2079" w:name="_Ref136613815"/>
      <w:bookmarkStart w:id="2080" w:name="_Toc137809068"/>
      <w:bookmarkStart w:id="2081" w:name="_Toc137809610"/>
      <w:bookmarkStart w:id="2082" w:name="_Toc137809854"/>
      <w:bookmarkStart w:id="2083" w:name="_Toc137810166"/>
      <w:bookmarkStart w:id="2084" w:name="_Toc138429499"/>
      <w:bookmarkStart w:id="2085" w:name="_Toc138430334"/>
      <w:bookmarkStart w:id="2086" w:name="_Toc138856485"/>
      <w:bookmarkStart w:id="2087" w:name="_Toc138857779"/>
      <w:bookmarkStart w:id="2088" w:name="_Toc138860588"/>
      <w:bookmarkStart w:id="2089" w:name="_Toc147141887"/>
      <w:bookmarkEnd w:id="2073"/>
      <w:bookmarkEnd w:id="2074"/>
      <w:r w:rsidRPr="002F5BE9">
        <w:t>Child Care Expense Hardship</w:t>
      </w:r>
      <w:bookmarkEnd w:id="2077"/>
      <w:bookmarkEnd w:id="2078"/>
      <w:r w:rsidRPr="002F5BE9">
        <w:t xml:space="preserve"> </w:t>
      </w:r>
      <w:bookmarkEnd w:id="2079"/>
      <w:bookmarkEnd w:id="2080"/>
      <w:bookmarkEnd w:id="2081"/>
      <w:bookmarkEnd w:id="2082"/>
      <w:bookmarkEnd w:id="2083"/>
      <w:bookmarkEnd w:id="2084"/>
      <w:bookmarkEnd w:id="2085"/>
      <w:bookmarkEnd w:id="2086"/>
      <w:bookmarkEnd w:id="2087"/>
      <w:bookmarkEnd w:id="2088"/>
      <w:bookmarkEnd w:id="2089"/>
    </w:p>
    <w:p w14:paraId="2C2DF29A" w14:textId="77777777" w:rsidR="001C34B0" w:rsidRDefault="001C34B0" w:rsidP="001C34B0">
      <w:pPr>
        <w:pStyle w:val="ListParagraph"/>
        <w:pBdr>
          <w:top w:val="single" w:sz="4" w:space="1" w:color="auto"/>
          <w:left w:val="single" w:sz="4" w:space="4" w:color="auto"/>
          <w:bottom w:val="single" w:sz="4" w:space="1" w:color="auto"/>
          <w:right w:val="single" w:sz="4" w:space="4" w:color="auto"/>
        </w:pBdr>
        <w:ind w:left="0"/>
        <w:rPr>
          <w:b/>
          <w:bCs/>
        </w:rPr>
      </w:pPr>
      <w:r w:rsidRPr="0018067A">
        <w:rPr>
          <w:b/>
          <w:bCs/>
          <w:i/>
          <w:iCs/>
        </w:rPr>
        <w:t xml:space="preserve">Note: the following </w:t>
      </w:r>
      <w:r>
        <w:rPr>
          <w:b/>
          <w:bCs/>
          <w:i/>
          <w:iCs/>
        </w:rPr>
        <w:t>section is</w:t>
      </w:r>
      <w:r w:rsidRPr="0018067A">
        <w:rPr>
          <w:b/>
          <w:bCs/>
          <w:i/>
          <w:iCs/>
        </w:rPr>
        <w:t xml:space="preserve"> only applicable upon implementation of the HOTMA Final Rule (Sections 102 and 104). Prior to implementation, the following </w:t>
      </w:r>
      <w:r>
        <w:rPr>
          <w:b/>
          <w:bCs/>
          <w:i/>
          <w:iCs/>
        </w:rPr>
        <w:t>does not apply.</w:t>
      </w:r>
    </w:p>
    <w:p w14:paraId="50A1EEDE" w14:textId="77777777" w:rsidR="00156459" w:rsidRPr="002F5BE9" w:rsidRDefault="00156459" w:rsidP="00156459">
      <w:pPr>
        <w:kinsoku w:val="0"/>
        <w:rPr>
          <w:rFonts w:cs="Arial"/>
        </w:rPr>
      </w:pPr>
      <w:r w:rsidRPr="002F5BE9">
        <w:rPr>
          <w:rFonts w:cs="Arial"/>
        </w:rPr>
        <w:t>When a family in the Control or Excluded group demonstrates to HHA’s satisfaction that they are unable to pay their rent because of loss of the child care expense deduction, and the child care expense is still necessary even though the family member is no longer employed or furthering their education</w:t>
      </w:r>
      <w:r w:rsidR="0079386A" w:rsidRPr="002F5BE9">
        <w:rPr>
          <w:rFonts w:cs="Arial"/>
        </w:rPr>
        <w:t xml:space="preserve"> (including looking for work)</w:t>
      </w:r>
      <w:r w:rsidRPr="002F5BE9">
        <w:rPr>
          <w:rFonts w:cs="Arial"/>
        </w:rPr>
        <w:t>, HHA will grant a hardship to allow the child care expense to continue for a limited time. For this purposes of this hardship, HHA will define a family’s inability to pay their rent where their total unreimbursed child care expenses is at least $2,000/year.</w:t>
      </w:r>
    </w:p>
    <w:p w14:paraId="6F5599A8" w14:textId="77777777" w:rsidR="00156459" w:rsidRPr="002F5BE9" w:rsidRDefault="00156459" w:rsidP="00156459">
      <w:pPr>
        <w:rPr>
          <w:rFonts w:cs="Arial"/>
          <w:b/>
        </w:rPr>
      </w:pPr>
      <w:r w:rsidRPr="002F5BE9">
        <w:rPr>
          <w:rFonts w:cs="Arial"/>
          <w:b/>
        </w:rPr>
        <w:t>Request:</w:t>
      </w:r>
    </w:p>
    <w:p w14:paraId="41F4A829" w14:textId="77777777" w:rsidR="00156459" w:rsidRPr="002F5BE9" w:rsidRDefault="00156459" w:rsidP="007F177E">
      <w:pPr>
        <w:pStyle w:val="ListParagraph"/>
        <w:numPr>
          <w:ilvl w:val="0"/>
          <w:numId w:val="107"/>
        </w:numPr>
        <w:contextualSpacing w:val="0"/>
        <w:rPr>
          <w:rFonts w:cs="Arial"/>
          <w:bCs/>
        </w:rPr>
      </w:pPr>
      <w:r w:rsidRPr="002F5BE9">
        <w:rPr>
          <w:rFonts w:cs="Arial"/>
          <w:bCs/>
        </w:rPr>
        <w:t>A hardship due to an inability to pay rent as a result of the loss of child care deductions must be requested, in writing, by the household.</w:t>
      </w:r>
    </w:p>
    <w:p w14:paraId="61E3F68C" w14:textId="77777777" w:rsidR="00156459" w:rsidRPr="002F5BE9" w:rsidRDefault="00156459" w:rsidP="00156459">
      <w:pPr>
        <w:kinsoku w:val="0"/>
        <w:rPr>
          <w:rFonts w:cs="Arial"/>
          <w:b/>
          <w:bCs/>
        </w:rPr>
      </w:pPr>
      <w:r w:rsidRPr="002F5BE9">
        <w:rPr>
          <w:rFonts w:cs="Arial"/>
          <w:b/>
          <w:bCs/>
        </w:rPr>
        <w:t>Eligibility:</w:t>
      </w:r>
    </w:p>
    <w:p w14:paraId="017647E8" w14:textId="77777777" w:rsidR="00156459" w:rsidRPr="002F5BE9" w:rsidRDefault="00156459" w:rsidP="007F177E">
      <w:pPr>
        <w:pStyle w:val="ListParagraph"/>
        <w:widowControl w:val="0"/>
        <w:numPr>
          <w:ilvl w:val="0"/>
          <w:numId w:val="107"/>
        </w:numPr>
        <w:kinsoku w:val="0"/>
        <w:contextualSpacing w:val="0"/>
        <w:rPr>
          <w:rFonts w:cs="Arial"/>
        </w:rPr>
      </w:pPr>
      <w:r w:rsidRPr="002F5BE9">
        <w:rPr>
          <w:rFonts w:cs="Arial"/>
        </w:rPr>
        <w:t>In order to receive the hardship, the family must demonstrate to HHA’s satisfaction that they are unable to pay their rent because of the loss of the child care expense deduction and the child care expense is still necessary even though the family member is no longer employed or furthering their education.</w:t>
      </w:r>
    </w:p>
    <w:p w14:paraId="31B14A1A" w14:textId="77777777" w:rsidR="00156459" w:rsidRPr="002F5BE9" w:rsidRDefault="00156459" w:rsidP="00156459">
      <w:pPr>
        <w:kinsoku w:val="0"/>
        <w:rPr>
          <w:rFonts w:cs="Arial"/>
          <w:b/>
          <w:bCs/>
        </w:rPr>
      </w:pPr>
      <w:r w:rsidRPr="002F5BE9">
        <w:rPr>
          <w:rFonts w:cs="Arial"/>
          <w:b/>
          <w:bCs/>
        </w:rPr>
        <w:t>Remedy:</w:t>
      </w:r>
    </w:p>
    <w:p w14:paraId="79749179" w14:textId="77777777" w:rsidR="00156459" w:rsidRPr="002F5BE9" w:rsidRDefault="00156459" w:rsidP="007F177E">
      <w:pPr>
        <w:pStyle w:val="ListParagraph"/>
        <w:widowControl w:val="0"/>
        <w:numPr>
          <w:ilvl w:val="0"/>
          <w:numId w:val="107"/>
        </w:numPr>
        <w:kinsoku w:val="0"/>
        <w:contextualSpacing w:val="0"/>
        <w:rPr>
          <w:rFonts w:cs="Arial"/>
        </w:rPr>
      </w:pPr>
      <w:r w:rsidRPr="002F5BE9">
        <w:rPr>
          <w:rFonts w:cs="Arial"/>
        </w:rPr>
        <w:t>Relief for an approved hardship exemption includes a continuation of the child care deduction for a period of up to 90 days. HHA, at its discretion, may extend the hardship exemption for one additional 90-day period based on family circumstances.</w:t>
      </w:r>
    </w:p>
    <w:p w14:paraId="07FDC5FC" w14:textId="77777777" w:rsidR="00156459" w:rsidRPr="002F5BE9" w:rsidRDefault="00156459" w:rsidP="00156459">
      <w:pPr>
        <w:kinsoku w:val="0"/>
        <w:rPr>
          <w:rFonts w:cs="Arial"/>
          <w:b/>
          <w:bCs/>
        </w:rPr>
      </w:pPr>
      <w:r w:rsidRPr="002F5BE9">
        <w:rPr>
          <w:rFonts w:cs="Arial"/>
          <w:b/>
          <w:bCs/>
        </w:rPr>
        <w:t>Time Frame:</w:t>
      </w:r>
    </w:p>
    <w:p w14:paraId="2DA10986" w14:textId="77777777" w:rsidR="00156459" w:rsidRPr="002F5BE9" w:rsidRDefault="00156459" w:rsidP="007F177E">
      <w:pPr>
        <w:pStyle w:val="ListParagraph"/>
        <w:widowControl w:val="0"/>
        <w:numPr>
          <w:ilvl w:val="0"/>
          <w:numId w:val="107"/>
        </w:numPr>
        <w:kinsoku w:val="0"/>
        <w:contextualSpacing w:val="0"/>
        <w:rPr>
          <w:rFonts w:cs="Arial"/>
        </w:rPr>
      </w:pPr>
      <w:r w:rsidRPr="002F5BE9">
        <w:rPr>
          <w:rFonts w:cs="Arial"/>
        </w:rPr>
        <w:t>The hardship will last up to 90 days. HHA, at its discretion, may extend the hardship exemption for one additional 90-day period based on family circumstances.</w:t>
      </w:r>
    </w:p>
    <w:p w14:paraId="15F71D45" w14:textId="77777777" w:rsidR="00156459" w:rsidRPr="002F5BE9" w:rsidRDefault="00156459" w:rsidP="00156459">
      <w:pPr>
        <w:kinsoku w:val="0"/>
        <w:rPr>
          <w:rFonts w:cs="Arial"/>
          <w:b/>
          <w:bCs/>
        </w:rPr>
      </w:pPr>
      <w:r w:rsidRPr="002F5BE9">
        <w:rPr>
          <w:rFonts w:cs="Arial"/>
          <w:b/>
          <w:bCs/>
        </w:rPr>
        <w:t>Applicability:</w:t>
      </w:r>
    </w:p>
    <w:p w14:paraId="442A8D66" w14:textId="77777777" w:rsidR="00156459" w:rsidRPr="002F5BE9" w:rsidRDefault="00156459" w:rsidP="007F177E">
      <w:pPr>
        <w:pStyle w:val="ListParagraph"/>
        <w:widowControl w:val="0"/>
        <w:numPr>
          <w:ilvl w:val="0"/>
          <w:numId w:val="119"/>
        </w:numPr>
        <w:autoSpaceDE w:val="0"/>
        <w:autoSpaceDN w:val="0"/>
        <w:contextualSpacing w:val="0"/>
        <w:rPr>
          <w:rFonts w:cs="Arial"/>
          <w:b/>
          <w:bCs/>
        </w:rPr>
      </w:pPr>
      <w:r w:rsidRPr="002F5BE9">
        <w:rPr>
          <w:rFonts w:cs="Arial"/>
        </w:rPr>
        <w:t>This hardship is applicable to families in the Excluded and Control groups.</w:t>
      </w:r>
    </w:p>
    <w:p w14:paraId="2F7F57C6" w14:textId="77777777" w:rsidR="00156459" w:rsidRPr="002F5BE9" w:rsidRDefault="00156459" w:rsidP="00156459">
      <w:pPr>
        <w:kinsoku w:val="0"/>
        <w:rPr>
          <w:rFonts w:cs="Arial"/>
          <w:b/>
          <w:bCs/>
        </w:rPr>
      </w:pPr>
      <w:r w:rsidRPr="002F5BE9">
        <w:rPr>
          <w:rFonts w:cs="Arial"/>
          <w:b/>
          <w:bCs/>
        </w:rPr>
        <w:t>Example:</w:t>
      </w:r>
    </w:p>
    <w:p w14:paraId="435718FA" w14:textId="77777777" w:rsidR="00156459" w:rsidRPr="002F5BE9" w:rsidRDefault="00156459" w:rsidP="00156459">
      <w:pPr>
        <w:autoSpaceDE w:val="0"/>
        <w:autoSpaceDN w:val="0"/>
        <w:adjustRightInd w:val="0"/>
        <w:rPr>
          <w:rFonts w:cs="Arial"/>
        </w:rPr>
      </w:pPr>
      <w:r w:rsidRPr="002F5BE9">
        <w:rPr>
          <w:rFonts w:cs="Arial"/>
        </w:rPr>
        <w:t>An adult family member had child care expenses for employment, but lost their job. The family wishes to keep child in care while the adult looks for work. HHA receives verification showing the total child care expenses for qualifying child(ren) exceed $2,000/year.</w:t>
      </w:r>
    </w:p>
    <w:p w14:paraId="7F6604AF" w14:textId="77777777" w:rsidR="006D7ACD" w:rsidRPr="002F5BE9" w:rsidRDefault="001E0F95" w:rsidP="00DF7055">
      <w:pPr>
        <w:pStyle w:val="Heading2"/>
      </w:pPr>
      <w:bookmarkStart w:id="2090" w:name="_Ref155262205"/>
      <w:bookmarkStart w:id="2091" w:name="_Toc173222729"/>
      <w:bookmarkStart w:id="2092" w:name="_Toc200375735"/>
      <w:bookmarkStart w:id="2093" w:name="_Toc200376995"/>
      <w:bookmarkStart w:id="2094" w:name="_Toc114067502"/>
      <w:bookmarkStart w:id="2095" w:name="_Toc119412716"/>
      <w:bookmarkStart w:id="2096" w:name="_Toc137809063"/>
      <w:bookmarkStart w:id="2097" w:name="_Toc137809605"/>
      <w:bookmarkStart w:id="2098" w:name="_Toc137809849"/>
      <w:bookmarkStart w:id="2099" w:name="_Toc137810161"/>
      <w:bookmarkStart w:id="2100" w:name="_Toc138429494"/>
      <w:bookmarkStart w:id="2101" w:name="_Toc138430329"/>
      <w:bookmarkStart w:id="2102" w:name="_Toc138856480"/>
      <w:bookmarkStart w:id="2103" w:name="_Toc138857774"/>
      <w:bookmarkStart w:id="2104" w:name="_Toc138860583"/>
      <w:bookmarkStart w:id="2105" w:name="_Toc147141882"/>
      <w:bookmarkEnd w:id="1992"/>
      <w:r w:rsidRPr="002F5BE9">
        <w:t>Treatment Group Only</w:t>
      </w:r>
      <w:bookmarkEnd w:id="2090"/>
      <w:bookmarkEnd w:id="2091"/>
      <w:bookmarkEnd w:id="2092"/>
      <w:bookmarkEnd w:id="2093"/>
    </w:p>
    <w:p w14:paraId="07CEB3ED" w14:textId="77777777" w:rsidR="00B86128" w:rsidRPr="002F5BE9" w:rsidRDefault="00B86128" w:rsidP="00677451">
      <w:pPr>
        <w:pStyle w:val="Heading3"/>
      </w:pPr>
      <w:bookmarkStart w:id="2106" w:name="_Toc200375736"/>
      <w:r w:rsidRPr="002F5BE9">
        <w:t>Hardship at Enrollment: Decrease in Income</w:t>
      </w:r>
      <w:bookmarkStart w:id="2107" w:name="_Hlk97797802"/>
      <w:bookmarkEnd w:id="2094"/>
      <w:bookmarkEnd w:id="2095"/>
      <w:bookmarkEnd w:id="2096"/>
      <w:bookmarkEnd w:id="2097"/>
      <w:bookmarkEnd w:id="2098"/>
      <w:bookmarkEnd w:id="2099"/>
      <w:bookmarkEnd w:id="2100"/>
      <w:bookmarkEnd w:id="2101"/>
      <w:bookmarkEnd w:id="2102"/>
      <w:bookmarkEnd w:id="2103"/>
      <w:bookmarkEnd w:id="2104"/>
      <w:bookmarkEnd w:id="2105"/>
      <w:bookmarkEnd w:id="2106"/>
    </w:p>
    <w:p w14:paraId="1FD93270" w14:textId="77777777" w:rsidR="00B86128" w:rsidRPr="002F5BE9" w:rsidRDefault="00B86128" w:rsidP="00DF7055">
      <w:pPr>
        <w:pStyle w:val="ListParagraph"/>
        <w:ind w:left="0"/>
        <w:contextualSpacing w:val="0"/>
        <w:rPr>
          <w:rFonts w:cs="Arial"/>
          <w:bCs/>
        </w:rPr>
      </w:pPr>
      <w:bookmarkStart w:id="2108" w:name="_Hlk97821732"/>
      <w:bookmarkEnd w:id="2107"/>
      <w:r w:rsidRPr="002F5BE9">
        <w:rPr>
          <w:rFonts w:cs="Arial"/>
          <w:bCs/>
        </w:rPr>
        <w:t>For households</w:t>
      </w:r>
      <w:r w:rsidR="00114F16" w:rsidRPr="002F5BE9">
        <w:rPr>
          <w:rFonts w:cs="Arial"/>
          <w:bCs/>
        </w:rPr>
        <w:t xml:space="preserve"> in the Treatment group</w:t>
      </w:r>
      <w:r w:rsidRPr="002F5BE9">
        <w:rPr>
          <w:rFonts w:cs="Arial"/>
          <w:bCs/>
        </w:rPr>
        <w:t xml:space="preserve"> already receiving assistance, HHA conducts an income examination at the time of enrollment in the tiered rent treatment group. HHA will compare the household’s current/anticipated gross income with their prior /retrospective gross income. If the household’s current/anticipated gross income puts them in a lower income tier than their prior/retrospective gross income, HHA will automatically determine whether the household is eligible for a hardship exemption. </w:t>
      </w:r>
    </w:p>
    <w:p w14:paraId="6A70B406" w14:textId="77777777" w:rsidR="00B86128" w:rsidRPr="00DF7055" w:rsidRDefault="00B86128" w:rsidP="001E0F95">
      <w:pPr>
        <w:rPr>
          <w:rFonts w:cs="Arial"/>
          <w:b/>
        </w:rPr>
      </w:pPr>
      <w:r w:rsidRPr="00DF7055">
        <w:rPr>
          <w:rFonts w:cs="Arial"/>
          <w:b/>
        </w:rPr>
        <w:t>Request:</w:t>
      </w:r>
    </w:p>
    <w:p w14:paraId="00B73302" w14:textId="77777777" w:rsidR="00B86128" w:rsidRPr="00DF7055" w:rsidRDefault="00B86128" w:rsidP="007F177E">
      <w:pPr>
        <w:pStyle w:val="ListParagraph"/>
        <w:numPr>
          <w:ilvl w:val="0"/>
          <w:numId w:val="107"/>
        </w:numPr>
        <w:contextualSpacing w:val="0"/>
        <w:rPr>
          <w:rFonts w:cs="Arial"/>
          <w:bCs/>
        </w:rPr>
      </w:pPr>
      <w:r w:rsidRPr="00DF7055">
        <w:rPr>
          <w:rFonts w:cs="Arial"/>
          <w:bCs/>
        </w:rPr>
        <w:t>Hardship requests do not need to be made at enrollment. HHA will automatically determine if a hardship, due to a decrease in income exists.</w:t>
      </w:r>
    </w:p>
    <w:p w14:paraId="0F2C8BA0" w14:textId="77777777" w:rsidR="00B86128" w:rsidRPr="00DF7055" w:rsidRDefault="00B86128" w:rsidP="001E0F95">
      <w:pPr>
        <w:rPr>
          <w:rFonts w:cs="Arial"/>
          <w:bCs/>
        </w:rPr>
      </w:pPr>
      <w:r w:rsidRPr="00DF7055">
        <w:rPr>
          <w:rFonts w:cs="Arial"/>
          <w:b/>
        </w:rPr>
        <w:t>Eligibility:</w:t>
      </w:r>
      <w:r w:rsidRPr="00DF7055">
        <w:rPr>
          <w:rFonts w:cs="Arial"/>
          <w:bCs/>
          <w:i/>
          <w:iCs/>
        </w:rPr>
        <w:t xml:space="preserve"> </w:t>
      </w:r>
    </w:p>
    <w:p w14:paraId="3AF53FEF" w14:textId="77777777" w:rsidR="00B86128" w:rsidRPr="00DF7055" w:rsidRDefault="00B86128" w:rsidP="007F177E">
      <w:pPr>
        <w:pStyle w:val="ListParagraph"/>
        <w:numPr>
          <w:ilvl w:val="0"/>
          <w:numId w:val="108"/>
        </w:numPr>
        <w:contextualSpacing w:val="0"/>
        <w:rPr>
          <w:rFonts w:cs="Arial"/>
        </w:rPr>
      </w:pPr>
      <w:r w:rsidRPr="00DF7055">
        <w:rPr>
          <w:rFonts w:cs="Arial"/>
          <w:bCs/>
        </w:rPr>
        <w:t xml:space="preserve">A household will be eligible for this hardship exemption if the household’s current/anticipated gross income puts them in a lower income tier than their prior/retrospective gross income. </w:t>
      </w:r>
    </w:p>
    <w:p w14:paraId="6DA28BC0" w14:textId="77777777" w:rsidR="00B86128" w:rsidRPr="00DF7055" w:rsidRDefault="00B86128" w:rsidP="001E0F95">
      <w:pPr>
        <w:rPr>
          <w:rFonts w:cs="Arial"/>
          <w:b/>
          <w:bCs/>
        </w:rPr>
      </w:pPr>
      <w:r w:rsidRPr="00DF7055">
        <w:rPr>
          <w:rFonts w:cs="Arial"/>
          <w:b/>
          <w:bCs/>
        </w:rPr>
        <w:t>Remedy:</w:t>
      </w:r>
    </w:p>
    <w:p w14:paraId="0FD837B1" w14:textId="77777777" w:rsidR="00B86128" w:rsidRPr="00DF7055" w:rsidRDefault="00B86128" w:rsidP="007F177E">
      <w:pPr>
        <w:pStyle w:val="ListParagraph"/>
        <w:numPr>
          <w:ilvl w:val="0"/>
          <w:numId w:val="106"/>
        </w:numPr>
        <w:autoSpaceDE w:val="0"/>
        <w:autoSpaceDN w:val="0"/>
        <w:adjustRightInd w:val="0"/>
        <w:contextualSpacing w:val="0"/>
        <w:rPr>
          <w:rFonts w:cs="Arial"/>
        </w:rPr>
      </w:pPr>
      <w:r w:rsidRPr="00DF7055">
        <w:rPr>
          <w:rFonts w:cs="Arial"/>
        </w:rPr>
        <w:t>If a hardship exists, the hardship TTP will be the TTP in the income tier for the current/anticipated gross income.</w:t>
      </w:r>
    </w:p>
    <w:p w14:paraId="74DD4D5A" w14:textId="77777777" w:rsidR="00B86128" w:rsidRPr="00DF7055" w:rsidRDefault="00B86128" w:rsidP="001E0F95">
      <w:pPr>
        <w:adjustRightInd w:val="0"/>
        <w:rPr>
          <w:rFonts w:cs="Arial"/>
          <w:b/>
          <w:bCs/>
        </w:rPr>
      </w:pPr>
      <w:r w:rsidRPr="00DF7055">
        <w:rPr>
          <w:rFonts w:cs="Arial"/>
          <w:b/>
          <w:bCs/>
        </w:rPr>
        <w:t>Time Frame:</w:t>
      </w:r>
    </w:p>
    <w:p w14:paraId="68ED5D8B" w14:textId="77777777" w:rsidR="00B86128" w:rsidRPr="00DF7055" w:rsidRDefault="00B86128" w:rsidP="007F177E">
      <w:pPr>
        <w:pStyle w:val="ListParagraph"/>
        <w:numPr>
          <w:ilvl w:val="0"/>
          <w:numId w:val="106"/>
        </w:numPr>
        <w:autoSpaceDE w:val="0"/>
        <w:autoSpaceDN w:val="0"/>
        <w:adjustRightInd w:val="0"/>
        <w:contextualSpacing w:val="0"/>
        <w:rPr>
          <w:rFonts w:cs="Arial"/>
        </w:rPr>
      </w:pPr>
      <w:r w:rsidRPr="00DF7055">
        <w:rPr>
          <w:rFonts w:cs="Arial"/>
        </w:rPr>
        <w:t xml:space="preserve">The hardship will remain in place for a 12-month period. </w:t>
      </w:r>
    </w:p>
    <w:p w14:paraId="752A9468" w14:textId="77777777" w:rsidR="00B86128" w:rsidRPr="006D7ACD" w:rsidRDefault="00B86128" w:rsidP="007F177E">
      <w:pPr>
        <w:pStyle w:val="ListParagraph"/>
        <w:numPr>
          <w:ilvl w:val="0"/>
          <w:numId w:val="106"/>
        </w:numPr>
        <w:autoSpaceDE w:val="0"/>
        <w:autoSpaceDN w:val="0"/>
        <w:adjustRightInd w:val="0"/>
        <w:contextualSpacing w:val="0"/>
        <w:rPr>
          <w:rFonts w:cs="Arial"/>
          <w:spacing w:val="-4"/>
        </w:rPr>
      </w:pPr>
      <w:r w:rsidRPr="006D7ACD">
        <w:rPr>
          <w:rFonts w:cs="Arial"/>
          <w:spacing w:val="-4"/>
        </w:rPr>
        <w:t xml:space="preserve">At the end of that 12-month period, the household may reapply for an extended hardship TTP.  </w:t>
      </w:r>
    </w:p>
    <w:p w14:paraId="7D8C3DBB" w14:textId="77777777" w:rsidR="00B86128" w:rsidRPr="00DF7055" w:rsidRDefault="00B86128" w:rsidP="007F177E">
      <w:pPr>
        <w:pStyle w:val="ListParagraph"/>
        <w:numPr>
          <w:ilvl w:val="0"/>
          <w:numId w:val="106"/>
        </w:numPr>
        <w:autoSpaceDE w:val="0"/>
        <w:autoSpaceDN w:val="0"/>
        <w:adjustRightInd w:val="0"/>
        <w:contextualSpacing w:val="0"/>
        <w:rPr>
          <w:rFonts w:cs="Arial"/>
        </w:rPr>
      </w:pPr>
      <w:r w:rsidRPr="00DF7055">
        <w:rPr>
          <w:rFonts w:cs="Arial"/>
        </w:rPr>
        <w:t>If the household does not reapply for the hardship or is not approved for an extended hardship, the tiered rent will revert back to the pre-hardship tiered rent TTP.</w:t>
      </w:r>
    </w:p>
    <w:p w14:paraId="08293B21" w14:textId="77777777" w:rsidR="00B86128" w:rsidRPr="00DF7055" w:rsidRDefault="00B86128" w:rsidP="001E0F95">
      <w:pPr>
        <w:adjustRightInd w:val="0"/>
        <w:rPr>
          <w:rFonts w:cs="Arial"/>
          <w:b/>
          <w:bCs/>
        </w:rPr>
      </w:pPr>
      <w:r w:rsidRPr="00DF7055">
        <w:rPr>
          <w:rFonts w:cs="Arial"/>
          <w:b/>
          <w:bCs/>
        </w:rPr>
        <w:t>Applicability:</w:t>
      </w:r>
    </w:p>
    <w:p w14:paraId="30CE0EC5" w14:textId="77777777" w:rsidR="00B86128" w:rsidRPr="006D7ACD" w:rsidRDefault="00B86128" w:rsidP="007F177E">
      <w:pPr>
        <w:pStyle w:val="ListParagraph"/>
        <w:numPr>
          <w:ilvl w:val="0"/>
          <w:numId w:val="109"/>
        </w:numPr>
        <w:autoSpaceDE w:val="0"/>
        <w:autoSpaceDN w:val="0"/>
        <w:adjustRightInd w:val="0"/>
        <w:contextualSpacing w:val="0"/>
        <w:rPr>
          <w:rFonts w:cs="Arial"/>
          <w:spacing w:val="-2"/>
        </w:rPr>
      </w:pPr>
      <w:r w:rsidRPr="006D7ACD">
        <w:rPr>
          <w:rFonts w:cs="Arial"/>
          <w:spacing w:val="-2"/>
        </w:rPr>
        <w:t>The Hardship at Enrollment: Decrease in Income applies to families in the Treatment group.</w:t>
      </w:r>
    </w:p>
    <w:p w14:paraId="6C1974BB" w14:textId="77777777" w:rsidR="00B86128" w:rsidRPr="00DF7055" w:rsidRDefault="00B86128" w:rsidP="001E0F95">
      <w:pPr>
        <w:adjustRightInd w:val="0"/>
        <w:rPr>
          <w:rFonts w:cs="Arial"/>
          <w:b/>
          <w:bCs/>
        </w:rPr>
      </w:pPr>
      <w:r w:rsidRPr="00DF7055">
        <w:rPr>
          <w:rFonts w:cs="Arial"/>
          <w:b/>
          <w:bCs/>
        </w:rPr>
        <w:t>Example:</w:t>
      </w:r>
    </w:p>
    <w:p w14:paraId="27A0099E" w14:textId="77777777" w:rsidR="00B86128" w:rsidRPr="00DF7055" w:rsidRDefault="00B86128" w:rsidP="007F177E">
      <w:pPr>
        <w:pStyle w:val="ListParagraph"/>
        <w:numPr>
          <w:ilvl w:val="0"/>
          <w:numId w:val="106"/>
        </w:numPr>
        <w:autoSpaceDE w:val="0"/>
        <w:autoSpaceDN w:val="0"/>
        <w:adjustRightInd w:val="0"/>
        <w:contextualSpacing w:val="0"/>
        <w:rPr>
          <w:rFonts w:cs="Arial"/>
        </w:rPr>
      </w:pPr>
      <w:bookmarkStart w:id="2109" w:name="_Hlk97792663"/>
      <w:r w:rsidRPr="00DF7055">
        <w:rPr>
          <w:rFonts w:cs="Arial"/>
        </w:rPr>
        <w:t>Prior Year Retrospective Gross Income: $25,000</w:t>
      </w:r>
    </w:p>
    <w:p w14:paraId="419DCA97" w14:textId="77777777" w:rsidR="00B86128" w:rsidRPr="00DF7055" w:rsidRDefault="00B86128" w:rsidP="007F177E">
      <w:pPr>
        <w:pStyle w:val="ListParagraph"/>
        <w:numPr>
          <w:ilvl w:val="1"/>
          <w:numId w:val="106"/>
        </w:numPr>
        <w:autoSpaceDE w:val="0"/>
        <w:autoSpaceDN w:val="0"/>
        <w:adjustRightInd w:val="0"/>
        <w:contextualSpacing w:val="0"/>
        <w:rPr>
          <w:rFonts w:cs="Arial"/>
        </w:rPr>
      </w:pPr>
      <w:r w:rsidRPr="00DF7055">
        <w:rPr>
          <w:rFonts w:cs="Arial"/>
        </w:rPr>
        <w:t>Tiered Rent TTP based on prior/retrospective gross income: $560</w:t>
      </w:r>
    </w:p>
    <w:p w14:paraId="5D71D4AD" w14:textId="77777777" w:rsidR="00B86128" w:rsidRPr="00DF7055" w:rsidRDefault="00B86128" w:rsidP="007F177E">
      <w:pPr>
        <w:pStyle w:val="ListParagraph"/>
        <w:numPr>
          <w:ilvl w:val="0"/>
          <w:numId w:val="106"/>
        </w:numPr>
        <w:autoSpaceDE w:val="0"/>
        <w:autoSpaceDN w:val="0"/>
        <w:adjustRightInd w:val="0"/>
        <w:contextualSpacing w:val="0"/>
        <w:rPr>
          <w:rFonts w:cs="Arial"/>
        </w:rPr>
      </w:pPr>
      <w:r w:rsidRPr="00DF7055">
        <w:rPr>
          <w:rFonts w:cs="Arial"/>
        </w:rPr>
        <w:t>Current/Anticipated Gross Income: $18,000</w:t>
      </w:r>
    </w:p>
    <w:p w14:paraId="72F8D82C" w14:textId="77777777" w:rsidR="00B86128" w:rsidRPr="00DF7055" w:rsidRDefault="00B86128" w:rsidP="007F177E">
      <w:pPr>
        <w:pStyle w:val="ListParagraph"/>
        <w:numPr>
          <w:ilvl w:val="1"/>
          <w:numId w:val="106"/>
        </w:numPr>
        <w:autoSpaceDE w:val="0"/>
        <w:autoSpaceDN w:val="0"/>
        <w:adjustRightInd w:val="0"/>
        <w:contextualSpacing w:val="0"/>
        <w:rPr>
          <w:rFonts w:cs="Arial"/>
        </w:rPr>
      </w:pPr>
      <w:r w:rsidRPr="00DF7055">
        <w:rPr>
          <w:rFonts w:cs="Arial"/>
        </w:rPr>
        <w:t>Tiered Rent TTP based on current/anticipated gross income: $420</w:t>
      </w:r>
    </w:p>
    <w:p w14:paraId="4F89FC54" w14:textId="77777777" w:rsidR="00B86128" w:rsidRPr="00DF7055" w:rsidRDefault="00B86128" w:rsidP="007F177E">
      <w:pPr>
        <w:pStyle w:val="ListParagraph"/>
        <w:numPr>
          <w:ilvl w:val="1"/>
          <w:numId w:val="106"/>
        </w:numPr>
        <w:autoSpaceDE w:val="0"/>
        <w:autoSpaceDN w:val="0"/>
        <w:adjustRightInd w:val="0"/>
        <w:contextualSpacing w:val="0"/>
        <w:rPr>
          <w:rFonts w:cs="Arial"/>
        </w:rPr>
      </w:pPr>
      <w:r w:rsidRPr="00DF7055">
        <w:rPr>
          <w:rFonts w:cs="Arial"/>
        </w:rPr>
        <w:t>Household is eligible for hardship since the tiered rent TTP using current/anticipated gross income is at least one tier lower than the tiered rent TTP using the prior/retrospective gross income.</w:t>
      </w:r>
    </w:p>
    <w:p w14:paraId="7BA21587" w14:textId="77777777" w:rsidR="00B86128" w:rsidRPr="00DF7055" w:rsidRDefault="00B86128" w:rsidP="007F177E">
      <w:pPr>
        <w:pStyle w:val="ListParagraph"/>
        <w:numPr>
          <w:ilvl w:val="1"/>
          <w:numId w:val="106"/>
        </w:numPr>
        <w:autoSpaceDE w:val="0"/>
        <w:autoSpaceDN w:val="0"/>
        <w:adjustRightInd w:val="0"/>
        <w:contextualSpacing w:val="0"/>
        <w:rPr>
          <w:rFonts w:cs="Arial"/>
        </w:rPr>
      </w:pPr>
      <w:r w:rsidRPr="00DF7055">
        <w:rPr>
          <w:rFonts w:cs="Arial"/>
        </w:rPr>
        <w:t xml:space="preserve">Hardship TTP: $420 </w:t>
      </w:r>
      <w:bookmarkEnd w:id="2108"/>
      <w:bookmarkEnd w:id="2109"/>
    </w:p>
    <w:p w14:paraId="1420D548" w14:textId="77777777" w:rsidR="00B86128" w:rsidRPr="001E0F95" w:rsidRDefault="00B86128" w:rsidP="00677451">
      <w:pPr>
        <w:pStyle w:val="Heading3"/>
      </w:pPr>
      <w:bookmarkStart w:id="2110" w:name="_Toc114067503"/>
      <w:bookmarkStart w:id="2111" w:name="_Toc119412717"/>
      <w:bookmarkStart w:id="2112" w:name="_Toc137809064"/>
      <w:bookmarkStart w:id="2113" w:name="_Toc137809606"/>
      <w:bookmarkStart w:id="2114" w:name="_Toc137809850"/>
      <w:bookmarkStart w:id="2115" w:name="_Toc137810162"/>
      <w:bookmarkStart w:id="2116" w:name="_Toc138429495"/>
      <w:bookmarkStart w:id="2117" w:name="_Toc138430330"/>
      <w:bookmarkStart w:id="2118" w:name="_Toc138856481"/>
      <w:bookmarkStart w:id="2119" w:name="_Toc138857775"/>
      <w:bookmarkStart w:id="2120" w:name="_Toc138860584"/>
      <w:bookmarkStart w:id="2121" w:name="_Toc147141883"/>
      <w:bookmarkStart w:id="2122" w:name="_Ref155262193"/>
      <w:bookmarkStart w:id="2123" w:name="_Toc200375737"/>
      <w:r w:rsidRPr="001E0F95">
        <w:t>Hardship at Enrollment: Increase in TTP Due to Loss of Child Care Expense Deduction</w:t>
      </w:r>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r w:rsidRPr="001E0F95">
        <w:t xml:space="preserve"> </w:t>
      </w:r>
    </w:p>
    <w:p w14:paraId="4AA2DABC" w14:textId="77777777" w:rsidR="00B86128" w:rsidRPr="00E86F86" w:rsidRDefault="00B86128" w:rsidP="00E86F86">
      <w:pPr>
        <w:adjustRightInd w:val="0"/>
        <w:rPr>
          <w:rFonts w:cs="Arial"/>
          <w:bCs/>
          <w:szCs w:val="20"/>
        </w:rPr>
      </w:pPr>
      <w:r w:rsidRPr="00E86F86">
        <w:rPr>
          <w:rFonts w:cs="Arial"/>
          <w:bCs/>
        </w:rPr>
        <w:t xml:space="preserve">Some families </w:t>
      </w:r>
      <w:r w:rsidR="00114F16">
        <w:rPr>
          <w:rFonts w:cs="Arial"/>
          <w:bCs/>
        </w:rPr>
        <w:t xml:space="preserve">in the Treatment group </w:t>
      </w:r>
      <w:r w:rsidRPr="00E86F86">
        <w:rPr>
          <w:rFonts w:cs="Arial"/>
          <w:bCs/>
        </w:rPr>
        <w:t>may face a hardship due to the tiered rent policy’s reliance on gross income (with no deductions) instead of adjusted income. The child care deduction requires special attention because child care can be very expensive and because paid child care is often essential for enabling parents to work.</w:t>
      </w:r>
    </w:p>
    <w:p w14:paraId="64AE453F" w14:textId="77777777" w:rsidR="00B86128" w:rsidRPr="00E86F86" w:rsidRDefault="00B86128" w:rsidP="00E86F86">
      <w:pPr>
        <w:adjustRightInd w:val="0"/>
        <w:rPr>
          <w:rFonts w:cs="Arial"/>
        </w:rPr>
      </w:pPr>
      <w:r w:rsidRPr="00E86F86">
        <w:rPr>
          <w:rFonts w:cs="Arial"/>
          <w:bCs/>
        </w:rPr>
        <w:t xml:space="preserve">For households already receiving assistance, HHA conducts an income examination at the time of enrollment into the tiered rent treatment group. </w:t>
      </w:r>
      <w:r w:rsidRPr="00E86F86">
        <w:rPr>
          <w:rFonts w:cs="Arial"/>
        </w:rPr>
        <w:t>Where a household’s total unreimbursed child care expenses is at least $2,000/year, HHA will allow the full deduction of reasonable unreimbursed child care expenses and apply the tiered TTP that corresponds to their current/anticipated adjusted annual income.</w:t>
      </w:r>
    </w:p>
    <w:p w14:paraId="0CA371C2" w14:textId="77777777" w:rsidR="00B86128" w:rsidRPr="00E86F86" w:rsidRDefault="00B86128" w:rsidP="000C1CF5">
      <w:pPr>
        <w:keepNext/>
        <w:rPr>
          <w:rFonts w:cs="Arial"/>
          <w:b/>
        </w:rPr>
      </w:pPr>
      <w:r w:rsidRPr="00E86F86">
        <w:rPr>
          <w:rFonts w:cs="Arial"/>
          <w:b/>
        </w:rPr>
        <w:t>Request:</w:t>
      </w:r>
    </w:p>
    <w:p w14:paraId="754FDA38" w14:textId="77777777" w:rsidR="00B86128" w:rsidRPr="00E86F86" w:rsidRDefault="00B86128" w:rsidP="007F177E">
      <w:pPr>
        <w:pStyle w:val="ListParagraph"/>
        <w:keepNext/>
        <w:numPr>
          <w:ilvl w:val="0"/>
          <w:numId w:val="107"/>
        </w:numPr>
        <w:contextualSpacing w:val="0"/>
        <w:rPr>
          <w:rFonts w:cs="Arial"/>
          <w:bCs/>
        </w:rPr>
      </w:pPr>
      <w:r w:rsidRPr="00E86F86">
        <w:rPr>
          <w:rFonts w:cs="Arial"/>
          <w:bCs/>
        </w:rPr>
        <w:t>Hardship requests do not need to be made at enrollment. HHA will automatically determine if a hardship, due to an increase in TTP as a result of the loss of child care deductions, exists.</w:t>
      </w:r>
    </w:p>
    <w:p w14:paraId="13737FC5" w14:textId="77777777" w:rsidR="00B86128" w:rsidRPr="00E86F86" w:rsidRDefault="00B86128" w:rsidP="00E86F86">
      <w:pPr>
        <w:rPr>
          <w:rFonts w:cs="Arial"/>
          <w:bCs/>
        </w:rPr>
      </w:pPr>
      <w:r w:rsidRPr="00E86F86">
        <w:rPr>
          <w:rFonts w:cs="Arial"/>
          <w:b/>
        </w:rPr>
        <w:t>Eligibility:</w:t>
      </w:r>
      <w:r w:rsidRPr="00E86F86">
        <w:rPr>
          <w:rFonts w:cs="Arial"/>
          <w:bCs/>
          <w:i/>
          <w:iCs/>
        </w:rPr>
        <w:t xml:space="preserve"> </w:t>
      </w:r>
    </w:p>
    <w:p w14:paraId="50F971EC" w14:textId="77777777" w:rsidR="00B86128" w:rsidRPr="00E86F86" w:rsidRDefault="00B86128" w:rsidP="007F177E">
      <w:pPr>
        <w:pStyle w:val="ListParagraph"/>
        <w:numPr>
          <w:ilvl w:val="0"/>
          <w:numId w:val="108"/>
        </w:numPr>
        <w:autoSpaceDE w:val="0"/>
        <w:autoSpaceDN w:val="0"/>
        <w:adjustRightInd w:val="0"/>
        <w:contextualSpacing w:val="0"/>
        <w:rPr>
          <w:rFonts w:cs="Arial"/>
          <w:b/>
          <w:bCs/>
        </w:rPr>
      </w:pPr>
      <w:r w:rsidRPr="00E86F86">
        <w:rPr>
          <w:rFonts w:cs="Arial"/>
          <w:bCs/>
        </w:rPr>
        <w:t xml:space="preserve">A household will be eligible for this hardship exemption if the </w:t>
      </w:r>
      <w:r w:rsidRPr="00E86F86">
        <w:rPr>
          <w:rFonts w:cs="Arial"/>
        </w:rPr>
        <w:t>household’s total unreimbursed child care expenses are at least $2,000/year.</w:t>
      </w:r>
    </w:p>
    <w:p w14:paraId="0C943DE9" w14:textId="77777777" w:rsidR="00B86128" w:rsidRPr="00E86F86" w:rsidRDefault="00B86128" w:rsidP="00E86F86">
      <w:pPr>
        <w:rPr>
          <w:rFonts w:cs="Arial"/>
          <w:b/>
          <w:bCs/>
        </w:rPr>
      </w:pPr>
      <w:bookmarkStart w:id="2124" w:name="_Hlk96662295"/>
      <w:r w:rsidRPr="00E86F86">
        <w:rPr>
          <w:rFonts w:cs="Arial"/>
          <w:b/>
          <w:bCs/>
        </w:rPr>
        <w:t>Remedy:</w:t>
      </w:r>
    </w:p>
    <w:p w14:paraId="2E17B896" w14:textId="77777777" w:rsidR="00B86128" w:rsidRPr="00E86F86" w:rsidRDefault="00B86128" w:rsidP="007F177E">
      <w:pPr>
        <w:pStyle w:val="ListParagraph"/>
        <w:numPr>
          <w:ilvl w:val="0"/>
          <w:numId w:val="106"/>
        </w:numPr>
        <w:autoSpaceDE w:val="0"/>
        <w:autoSpaceDN w:val="0"/>
        <w:adjustRightInd w:val="0"/>
        <w:contextualSpacing w:val="0"/>
        <w:rPr>
          <w:rFonts w:cs="Arial"/>
        </w:rPr>
      </w:pPr>
      <w:r w:rsidRPr="00E86F86">
        <w:rPr>
          <w:rFonts w:cs="Arial"/>
        </w:rPr>
        <w:t>If a hardship exists, the hardship</w:t>
      </w:r>
      <w:r w:rsidRPr="00E86F86">
        <w:rPr>
          <w:rStyle w:val="cf01"/>
          <w:rFonts w:ascii="Arial" w:hAnsi="Arial" w:cs="Arial"/>
          <w:color w:val="auto"/>
          <w:sz w:val="22"/>
          <w:szCs w:val="22"/>
        </w:rPr>
        <w:t xml:space="preserve"> TTP will be set using the income band that applies to the household’s current/anticipated adjusted annual income, taking into account the full allowable child care expense deduction.</w:t>
      </w:r>
    </w:p>
    <w:p w14:paraId="5F111B05" w14:textId="77777777" w:rsidR="00B86128" w:rsidRPr="00E86F86" w:rsidRDefault="00B86128" w:rsidP="00E86F86">
      <w:pPr>
        <w:adjustRightInd w:val="0"/>
        <w:rPr>
          <w:rFonts w:cs="Arial"/>
          <w:b/>
          <w:bCs/>
        </w:rPr>
      </w:pPr>
      <w:r w:rsidRPr="00E86F86">
        <w:rPr>
          <w:rFonts w:cs="Arial"/>
          <w:b/>
          <w:bCs/>
        </w:rPr>
        <w:t>Time Frame:</w:t>
      </w:r>
    </w:p>
    <w:p w14:paraId="2E46886D" w14:textId="77777777" w:rsidR="00B86128" w:rsidRPr="00E86F86" w:rsidRDefault="00B86128" w:rsidP="007F177E">
      <w:pPr>
        <w:pStyle w:val="ListParagraph"/>
        <w:numPr>
          <w:ilvl w:val="0"/>
          <w:numId w:val="106"/>
        </w:numPr>
        <w:autoSpaceDE w:val="0"/>
        <w:autoSpaceDN w:val="0"/>
        <w:adjustRightInd w:val="0"/>
        <w:contextualSpacing w:val="0"/>
        <w:rPr>
          <w:rFonts w:cs="Arial"/>
        </w:rPr>
      </w:pPr>
      <w:r w:rsidRPr="00E86F86">
        <w:rPr>
          <w:rFonts w:cs="Arial"/>
        </w:rPr>
        <w:t xml:space="preserve">The hardship will remain in place for a 12-month period. </w:t>
      </w:r>
    </w:p>
    <w:p w14:paraId="62EC8FDE" w14:textId="77777777" w:rsidR="006D7ACD" w:rsidRPr="006D7ACD" w:rsidRDefault="00B86128" w:rsidP="007F177E">
      <w:pPr>
        <w:pStyle w:val="ListParagraph"/>
        <w:numPr>
          <w:ilvl w:val="0"/>
          <w:numId w:val="106"/>
        </w:numPr>
        <w:autoSpaceDE w:val="0"/>
        <w:autoSpaceDN w:val="0"/>
        <w:adjustRightInd w:val="0"/>
        <w:contextualSpacing w:val="0"/>
        <w:rPr>
          <w:rStyle w:val="cf11"/>
          <w:rFonts w:ascii="Arial" w:hAnsi="Arial" w:cs="Arial"/>
          <w:sz w:val="22"/>
          <w:szCs w:val="22"/>
        </w:rPr>
      </w:pPr>
      <w:r w:rsidRPr="00E86F86">
        <w:rPr>
          <w:rFonts w:cs="Arial"/>
        </w:rPr>
        <w:t xml:space="preserve">At the end of that 12-month period, the household may reapply for an extended hardship TTP. </w:t>
      </w:r>
      <w:r w:rsidRPr="00E86F86">
        <w:rPr>
          <w:rStyle w:val="cf01"/>
          <w:rFonts w:ascii="Arial" w:hAnsi="Arial" w:cs="Arial"/>
          <w:color w:val="auto"/>
          <w:sz w:val="22"/>
          <w:szCs w:val="22"/>
        </w:rPr>
        <w:t xml:space="preserve">For continued child care hardship eligibility, </w:t>
      </w:r>
      <w:r w:rsidRPr="00E86F86">
        <w:rPr>
          <w:rStyle w:val="cf11"/>
          <w:rFonts w:ascii="Arial" w:eastAsiaTheme="majorEastAsia" w:hAnsi="Arial" w:cs="Arial"/>
          <w:sz w:val="22"/>
          <w:szCs w:val="22"/>
        </w:rPr>
        <w:t>during the 12-month hardship period, the household must apply for child care assistance provided by local private/public partners. In the event child care assistance is denied for reasons beyond failure to apply or lack of participation and the household remains eligible to deduct child care expenses, HHA will extend the hardship for an additional 12-month period. Written evidence of the household application and related written response is required for HHA to make a determination on extending the child care hardship. </w:t>
      </w:r>
    </w:p>
    <w:p w14:paraId="2858226C" w14:textId="77777777" w:rsidR="00B86128" w:rsidRPr="006D7ACD" w:rsidRDefault="00B86128" w:rsidP="007F177E">
      <w:pPr>
        <w:pStyle w:val="ListParagraph"/>
        <w:numPr>
          <w:ilvl w:val="0"/>
          <w:numId w:val="106"/>
        </w:numPr>
        <w:autoSpaceDE w:val="0"/>
        <w:autoSpaceDN w:val="0"/>
        <w:adjustRightInd w:val="0"/>
        <w:contextualSpacing w:val="0"/>
        <w:rPr>
          <w:rFonts w:cs="Arial"/>
        </w:rPr>
      </w:pPr>
      <w:r w:rsidRPr="006D7ACD">
        <w:rPr>
          <w:rFonts w:cs="Arial"/>
        </w:rPr>
        <w:t>If the household does not reapply for the hardship or is not approved for an extended hardship, the tiered rent will revert back to the pre-hardship tiered rent TTP.</w:t>
      </w:r>
    </w:p>
    <w:p w14:paraId="582D5CDA" w14:textId="77777777" w:rsidR="00B86128" w:rsidRPr="00E86F86" w:rsidRDefault="00B86128" w:rsidP="00E86F86">
      <w:pPr>
        <w:adjustRightInd w:val="0"/>
        <w:rPr>
          <w:rFonts w:cs="Arial"/>
          <w:b/>
          <w:bCs/>
        </w:rPr>
      </w:pPr>
      <w:r w:rsidRPr="00E86F86">
        <w:rPr>
          <w:rFonts w:cs="Arial"/>
          <w:b/>
          <w:bCs/>
        </w:rPr>
        <w:t>Applicability:</w:t>
      </w:r>
    </w:p>
    <w:p w14:paraId="5F500C4F" w14:textId="77777777" w:rsidR="00B86128" w:rsidRPr="00E86F86" w:rsidRDefault="00B86128" w:rsidP="007F177E">
      <w:pPr>
        <w:pStyle w:val="ListParagraph"/>
        <w:numPr>
          <w:ilvl w:val="0"/>
          <w:numId w:val="110"/>
        </w:numPr>
        <w:autoSpaceDE w:val="0"/>
        <w:autoSpaceDN w:val="0"/>
        <w:adjustRightInd w:val="0"/>
        <w:contextualSpacing w:val="0"/>
        <w:jc w:val="left"/>
        <w:rPr>
          <w:rFonts w:cs="Arial"/>
        </w:rPr>
      </w:pPr>
      <w:r w:rsidRPr="00E86F86">
        <w:rPr>
          <w:rFonts w:cs="Arial"/>
        </w:rPr>
        <w:t>The Hardship at Enrollment:</w:t>
      </w:r>
      <w:r w:rsidRPr="00E86F86">
        <w:rPr>
          <w:rFonts w:cs="Arial"/>
          <w:b/>
          <w:bCs/>
        </w:rPr>
        <w:t xml:space="preserve"> </w:t>
      </w:r>
      <w:r w:rsidRPr="00E86F86">
        <w:rPr>
          <w:rFonts w:cs="Arial"/>
        </w:rPr>
        <w:t>Increase in TTP Due to Loss of Child Care Expense Deduction applies to families in the Treatment group</w:t>
      </w:r>
      <w:bookmarkEnd w:id="2124"/>
      <w:r w:rsidRPr="00E86F86">
        <w:rPr>
          <w:rFonts w:cs="Arial"/>
        </w:rPr>
        <w:t>.</w:t>
      </w:r>
    </w:p>
    <w:p w14:paraId="1CF508DF" w14:textId="77777777" w:rsidR="00B86128" w:rsidRPr="00E86F86" w:rsidRDefault="00B86128" w:rsidP="00E86F86">
      <w:pPr>
        <w:adjustRightInd w:val="0"/>
        <w:rPr>
          <w:rFonts w:cs="Arial"/>
          <w:b/>
          <w:bCs/>
        </w:rPr>
      </w:pPr>
      <w:r w:rsidRPr="00E86F86">
        <w:rPr>
          <w:rFonts w:cs="Arial"/>
          <w:b/>
          <w:bCs/>
        </w:rPr>
        <w:t>Example:</w:t>
      </w:r>
    </w:p>
    <w:p w14:paraId="7F620223" w14:textId="77777777" w:rsidR="00B86128" w:rsidRPr="00E86F86" w:rsidRDefault="00B86128" w:rsidP="007F177E">
      <w:pPr>
        <w:pStyle w:val="ListParagraph"/>
        <w:numPr>
          <w:ilvl w:val="0"/>
          <w:numId w:val="106"/>
        </w:numPr>
        <w:autoSpaceDE w:val="0"/>
        <w:autoSpaceDN w:val="0"/>
        <w:adjustRightInd w:val="0"/>
        <w:contextualSpacing w:val="0"/>
        <w:rPr>
          <w:rFonts w:cs="Arial"/>
        </w:rPr>
      </w:pPr>
      <w:r w:rsidRPr="00E86F86">
        <w:rPr>
          <w:rFonts w:cs="Arial"/>
        </w:rPr>
        <w:t>Prior/Retrospective Gross Income: $30,000</w:t>
      </w:r>
    </w:p>
    <w:p w14:paraId="6DF90295" w14:textId="77777777" w:rsidR="00B86128" w:rsidRPr="00E86F86" w:rsidRDefault="00B86128" w:rsidP="007F177E">
      <w:pPr>
        <w:pStyle w:val="ListParagraph"/>
        <w:numPr>
          <w:ilvl w:val="0"/>
          <w:numId w:val="106"/>
        </w:numPr>
        <w:autoSpaceDE w:val="0"/>
        <w:autoSpaceDN w:val="0"/>
        <w:adjustRightInd w:val="0"/>
        <w:contextualSpacing w:val="0"/>
        <w:rPr>
          <w:rFonts w:cs="Arial"/>
        </w:rPr>
      </w:pPr>
      <w:r w:rsidRPr="00E86F86">
        <w:rPr>
          <w:rFonts w:cs="Arial"/>
        </w:rPr>
        <w:t>TTP using Prior/Retrospective Gross Income: $700</w:t>
      </w:r>
    </w:p>
    <w:p w14:paraId="04E4F05D" w14:textId="77777777" w:rsidR="00B86128" w:rsidRPr="00E86F86" w:rsidRDefault="00B86128" w:rsidP="007F177E">
      <w:pPr>
        <w:pStyle w:val="ListParagraph"/>
        <w:numPr>
          <w:ilvl w:val="0"/>
          <w:numId w:val="106"/>
        </w:numPr>
        <w:autoSpaceDE w:val="0"/>
        <w:autoSpaceDN w:val="0"/>
        <w:adjustRightInd w:val="0"/>
        <w:contextualSpacing w:val="0"/>
        <w:rPr>
          <w:rFonts w:cs="Arial"/>
        </w:rPr>
      </w:pPr>
      <w:r w:rsidRPr="00E86F86">
        <w:rPr>
          <w:rFonts w:cs="Arial"/>
        </w:rPr>
        <w:t>Child care expenses: $9,500</w:t>
      </w:r>
    </w:p>
    <w:p w14:paraId="5DE5D85B" w14:textId="77777777" w:rsidR="00B86128" w:rsidRPr="00E86F86" w:rsidRDefault="00B86128" w:rsidP="007F177E">
      <w:pPr>
        <w:pStyle w:val="ListParagraph"/>
        <w:numPr>
          <w:ilvl w:val="0"/>
          <w:numId w:val="106"/>
        </w:numPr>
        <w:autoSpaceDE w:val="0"/>
        <w:autoSpaceDN w:val="0"/>
        <w:adjustRightInd w:val="0"/>
        <w:contextualSpacing w:val="0"/>
        <w:rPr>
          <w:rFonts w:cs="Arial"/>
        </w:rPr>
      </w:pPr>
      <w:r w:rsidRPr="00E86F86">
        <w:rPr>
          <w:rFonts w:cs="Arial"/>
        </w:rPr>
        <w:t>Current/anticipated gross income: $35,000</w:t>
      </w:r>
    </w:p>
    <w:p w14:paraId="55A9FA37" w14:textId="77777777" w:rsidR="00B86128" w:rsidRPr="00E86F86" w:rsidRDefault="00B86128" w:rsidP="007F177E">
      <w:pPr>
        <w:pStyle w:val="ListParagraph"/>
        <w:numPr>
          <w:ilvl w:val="0"/>
          <w:numId w:val="106"/>
        </w:numPr>
        <w:autoSpaceDE w:val="0"/>
        <w:autoSpaceDN w:val="0"/>
        <w:adjustRightInd w:val="0"/>
        <w:contextualSpacing w:val="0"/>
        <w:rPr>
          <w:rFonts w:cs="Arial"/>
        </w:rPr>
      </w:pPr>
      <w:r w:rsidRPr="00E86F86">
        <w:rPr>
          <w:rFonts w:cs="Arial"/>
        </w:rPr>
        <w:t>Current/anticipated adjusted income: $35,000 - $9,500 = $25,500/year</w:t>
      </w:r>
    </w:p>
    <w:p w14:paraId="74F1040B" w14:textId="77777777" w:rsidR="00B86128" w:rsidRPr="00E86F86" w:rsidRDefault="00B86128" w:rsidP="007F177E">
      <w:pPr>
        <w:pStyle w:val="ListParagraph"/>
        <w:numPr>
          <w:ilvl w:val="0"/>
          <w:numId w:val="106"/>
        </w:numPr>
        <w:autoSpaceDE w:val="0"/>
        <w:autoSpaceDN w:val="0"/>
        <w:adjustRightInd w:val="0"/>
        <w:contextualSpacing w:val="0"/>
        <w:rPr>
          <w:rFonts w:cs="Arial"/>
        </w:rPr>
      </w:pPr>
      <w:r w:rsidRPr="00E86F86">
        <w:rPr>
          <w:rFonts w:cs="Arial"/>
        </w:rPr>
        <w:t>Child care expense deduction of $9,500 exceeds the threshold of $2,000/year</w:t>
      </w:r>
    </w:p>
    <w:p w14:paraId="5D3501B2" w14:textId="77777777" w:rsidR="00B86128" w:rsidRPr="00E86F86" w:rsidRDefault="00B86128" w:rsidP="007F177E">
      <w:pPr>
        <w:pStyle w:val="ListParagraph"/>
        <w:numPr>
          <w:ilvl w:val="0"/>
          <w:numId w:val="106"/>
        </w:numPr>
        <w:autoSpaceDE w:val="0"/>
        <w:autoSpaceDN w:val="0"/>
        <w:adjustRightInd w:val="0"/>
        <w:contextualSpacing w:val="0"/>
        <w:rPr>
          <w:rFonts w:cs="Arial"/>
        </w:rPr>
      </w:pPr>
      <w:r w:rsidRPr="00E86F86">
        <w:rPr>
          <w:rFonts w:cs="Arial"/>
        </w:rPr>
        <w:t>Household qualifies for the child care hardship</w:t>
      </w:r>
    </w:p>
    <w:p w14:paraId="558EF27D" w14:textId="77777777" w:rsidR="00B86128" w:rsidRPr="00E86F86" w:rsidRDefault="00B86128" w:rsidP="007F177E">
      <w:pPr>
        <w:pStyle w:val="ListParagraph"/>
        <w:numPr>
          <w:ilvl w:val="0"/>
          <w:numId w:val="106"/>
        </w:numPr>
        <w:autoSpaceDE w:val="0"/>
        <w:autoSpaceDN w:val="0"/>
        <w:adjustRightInd w:val="0"/>
        <w:contextualSpacing w:val="0"/>
        <w:rPr>
          <w:rFonts w:cs="Arial"/>
        </w:rPr>
      </w:pPr>
      <w:r w:rsidRPr="00E86F86">
        <w:rPr>
          <w:rFonts w:cs="Arial"/>
        </w:rPr>
        <w:t>Hardship TTP for the current/anticipated adjusted income is: $560</w:t>
      </w:r>
    </w:p>
    <w:p w14:paraId="67F983AB" w14:textId="77777777" w:rsidR="00B86128" w:rsidRPr="006D7ACD" w:rsidRDefault="00B86128" w:rsidP="00677451">
      <w:pPr>
        <w:pStyle w:val="Heading3"/>
      </w:pPr>
      <w:bookmarkStart w:id="2125" w:name="_Toc200375738"/>
      <w:bookmarkStart w:id="2126" w:name="_Toc114067504"/>
      <w:bookmarkStart w:id="2127" w:name="_Toc119412718"/>
      <w:bookmarkStart w:id="2128" w:name="_Toc137809065"/>
      <w:bookmarkStart w:id="2129" w:name="_Toc137809607"/>
      <w:bookmarkStart w:id="2130" w:name="_Toc137809851"/>
      <w:bookmarkStart w:id="2131" w:name="_Toc137810163"/>
      <w:bookmarkStart w:id="2132" w:name="_Toc138429496"/>
      <w:bookmarkStart w:id="2133" w:name="_Toc138430331"/>
      <w:bookmarkStart w:id="2134" w:name="_Toc138856482"/>
      <w:bookmarkStart w:id="2135" w:name="_Toc138857776"/>
      <w:bookmarkStart w:id="2136" w:name="_Toc138860585"/>
      <w:bookmarkStart w:id="2137" w:name="_Toc147141884"/>
      <w:r w:rsidRPr="006D7ACD">
        <w:t>Reduction in Income Hardship</w:t>
      </w:r>
      <w:bookmarkEnd w:id="2125"/>
      <w:r w:rsidRPr="006D7ACD">
        <w:t xml:space="preserve"> </w:t>
      </w:r>
      <w:bookmarkEnd w:id="2126"/>
      <w:bookmarkEnd w:id="2127"/>
      <w:bookmarkEnd w:id="2128"/>
      <w:bookmarkEnd w:id="2129"/>
      <w:bookmarkEnd w:id="2130"/>
      <w:bookmarkEnd w:id="2131"/>
      <w:bookmarkEnd w:id="2132"/>
      <w:bookmarkEnd w:id="2133"/>
      <w:bookmarkEnd w:id="2134"/>
      <w:bookmarkEnd w:id="2135"/>
      <w:bookmarkEnd w:id="2136"/>
      <w:bookmarkEnd w:id="2137"/>
    </w:p>
    <w:p w14:paraId="6A3D244A" w14:textId="77777777" w:rsidR="00B86128" w:rsidRPr="006D7ACD" w:rsidRDefault="00B86128" w:rsidP="006D7ACD">
      <w:pPr>
        <w:rPr>
          <w:rFonts w:cs="Arial"/>
        </w:rPr>
      </w:pPr>
      <w:r w:rsidRPr="006D7ACD">
        <w:rPr>
          <w:rFonts w:cs="Arial"/>
        </w:rPr>
        <w:t xml:space="preserve">To qualify for a hardship rent, a household’s current/anticipated income must result in a tiered rent TTP which is at least one income tier lower from the pre-hardship tiered rent TTP. </w:t>
      </w:r>
    </w:p>
    <w:p w14:paraId="46A61DAC" w14:textId="77777777" w:rsidR="00B86128" w:rsidRPr="006D7ACD" w:rsidRDefault="00B86128" w:rsidP="006D7ACD">
      <w:pPr>
        <w:rPr>
          <w:rFonts w:cs="Arial"/>
          <w:b/>
        </w:rPr>
      </w:pPr>
      <w:r w:rsidRPr="006D7ACD">
        <w:rPr>
          <w:rFonts w:cs="Arial"/>
          <w:b/>
        </w:rPr>
        <w:t>Request:</w:t>
      </w:r>
    </w:p>
    <w:p w14:paraId="6DCD33D0" w14:textId="77777777" w:rsidR="00B86128" w:rsidRPr="006D7ACD" w:rsidRDefault="00B86128" w:rsidP="007F177E">
      <w:pPr>
        <w:pStyle w:val="ListParagraph"/>
        <w:numPr>
          <w:ilvl w:val="0"/>
          <w:numId w:val="107"/>
        </w:numPr>
        <w:contextualSpacing w:val="0"/>
        <w:rPr>
          <w:rFonts w:cs="Arial"/>
          <w:bCs/>
        </w:rPr>
      </w:pPr>
      <w:r w:rsidRPr="006D7ACD">
        <w:rPr>
          <w:rFonts w:cs="Arial"/>
          <w:bCs/>
        </w:rPr>
        <w:t>A hardship due to a decrease in income must be requested, in writing, by the household.</w:t>
      </w:r>
    </w:p>
    <w:p w14:paraId="744994B7" w14:textId="77777777" w:rsidR="00B86128" w:rsidRPr="006D7ACD" w:rsidRDefault="00B86128" w:rsidP="006D7ACD">
      <w:pPr>
        <w:rPr>
          <w:rFonts w:cs="Arial"/>
          <w:bCs/>
        </w:rPr>
      </w:pPr>
      <w:r w:rsidRPr="006D7ACD">
        <w:rPr>
          <w:rFonts w:cs="Arial"/>
          <w:b/>
        </w:rPr>
        <w:t>Eligibility:</w:t>
      </w:r>
      <w:r w:rsidRPr="006D7ACD">
        <w:rPr>
          <w:rFonts w:cs="Arial"/>
          <w:bCs/>
          <w:i/>
          <w:iCs/>
        </w:rPr>
        <w:t xml:space="preserve"> </w:t>
      </w:r>
    </w:p>
    <w:p w14:paraId="45DB2EE2" w14:textId="77777777" w:rsidR="00B86128" w:rsidRPr="006D7ACD" w:rsidRDefault="00B86128" w:rsidP="007F177E">
      <w:pPr>
        <w:pStyle w:val="ListParagraph"/>
        <w:numPr>
          <w:ilvl w:val="0"/>
          <w:numId w:val="108"/>
        </w:numPr>
        <w:contextualSpacing w:val="0"/>
        <w:rPr>
          <w:rFonts w:cs="Arial"/>
        </w:rPr>
      </w:pPr>
      <w:r w:rsidRPr="006D7ACD">
        <w:rPr>
          <w:rFonts w:cs="Arial"/>
          <w:bCs/>
        </w:rPr>
        <w:t xml:space="preserve">A household will be eligible for this hardship exemption if the </w:t>
      </w:r>
      <w:r w:rsidRPr="006D7ACD">
        <w:rPr>
          <w:rFonts w:cs="Arial"/>
        </w:rPr>
        <w:t>household’s current/anticipated income results in a tiered rent TTP which is at least one income tier lower than the pre-hardship tiered rent TTP.</w:t>
      </w:r>
    </w:p>
    <w:p w14:paraId="04A27E6E" w14:textId="77777777" w:rsidR="00B86128" w:rsidRPr="006D7ACD" w:rsidRDefault="00B86128" w:rsidP="006D7ACD">
      <w:pPr>
        <w:rPr>
          <w:rFonts w:cs="Arial"/>
          <w:b/>
          <w:bCs/>
        </w:rPr>
      </w:pPr>
      <w:r w:rsidRPr="006D7ACD">
        <w:rPr>
          <w:rFonts w:cs="Arial"/>
          <w:b/>
          <w:bCs/>
        </w:rPr>
        <w:t>Remedy:</w:t>
      </w:r>
    </w:p>
    <w:p w14:paraId="68D8EBC5" w14:textId="77777777" w:rsidR="00B86128" w:rsidRPr="006D7ACD" w:rsidRDefault="00B86128" w:rsidP="007F177E">
      <w:pPr>
        <w:pStyle w:val="ListParagraph"/>
        <w:numPr>
          <w:ilvl w:val="0"/>
          <w:numId w:val="106"/>
        </w:numPr>
        <w:autoSpaceDE w:val="0"/>
        <w:autoSpaceDN w:val="0"/>
        <w:adjustRightInd w:val="0"/>
        <w:contextualSpacing w:val="0"/>
        <w:rPr>
          <w:rFonts w:cs="Arial"/>
        </w:rPr>
      </w:pPr>
      <w:bookmarkStart w:id="2138" w:name="_Hlk100653767"/>
      <w:r w:rsidRPr="006D7ACD">
        <w:rPr>
          <w:rFonts w:cs="Arial"/>
        </w:rPr>
        <w:t>If a hardship exists, the hardship TTP will be the TTP in the income tier for the current/anticipated gross income.</w:t>
      </w:r>
    </w:p>
    <w:bookmarkEnd w:id="2138"/>
    <w:p w14:paraId="64D9CC0A" w14:textId="77777777" w:rsidR="00B86128" w:rsidRPr="006D7ACD" w:rsidRDefault="00B86128" w:rsidP="006D7ACD">
      <w:pPr>
        <w:adjustRightInd w:val="0"/>
        <w:rPr>
          <w:rFonts w:cs="Arial"/>
          <w:b/>
          <w:bCs/>
        </w:rPr>
      </w:pPr>
      <w:r w:rsidRPr="006D7ACD">
        <w:rPr>
          <w:rFonts w:cs="Arial"/>
          <w:b/>
          <w:bCs/>
        </w:rPr>
        <w:t>Time Frame:</w:t>
      </w:r>
    </w:p>
    <w:p w14:paraId="127595EB" w14:textId="77777777" w:rsidR="00B86128" w:rsidRPr="006D7ACD" w:rsidRDefault="00B86128" w:rsidP="007F177E">
      <w:pPr>
        <w:pStyle w:val="ListParagraph"/>
        <w:numPr>
          <w:ilvl w:val="0"/>
          <w:numId w:val="106"/>
        </w:numPr>
        <w:autoSpaceDE w:val="0"/>
        <w:autoSpaceDN w:val="0"/>
        <w:adjustRightInd w:val="0"/>
        <w:contextualSpacing w:val="0"/>
        <w:rPr>
          <w:rFonts w:cs="Arial"/>
        </w:rPr>
      </w:pPr>
      <w:r w:rsidRPr="006D7ACD">
        <w:rPr>
          <w:rFonts w:cs="Arial"/>
        </w:rPr>
        <w:t xml:space="preserve">The hardship will remain in place for a </w:t>
      </w:r>
      <w:r w:rsidR="006D7ACD">
        <w:rPr>
          <w:rFonts w:cs="Arial"/>
        </w:rPr>
        <w:t>12</w:t>
      </w:r>
      <w:r w:rsidRPr="006D7ACD">
        <w:rPr>
          <w:rFonts w:cs="Arial"/>
        </w:rPr>
        <w:t xml:space="preserve">-month period. </w:t>
      </w:r>
    </w:p>
    <w:p w14:paraId="44051CA1" w14:textId="77777777" w:rsidR="00B86128" w:rsidRPr="000C1CF5" w:rsidRDefault="00B86128" w:rsidP="007F177E">
      <w:pPr>
        <w:pStyle w:val="ListParagraph"/>
        <w:numPr>
          <w:ilvl w:val="0"/>
          <w:numId w:val="106"/>
        </w:numPr>
        <w:autoSpaceDE w:val="0"/>
        <w:autoSpaceDN w:val="0"/>
        <w:adjustRightInd w:val="0"/>
        <w:contextualSpacing w:val="0"/>
        <w:rPr>
          <w:rFonts w:cs="Arial"/>
          <w:spacing w:val="-4"/>
        </w:rPr>
      </w:pPr>
      <w:r w:rsidRPr="000C1CF5">
        <w:rPr>
          <w:rFonts w:cs="Arial"/>
          <w:spacing w:val="-4"/>
        </w:rPr>
        <w:t xml:space="preserve">At the end of that 12-month period, the household may reapply for an extended hardship TTP. </w:t>
      </w:r>
    </w:p>
    <w:p w14:paraId="1328388A" w14:textId="77777777" w:rsidR="00B86128" w:rsidRPr="006D7ACD" w:rsidRDefault="00B86128" w:rsidP="007F177E">
      <w:pPr>
        <w:pStyle w:val="ListParagraph"/>
        <w:numPr>
          <w:ilvl w:val="0"/>
          <w:numId w:val="106"/>
        </w:numPr>
        <w:autoSpaceDE w:val="0"/>
        <w:autoSpaceDN w:val="0"/>
        <w:adjustRightInd w:val="0"/>
        <w:contextualSpacing w:val="0"/>
        <w:rPr>
          <w:rFonts w:cs="Arial"/>
        </w:rPr>
      </w:pPr>
      <w:r w:rsidRPr="006D7ACD">
        <w:rPr>
          <w:rFonts w:cs="Arial"/>
        </w:rPr>
        <w:t>If the household does not reapply for the hardship or is not approved for an extended hardship, the tiered rent will revert back to the pre-hardship tiered rent TTP.</w:t>
      </w:r>
    </w:p>
    <w:p w14:paraId="090DB6C4" w14:textId="77777777" w:rsidR="00B86128" w:rsidRPr="006D7ACD" w:rsidRDefault="00B86128" w:rsidP="006D7ACD">
      <w:pPr>
        <w:adjustRightInd w:val="0"/>
        <w:rPr>
          <w:rFonts w:cs="Arial"/>
          <w:b/>
          <w:bCs/>
        </w:rPr>
      </w:pPr>
      <w:r w:rsidRPr="006D7ACD">
        <w:rPr>
          <w:rFonts w:cs="Arial"/>
          <w:b/>
          <w:bCs/>
        </w:rPr>
        <w:t>Applicability:</w:t>
      </w:r>
    </w:p>
    <w:p w14:paraId="6E292C41" w14:textId="77777777" w:rsidR="00B86128" w:rsidRPr="006D7ACD" w:rsidRDefault="00B86128" w:rsidP="007F177E">
      <w:pPr>
        <w:pStyle w:val="ListParagraph"/>
        <w:numPr>
          <w:ilvl w:val="0"/>
          <w:numId w:val="109"/>
        </w:numPr>
        <w:autoSpaceDE w:val="0"/>
        <w:autoSpaceDN w:val="0"/>
        <w:adjustRightInd w:val="0"/>
        <w:contextualSpacing w:val="0"/>
        <w:rPr>
          <w:rFonts w:cs="Arial"/>
        </w:rPr>
      </w:pPr>
      <w:r w:rsidRPr="006D7ACD">
        <w:rPr>
          <w:rFonts w:cs="Arial"/>
        </w:rPr>
        <w:t>The Reduction in Income Hardship Rent applies to families in the Treatment group.</w:t>
      </w:r>
    </w:p>
    <w:p w14:paraId="3C93BC83" w14:textId="77777777" w:rsidR="00B86128" w:rsidRPr="006D7ACD" w:rsidRDefault="00B86128" w:rsidP="006D7ACD">
      <w:pPr>
        <w:adjustRightInd w:val="0"/>
        <w:rPr>
          <w:rFonts w:cs="Arial"/>
          <w:b/>
          <w:bCs/>
        </w:rPr>
      </w:pPr>
      <w:r w:rsidRPr="006D7ACD">
        <w:rPr>
          <w:rFonts w:cs="Arial"/>
          <w:b/>
          <w:bCs/>
        </w:rPr>
        <w:t>Example:</w:t>
      </w:r>
    </w:p>
    <w:p w14:paraId="0AB3D405" w14:textId="77777777" w:rsidR="00B86128" w:rsidRPr="006D7ACD" w:rsidRDefault="00B86128" w:rsidP="007F177E">
      <w:pPr>
        <w:pStyle w:val="ListParagraph"/>
        <w:numPr>
          <w:ilvl w:val="0"/>
          <w:numId w:val="106"/>
        </w:numPr>
        <w:autoSpaceDE w:val="0"/>
        <w:autoSpaceDN w:val="0"/>
        <w:adjustRightInd w:val="0"/>
        <w:contextualSpacing w:val="0"/>
        <w:rPr>
          <w:rFonts w:cs="Arial"/>
        </w:rPr>
      </w:pPr>
      <w:r w:rsidRPr="006D7ACD">
        <w:rPr>
          <w:rFonts w:cs="Arial"/>
        </w:rPr>
        <w:t>Prior/retrospective gross income: $23,990</w:t>
      </w:r>
    </w:p>
    <w:p w14:paraId="2FD982E8" w14:textId="77777777" w:rsidR="00B86128" w:rsidRPr="006D7ACD" w:rsidRDefault="00B86128" w:rsidP="007F177E">
      <w:pPr>
        <w:pStyle w:val="ListParagraph"/>
        <w:numPr>
          <w:ilvl w:val="0"/>
          <w:numId w:val="106"/>
        </w:numPr>
        <w:autoSpaceDE w:val="0"/>
        <w:autoSpaceDN w:val="0"/>
        <w:adjustRightInd w:val="0"/>
        <w:contextualSpacing w:val="0"/>
        <w:rPr>
          <w:rFonts w:cs="Arial"/>
        </w:rPr>
      </w:pPr>
      <w:r w:rsidRPr="006D7ACD">
        <w:rPr>
          <w:rFonts w:cs="Arial"/>
        </w:rPr>
        <w:t>Tiered Rent TTP based on prior/retrospective gross income: $513</w:t>
      </w:r>
    </w:p>
    <w:p w14:paraId="467FD5DF" w14:textId="77777777" w:rsidR="00B86128" w:rsidRPr="006D7ACD" w:rsidRDefault="00B86128" w:rsidP="007F177E">
      <w:pPr>
        <w:pStyle w:val="ListParagraph"/>
        <w:numPr>
          <w:ilvl w:val="0"/>
          <w:numId w:val="106"/>
        </w:numPr>
        <w:autoSpaceDE w:val="0"/>
        <w:autoSpaceDN w:val="0"/>
        <w:adjustRightInd w:val="0"/>
        <w:contextualSpacing w:val="0"/>
        <w:rPr>
          <w:rFonts w:cs="Arial"/>
        </w:rPr>
      </w:pPr>
      <w:r w:rsidRPr="006D7ACD">
        <w:rPr>
          <w:rFonts w:cs="Arial"/>
        </w:rPr>
        <w:t>Current/Anticipated Gross Income: $22,005</w:t>
      </w:r>
    </w:p>
    <w:p w14:paraId="313CB2D1" w14:textId="77777777" w:rsidR="00B86128" w:rsidRPr="006D7ACD" w:rsidRDefault="00B86128" w:rsidP="007F177E">
      <w:pPr>
        <w:pStyle w:val="ListParagraph"/>
        <w:numPr>
          <w:ilvl w:val="1"/>
          <w:numId w:val="106"/>
        </w:numPr>
        <w:autoSpaceDE w:val="0"/>
        <w:autoSpaceDN w:val="0"/>
        <w:adjustRightInd w:val="0"/>
        <w:contextualSpacing w:val="0"/>
        <w:rPr>
          <w:rFonts w:cs="Arial"/>
        </w:rPr>
      </w:pPr>
      <w:r w:rsidRPr="006D7ACD">
        <w:rPr>
          <w:rFonts w:cs="Arial"/>
        </w:rPr>
        <w:t>Tiered Rent TTP based on current/anticipated gross income: $513</w:t>
      </w:r>
    </w:p>
    <w:p w14:paraId="00A4B77F" w14:textId="77777777" w:rsidR="00B86128" w:rsidRPr="006D7ACD" w:rsidRDefault="00B86128" w:rsidP="007F177E">
      <w:pPr>
        <w:pStyle w:val="ListParagraph"/>
        <w:numPr>
          <w:ilvl w:val="1"/>
          <w:numId w:val="106"/>
        </w:numPr>
        <w:autoSpaceDE w:val="0"/>
        <w:autoSpaceDN w:val="0"/>
        <w:adjustRightInd w:val="0"/>
        <w:contextualSpacing w:val="0"/>
        <w:rPr>
          <w:rFonts w:cs="Arial"/>
        </w:rPr>
      </w:pPr>
      <w:r w:rsidRPr="006D7ACD">
        <w:rPr>
          <w:rFonts w:cs="Arial"/>
        </w:rPr>
        <w:t>Household is not eligible for hardship since the tiered rent TTP using current/anticipated gross income is in the same tier at the tiered rent TTP using the prior/retrospective gross income.</w:t>
      </w:r>
    </w:p>
    <w:p w14:paraId="4A20461F" w14:textId="77777777" w:rsidR="00B86128" w:rsidRDefault="00B86128" w:rsidP="007F177E">
      <w:pPr>
        <w:pStyle w:val="ListParagraph"/>
        <w:numPr>
          <w:ilvl w:val="1"/>
          <w:numId w:val="106"/>
        </w:numPr>
        <w:autoSpaceDE w:val="0"/>
        <w:autoSpaceDN w:val="0"/>
        <w:adjustRightInd w:val="0"/>
        <w:contextualSpacing w:val="0"/>
        <w:rPr>
          <w:rFonts w:cs="Arial"/>
        </w:rPr>
      </w:pPr>
      <w:r w:rsidRPr="006D7ACD">
        <w:rPr>
          <w:rFonts w:cs="Arial"/>
        </w:rPr>
        <w:t>There is no hardship</w:t>
      </w:r>
      <w:r w:rsidR="006D7ACD">
        <w:rPr>
          <w:rFonts w:cs="Arial"/>
        </w:rPr>
        <w:t>.</w:t>
      </w:r>
    </w:p>
    <w:p w14:paraId="532EFBF0" w14:textId="77777777" w:rsidR="0087422E" w:rsidRPr="00A2158C" w:rsidRDefault="0087422E" w:rsidP="00677451">
      <w:pPr>
        <w:pStyle w:val="Heading3"/>
      </w:pPr>
      <w:bookmarkStart w:id="2139" w:name="_Toc137809067"/>
      <w:bookmarkStart w:id="2140" w:name="_Toc137809609"/>
      <w:bookmarkStart w:id="2141" w:name="_Toc137809853"/>
      <w:bookmarkStart w:id="2142" w:name="_Toc137810165"/>
      <w:bookmarkStart w:id="2143" w:name="_Toc138429498"/>
      <w:bookmarkStart w:id="2144" w:name="_Toc138430333"/>
      <w:bookmarkStart w:id="2145" w:name="_Toc138856484"/>
      <w:bookmarkStart w:id="2146" w:name="_Toc138857778"/>
      <w:bookmarkStart w:id="2147" w:name="_Toc138860587"/>
      <w:bookmarkStart w:id="2148" w:name="_Toc147141886"/>
      <w:bookmarkStart w:id="2149" w:name="_Ref155261686"/>
      <w:bookmarkStart w:id="2150" w:name="_Toc200375739"/>
      <w:r w:rsidRPr="00A2158C">
        <w:t>Child</w:t>
      </w:r>
      <w:r>
        <w:t xml:space="preserve"> C</w:t>
      </w:r>
      <w:r w:rsidRPr="00A2158C">
        <w:t>are Expense Hardship</w:t>
      </w:r>
      <w:bookmarkEnd w:id="2139"/>
      <w:bookmarkEnd w:id="2140"/>
      <w:bookmarkEnd w:id="2141"/>
      <w:bookmarkEnd w:id="2142"/>
      <w:bookmarkEnd w:id="2143"/>
      <w:bookmarkEnd w:id="2144"/>
      <w:bookmarkEnd w:id="2145"/>
      <w:bookmarkEnd w:id="2146"/>
      <w:bookmarkEnd w:id="2147"/>
      <w:bookmarkEnd w:id="2148"/>
      <w:bookmarkEnd w:id="2149"/>
      <w:bookmarkEnd w:id="2150"/>
    </w:p>
    <w:p w14:paraId="4C8401F9" w14:textId="77777777" w:rsidR="0087422E" w:rsidRPr="0087422E" w:rsidRDefault="00114F16" w:rsidP="0087422E">
      <w:pPr>
        <w:adjustRightInd w:val="0"/>
        <w:rPr>
          <w:rFonts w:cs="Arial"/>
        </w:rPr>
      </w:pPr>
      <w:bookmarkStart w:id="2151" w:name="_Hlk95913972"/>
      <w:bookmarkStart w:id="2152" w:name="_Hlk100219189"/>
      <w:r>
        <w:rPr>
          <w:rFonts w:cs="Arial"/>
        </w:rPr>
        <w:t xml:space="preserve">For families in the Treatment group, </w:t>
      </w:r>
      <w:r w:rsidR="0087422E" w:rsidRPr="0087422E">
        <w:rPr>
          <w:rFonts w:cs="Arial"/>
        </w:rPr>
        <w:t>HHA will grant a child care expense hardship rent to households with verified, unreimbursed child care expenses. Where a household’s total unreimbursed child care expenses are $2,000 or more, HHA will allow the full deduction of reasonable unreimbursed child care expenses and apply the tiered TTP that corresponds to their current/anticipated adjusted annual income.</w:t>
      </w:r>
      <w:bookmarkEnd w:id="2151"/>
      <w:r w:rsidR="0087422E" w:rsidRPr="0087422E">
        <w:rPr>
          <w:rFonts w:cs="Arial"/>
        </w:rPr>
        <w:t xml:space="preserve"> Regulatory caps on child care expenses will apply, i.e., cannot be more than the income earned and must be reasonable.</w:t>
      </w:r>
    </w:p>
    <w:p w14:paraId="7F4C9AD9" w14:textId="77777777" w:rsidR="0087422E" w:rsidRPr="0087422E" w:rsidRDefault="0087422E" w:rsidP="0087422E">
      <w:pPr>
        <w:rPr>
          <w:rFonts w:cs="Arial"/>
          <w:b/>
        </w:rPr>
      </w:pPr>
      <w:r w:rsidRPr="0087422E">
        <w:rPr>
          <w:rFonts w:cs="Arial"/>
          <w:b/>
        </w:rPr>
        <w:t>Request:</w:t>
      </w:r>
    </w:p>
    <w:p w14:paraId="38DD7E87" w14:textId="77777777" w:rsidR="0087422E" w:rsidRPr="0087422E" w:rsidRDefault="0087422E" w:rsidP="007F177E">
      <w:pPr>
        <w:pStyle w:val="ListParagraph"/>
        <w:numPr>
          <w:ilvl w:val="0"/>
          <w:numId w:val="107"/>
        </w:numPr>
        <w:contextualSpacing w:val="0"/>
        <w:jc w:val="left"/>
        <w:rPr>
          <w:rFonts w:cs="Arial"/>
          <w:bCs/>
        </w:rPr>
      </w:pPr>
      <w:r w:rsidRPr="0087422E">
        <w:rPr>
          <w:rFonts w:cs="Arial"/>
          <w:bCs/>
        </w:rPr>
        <w:t>A hardship due to an increase in TTP as a result of the loss of child care deductions must be requested, in writing, by the household.</w:t>
      </w:r>
    </w:p>
    <w:p w14:paraId="244BD916" w14:textId="77777777" w:rsidR="0087422E" w:rsidRPr="0087422E" w:rsidRDefault="0087422E" w:rsidP="0087422E">
      <w:pPr>
        <w:rPr>
          <w:rFonts w:cs="Arial"/>
          <w:bCs/>
        </w:rPr>
      </w:pPr>
      <w:r w:rsidRPr="0087422E">
        <w:rPr>
          <w:rFonts w:cs="Arial"/>
          <w:b/>
        </w:rPr>
        <w:t>Eligibility:</w:t>
      </w:r>
      <w:r w:rsidRPr="0087422E">
        <w:rPr>
          <w:rFonts w:cs="Arial"/>
          <w:bCs/>
          <w:i/>
          <w:iCs/>
        </w:rPr>
        <w:t xml:space="preserve"> </w:t>
      </w:r>
    </w:p>
    <w:p w14:paraId="0CD3E4E1" w14:textId="77777777" w:rsidR="0087422E" w:rsidRPr="0087422E" w:rsidRDefault="0087422E" w:rsidP="007F177E">
      <w:pPr>
        <w:pStyle w:val="ListParagraph"/>
        <w:numPr>
          <w:ilvl w:val="0"/>
          <w:numId w:val="108"/>
        </w:numPr>
        <w:autoSpaceDE w:val="0"/>
        <w:autoSpaceDN w:val="0"/>
        <w:adjustRightInd w:val="0"/>
        <w:contextualSpacing w:val="0"/>
        <w:jc w:val="left"/>
        <w:rPr>
          <w:rFonts w:cs="Arial"/>
          <w:b/>
          <w:bCs/>
        </w:rPr>
      </w:pPr>
      <w:r w:rsidRPr="0087422E">
        <w:rPr>
          <w:rFonts w:cs="Arial"/>
          <w:bCs/>
        </w:rPr>
        <w:t xml:space="preserve">A household will be eligible for this hardship exemption if the </w:t>
      </w:r>
      <w:r w:rsidRPr="0087422E">
        <w:rPr>
          <w:rFonts w:cs="Arial"/>
        </w:rPr>
        <w:t>household’s total unreimbursed child care expenses are at least $2,000/year.</w:t>
      </w:r>
    </w:p>
    <w:p w14:paraId="380054F2" w14:textId="77777777" w:rsidR="0087422E" w:rsidRPr="0087422E" w:rsidRDefault="0087422E" w:rsidP="0087422E">
      <w:pPr>
        <w:rPr>
          <w:rFonts w:cs="Arial"/>
          <w:b/>
          <w:bCs/>
        </w:rPr>
      </w:pPr>
      <w:r w:rsidRPr="0087422E">
        <w:rPr>
          <w:rFonts w:cs="Arial"/>
          <w:b/>
          <w:bCs/>
        </w:rPr>
        <w:t>Remedy:</w:t>
      </w:r>
    </w:p>
    <w:p w14:paraId="7FC78D25" w14:textId="77777777" w:rsidR="0087422E" w:rsidRPr="0087422E" w:rsidRDefault="0087422E" w:rsidP="007F177E">
      <w:pPr>
        <w:pStyle w:val="ListParagraph"/>
        <w:numPr>
          <w:ilvl w:val="0"/>
          <w:numId w:val="106"/>
        </w:numPr>
        <w:autoSpaceDE w:val="0"/>
        <w:autoSpaceDN w:val="0"/>
        <w:adjustRightInd w:val="0"/>
        <w:contextualSpacing w:val="0"/>
        <w:rPr>
          <w:rFonts w:cs="Arial"/>
        </w:rPr>
      </w:pPr>
      <w:r w:rsidRPr="0087422E">
        <w:rPr>
          <w:rFonts w:cs="Arial"/>
        </w:rPr>
        <w:t>If a hardship exists, the hardship</w:t>
      </w:r>
      <w:r w:rsidRPr="0087422E">
        <w:rPr>
          <w:rStyle w:val="cf01"/>
          <w:rFonts w:ascii="Arial" w:hAnsi="Arial" w:cs="Arial"/>
          <w:color w:val="auto"/>
          <w:sz w:val="22"/>
          <w:szCs w:val="22"/>
        </w:rPr>
        <w:t xml:space="preserve"> TTP will be set using the income band that applies to the household’s current/anticipated adjusted annual income, taking into account the full allowable child care expense deduction.</w:t>
      </w:r>
    </w:p>
    <w:p w14:paraId="257EBE5A" w14:textId="77777777" w:rsidR="0087422E" w:rsidRPr="0087422E" w:rsidRDefault="0087422E" w:rsidP="0087422E">
      <w:pPr>
        <w:adjustRightInd w:val="0"/>
        <w:rPr>
          <w:rFonts w:cs="Arial"/>
          <w:b/>
          <w:bCs/>
        </w:rPr>
      </w:pPr>
      <w:r w:rsidRPr="0087422E">
        <w:rPr>
          <w:rFonts w:cs="Arial"/>
          <w:b/>
          <w:bCs/>
        </w:rPr>
        <w:t>Time Frame:</w:t>
      </w:r>
    </w:p>
    <w:p w14:paraId="0A594A8E" w14:textId="77777777" w:rsidR="0087422E" w:rsidRPr="0087422E" w:rsidRDefault="0087422E" w:rsidP="007F177E">
      <w:pPr>
        <w:pStyle w:val="ListParagraph"/>
        <w:numPr>
          <w:ilvl w:val="0"/>
          <w:numId w:val="106"/>
        </w:numPr>
        <w:autoSpaceDE w:val="0"/>
        <w:autoSpaceDN w:val="0"/>
        <w:adjustRightInd w:val="0"/>
        <w:contextualSpacing w:val="0"/>
        <w:rPr>
          <w:rFonts w:cs="Arial"/>
        </w:rPr>
      </w:pPr>
      <w:r w:rsidRPr="0087422E">
        <w:rPr>
          <w:rFonts w:cs="Arial"/>
        </w:rPr>
        <w:t xml:space="preserve">The hardship will remain in place for a 12-month period. </w:t>
      </w:r>
    </w:p>
    <w:p w14:paraId="1E8DE47B" w14:textId="77777777" w:rsidR="0087422E" w:rsidRPr="00C36BC2" w:rsidRDefault="0087422E" w:rsidP="007F177E">
      <w:pPr>
        <w:pStyle w:val="ListParagraph"/>
        <w:numPr>
          <w:ilvl w:val="0"/>
          <w:numId w:val="106"/>
        </w:numPr>
        <w:autoSpaceDE w:val="0"/>
        <w:autoSpaceDN w:val="0"/>
        <w:adjustRightInd w:val="0"/>
        <w:contextualSpacing w:val="0"/>
        <w:rPr>
          <w:rFonts w:cs="Arial"/>
          <w:spacing w:val="-6"/>
        </w:rPr>
      </w:pPr>
      <w:r w:rsidRPr="00C36BC2">
        <w:rPr>
          <w:rFonts w:cs="Arial"/>
          <w:spacing w:val="-6"/>
        </w:rPr>
        <w:t xml:space="preserve">At the end of that 12-month period, the household may reapply for an extended hardship TTP. </w:t>
      </w:r>
      <w:r w:rsidRPr="00C36BC2">
        <w:rPr>
          <w:rStyle w:val="cf01"/>
          <w:rFonts w:ascii="Arial" w:hAnsi="Arial" w:cs="Arial"/>
          <w:color w:val="auto"/>
          <w:spacing w:val="-6"/>
          <w:sz w:val="22"/>
          <w:szCs w:val="22"/>
        </w:rPr>
        <w:t xml:space="preserve">For continued child care hardship eligibility, </w:t>
      </w:r>
      <w:r w:rsidRPr="00C36BC2">
        <w:rPr>
          <w:rStyle w:val="cf11"/>
          <w:rFonts w:ascii="Arial" w:eastAsiaTheme="majorEastAsia" w:hAnsi="Arial" w:cs="Arial"/>
          <w:spacing w:val="-6"/>
          <w:sz w:val="22"/>
          <w:szCs w:val="22"/>
        </w:rPr>
        <w:t>during the 12-month hardship period, the household must apply for child care assistance provided by local private/public partners. In the event child care assistance is denied for reasons beyond failure to apply or lack of participation and the household remains eligible to deduct child care expenses, HHA will extend the hardship for an additional 12-month period. Written evidence of the household application and related written response is required for HHA to make a determination on extending the child care hardship. </w:t>
      </w:r>
    </w:p>
    <w:p w14:paraId="448313AE" w14:textId="77777777" w:rsidR="0087422E" w:rsidRPr="0087422E" w:rsidRDefault="0087422E" w:rsidP="00114F16">
      <w:pPr>
        <w:adjustRightInd w:val="0"/>
        <w:rPr>
          <w:rFonts w:cs="Arial"/>
        </w:rPr>
      </w:pPr>
      <w:r w:rsidRPr="0087422E">
        <w:rPr>
          <w:rFonts w:cs="Arial"/>
        </w:rPr>
        <w:t xml:space="preserve"> If the household does not reapply for the hardship or is not approved for an extended hardship, the tiered rent will revert back to the pre-hardship tiered rent TTP.</w:t>
      </w:r>
    </w:p>
    <w:p w14:paraId="7396E19C" w14:textId="77777777" w:rsidR="0087422E" w:rsidRPr="0087422E" w:rsidRDefault="0087422E" w:rsidP="0087422E">
      <w:pPr>
        <w:adjustRightInd w:val="0"/>
        <w:rPr>
          <w:rFonts w:cs="Arial"/>
          <w:b/>
          <w:bCs/>
        </w:rPr>
      </w:pPr>
      <w:r w:rsidRPr="0087422E">
        <w:rPr>
          <w:rFonts w:cs="Arial"/>
          <w:b/>
          <w:bCs/>
        </w:rPr>
        <w:t>Applicability:</w:t>
      </w:r>
    </w:p>
    <w:p w14:paraId="7E5A10FC" w14:textId="77777777" w:rsidR="0087422E" w:rsidRPr="0087422E" w:rsidRDefault="0087422E" w:rsidP="007F177E">
      <w:pPr>
        <w:pStyle w:val="ListParagraph"/>
        <w:numPr>
          <w:ilvl w:val="0"/>
          <w:numId w:val="110"/>
        </w:numPr>
        <w:autoSpaceDE w:val="0"/>
        <w:autoSpaceDN w:val="0"/>
        <w:adjustRightInd w:val="0"/>
        <w:contextualSpacing w:val="0"/>
        <w:jc w:val="left"/>
        <w:rPr>
          <w:rFonts w:cs="Arial"/>
        </w:rPr>
      </w:pPr>
      <w:r w:rsidRPr="0087422E">
        <w:rPr>
          <w:rFonts w:cs="Arial"/>
        </w:rPr>
        <w:t>The Child Care Expense Hardship applies to families in the Treatment group.</w:t>
      </w:r>
    </w:p>
    <w:p w14:paraId="604A825D" w14:textId="77777777" w:rsidR="0087422E" w:rsidRPr="0087422E" w:rsidRDefault="0087422E" w:rsidP="0087422E">
      <w:pPr>
        <w:adjustRightInd w:val="0"/>
        <w:rPr>
          <w:rFonts w:cs="Arial"/>
          <w:b/>
          <w:bCs/>
        </w:rPr>
      </w:pPr>
      <w:r w:rsidRPr="0087422E">
        <w:rPr>
          <w:rFonts w:cs="Arial"/>
          <w:b/>
          <w:bCs/>
        </w:rPr>
        <w:t>Example:</w:t>
      </w:r>
    </w:p>
    <w:p w14:paraId="25781C81" w14:textId="77777777" w:rsidR="0087422E" w:rsidRPr="0087422E" w:rsidRDefault="0087422E" w:rsidP="007F177E">
      <w:pPr>
        <w:pStyle w:val="ListParagraph"/>
        <w:numPr>
          <w:ilvl w:val="0"/>
          <w:numId w:val="106"/>
        </w:numPr>
        <w:autoSpaceDE w:val="0"/>
        <w:autoSpaceDN w:val="0"/>
        <w:adjustRightInd w:val="0"/>
        <w:contextualSpacing w:val="0"/>
        <w:rPr>
          <w:rFonts w:cs="Arial"/>
        </w:rPr>
      </w:pPr>
      <w:r w:rsidRPr="0087422E">
        <w:rPr>
          <w:rFonts w:cs="Arial"/>
        </w:rPr>
        <w:t>Prior/Retrospective Gross Income: $30,000</w:t>
      </w:r>
    </w:p>
    <w:p w14:paraId="0BEA37DD" w14:textId="77777777" w:rsidR="0087422E" w:rsidRPr="0087422E" w:rsidRDefault="0087422E" w:rsidP="007F177E">
      <w:pPr>
        <w:pStyle w:val="ListParagraph"/>
        <w:numPr>
          <w:ilvl w:val="0"/>
          <w:numId w:val="106"/>
        </w:numPr>
        <w:autoSpaceDE w:val="0"/>
        <w:autoSpaceDN w:val="0"/>
        <w:adjustRightInd w:val="0"/>
        <w:contextualSpacing w:val="0"/>
        <w:rPr>
          <w:rFonts w:cs="Arial"/>
        </w:rPr>
      </w:pPr>
      <w:r w:rsidRPr="0087422E">
        <w:rPr>
          <w:rFonts w:cs="Arial"/>
        </w:rPr>
        <w:t>TTP using Prior/Retrospective Gross Income: $700</w:t>
      </w:r>
    </w:p>
    <w:p w14:paraId="336DD933" w14:textId="77777777" w:rsidR="0087422E" w:rsidRPr="0087422E" w:rsidRDefault="0087422E" w:rsidP="007F177E">
      <w:pPr>
        <w:pStyle w:val="ListParagraph"/>
        <w:numPr>
          <w:ilvl w:val="0"/>
          <w:numId w:val="106"/>
        </w:numPr>
        <w:autoSpaceDE w:val="0"/>
        <w:autoSpaceDN w:val="0"/>
        <w:adjustRightInd w:val="0"/>
        <w:contextualSpacing w:val="0"/>
        <w:rPr>
          <w:rFonts w:cs="Arial"/>
        </w:rPr>
      </w:pPr>
      <w:r w:rsidRPr="0087422E">
        <w:rPr>
          <w:rFonts w:cs="Arial"/>
        </w:rPr>
        <w:t>Child care expenses: $2,000</w:t>
      </w:r>
    </w:p>
    <w:p w14:paraId="1832510C" w14:textId="77777777" w:rsidR="0087422E" w:rsidRPr="0087422E" w:rsidRDefault="0087422E" w:rsidP="007F177E">
      <w:pPr>
        <w:pStyle w:val="ListParagraph"/>
        <w:numPr>
          <w:ilvl w:val="0"/>
          <w:numId w:val="106"/>
        </w:numPr>
        <w:autoSpaceDE w:val="0"/>
        <w:autoSpaceDN w:val="0"/>
        <w:adjustRightInd w:val="0"/>
        <w:contextualSpacing w:val="0"/>
        <w:rPr>
          <w:rFonts w:cs="Arial"/>
        </w:rPr>
      </w:pPr>
      <w:r w:rsidRPr="0087422E">
        <w:rPr>
          <w:rFonts w:cs="Arial"/>
        </w:rPr>
        <w:t>Current/anticipated gross income: $30,000</w:t>
      </w:r>
    </w:p>
    <w:p w14:paraId="5D5BF2D4" w14:textId="77777777" w:rsidR="0087422E" w:rsidRPr="0087422E" w:rsidRDefault="0087422E" w:rsidP="007F177E">
      <w:pPr>
        <w:pStyle w:val="ListParagraph"/>
        <w:numPr>
          <w:ilvl w:val="0"/>
          <w:numId w:val="106"/>
        </w:numPr>
        <w:autoSpaceDE w:val="0"/>
        <w:autoSpaceDN w:val="0"/>
        <w:adjustRightInd w:val="0"/>
        <w:contextualSpacing w:val="0"/>
        <w:rPr>
          <w:rFonts w:cs="Arial"/>
        </w:rPr>
      </w:pPr>
      <w:r w:rsidRPr="0087422E">
        <w:rPr>
          <w:rFonts w:cs="Arial"/>
        </w:rPr>
        <w:t>Current/anticipated adjusted income: $30,000 - $2,000 = $28,000/year</w:t>
      </w:r>
    </w:p>
    <w:p w14:paraId="2B7F9512" w14:textId="77777777" w:rsidR="0087422E" w:rsidRPr="0087422E" w:rsidRDefault="0087422E" w:rsidP="007F177E">
      <w:pPr>
        <w:pStyle w:val="ListParagraph"/>
        <w:numPr>
          <w:ilvl w:val="0"/>
          <w:numId w:val="106"/>
        </w:numPr>
        <w:autoSpaceDE w:val="0"/>
        <w:autoSpaceDN w:val="0"/>
        <w:adjustRightInd w:val="0"/>
        <w:contextualSpacing w:val="0"/>
        <w:rPr>
          <w:rFonts w:cs="Arial"/>
        </w:rPr>
      </w:pPr>
      <w:r w:rsidRPr="0087422E">
        <w:rPr>
          <w:rFonts w:cs="Arial"/>
        </w:rPr>
        <w:t>Child care expense deduction of $2,000 meets the threshold of $2,000/year</w:t>
      </w:r>
    </w:p>
    <w:p w14:paraId="58869626" w14:textId="77777777" w:rsidR="0087422E" w:rsidRPr="0087422E" w:rsidRDefault="0087422E" w:rsidP="007F177E">
      <w:pPr>
        <w:pStyle w:val="ListParagraph"/>
        <w:keepLines/>
        <w:numPr>
          <w:ilvl w:val="0"/>
          <w:numId w:val="106"/>
        </w:numPr>
        <w:autoSpaceDE w:val="0"/>
        <w:autoSpaceDN w:val="0"/>
        <w:adjustRightInd w:val="0"/>
        <w:contextualSpacing w:val="0"/>
        <w:rPr>
          <w:rFonts w:cs="Arial"/>
        </w:rPr>
      </w:pPr>
      <w:r w:rsidRPr="0087422E">
        <w:rPr>
          <w:rFonts w:cs="Arial"/>
        </w:rPr>
        <w:t>Household qualifies for the child care hardship</w:t>
      </w:r>
    </w:p>
    <w:p w14:paraId="3E3B1C00" w14:textId="77777777" w:rsidR="0087422E" w:rsidRPr="0087422E" w:rsidRDefault="0087422E" w:rsidP="007F177E">
      <w:pPr>
        <w:pStyle w:val="ListParagraph"/>
        <w:keepLines/>
        <w:numPr>
          <w:ilvl w:val="0"/>
          <w:numId w:val="106"/>
        </w:numPr>
        <w:autoSpaceDE w:val="0"/>
        <w:autoSpaceDN w:val="0"/>
        <w:adjustRightInd w:val="0"/>
        <w:contextualSpacing w:val="0"/>
        <w:rPr>
          <w:rFonts w:cs="Arial"/>
        </w:rPr>
      </w:pPr>
      <w:r w:rsidRPr="0087422E">
        <w:rPr>
          <w:rFonts w:cs="Arial"/>
        </w:rPr>
        <w:t>Hardship TTP for the current/anticipated adjusted income is: $653</w:t>
      </w:r>
      <w:bookmarkEnd w:id="2152"/>
    </w:p>
    <w:p w14:paraId="7CAE10ED" w14:textId="77777777" w:rsidR="00114F16" w:rsidRPr="00114F16" w:rsidRDefault="00114F16" w:rsidP="00677451">
      <w:pPr>
        <w:pStyle w:val="Heading3"/>
        <w:rPr>
          <w:rFonts w:asciiTheme="minorHAnsi" w:hAnsiTheme="minorHAnsi" w:cstheme="minorHAnsi"/>
          <w:bCs/>
        </w:rPr>
      </w:pPr>
      <w:bookmarkStart w:id="2153" w:name="_Toc137809069"/>
      <w:bookmarkStart w:id="2154" w:name="_Toc137809611"/>
      <w:bookmarkStart w:id="2155" w:name="_Toc137809855"/>
      <w:bookmarkStart w:id="2156" w:name="_Toc137810167"/>
      <w:bookmarkStart w:id="2157" w:name="_Toc138429500"/>
      <w:bookmarkStart w:id="2158" w:name="_Toc138430335"/>
      <w:bookmarkStart w:id="2159" w:name="_Toc138856486"/>
      <w:bookmarkStart w:id="2160" w:name="_Toc138857780"/>
      <w:bookmarkStart w:id="2161" w:name="_Toc138860589"/>
      <w:bookmarkStart w:id="2162" w:name="_Toc147141888"/>
      <w:bookmarkStart w:id="2163" w:name="_Toc200375740"/>
      <w:r w:rsidRPr="00A2158C">
        <w:t>Full-Time Student Hardship</w:t>
      </w:r>
      <w:bookmarkEnd w:id="2153"/>
      <w:bookmarkEnd w:id="2154"/>
      <w:bookmarkEnd w:id="2155"/>
      <w:bookmarkEnd w:id="2156"/>
      <w:bookmarkEnd w:id="2157"/>
      <w:bookmarkEnd w:id="2158"/>
      <w:bookmarkEnd w:id="2159"/>
      <w:bookmarkEnd w:id="2160"/>
      <w:bookmarkEnd w:id="2161"/>
      <w:bookmarkEnd w:id="2162"/>
      <w:bookmarkEnd w:id="2163"/>
    </w:p>
    <w:p w14:paraId="3CCC47A3" w14:textId="77777777" w:rsidR="00114F16" w:rsidRPr="00114F16" w:rsidRDefault="00114F16" w:rsidP="00114F16">
      <w:pPr>
        <w:rPr>
          <w:rFonts w:cs="Arial"/>
        </w:rPr>
      </w:pPr>
      <w:bookmarkStart w:id="2164" w:name="_Hlk100738811"/>
      <w:bookmarkStart w:id="2165" w:name="_Hlk95914234"/>
      <w:bookmarkStart w:id="2166" w:name="_Hlk100219241"/>
      <w:r w:rsidRPr="00114F16">
        <w:rPr>
          <w:rFonts w:cs="Arial"/>
        </w:rPr>
        <w:t>HHA will grant a full-time student status hardship rent, to a household</w:t>
      </w:r>
      <w:r>
        <w:rPr>
          <w:rFonts w:cs="Arial"/>
        </w:rPr>
        <w:t xml:space="preserve"> in the Treatment group</w:t>
      </w:r>
      <w:r w:rsidRPr="00114F16">
        <w:rPr>
          <w:rFonts w:cs="Arial"/>
        </w:rPr>
        <w:t xml:space="preserve">, if a family member, other than the head of household, co-head or spouse, has earned income and, subsequent to enrollment, becomes a full-time student and would experience a decrease in income as a result of the full-time student income exclusion. Upon verification of full-time student status, HHA will allow the entire exclusion of full-time student earned income and apply the tiered rent which is consistent with the household’s current/anticipated income. </w:t>
      </w:r>
    </w:p>
    <w:bookmarkEnd w:id="2164"/>
    <w:p w14:paraId="03E515A8" w14:textId="77777777" w:rsidR="00114F16" w:rsidRPr="00114F16" w:rsidRDefault="00114F16" w:rsidP="00114F16">
      <w:pPr>
        <w:rPr>
          <w:rFonts w:cs="Arial"/>
          <w:b/>
        </w:rPr>
      </w:pPr>
      <w:r w:rsidRPr="00114F16">
        <w:rPr>
          <w:rFonts w:cs="Arial"/>
          <w:b/>
        </w:rPr>
        <w:t>Request:</w:t>
      </w:r>
    </w:p>
    <w:p w14:paraId="067C6E8E" w14:textId="77777777" w:rsidR="00114F16" w:rsidRPr="00114F16" w:rsidRDefault="00114F16" w:rsidP="007F177E">
      <w:pPr>
        <w:pStyle w:val="ListParagraph"/>
        <w:numPr>
          <w:ilvl w:val="0"/>
          <w:numId w:val="107"/>
        </w:numPr>
        <w:contextualSpacing w:val="0"/>
        <w:rPr>
          <w:rFonts w:cs="Arial"/>
          <w:bCs/>
        </w:rPr>
      </w:pPr>
      <w:r w:rsidRPr="00114F16">
        <w:rPr>
          <w:rFonts w:cs="Arial"/>
          <w:bCs/>
        </w:rPr>
        <w:t>A hardship due to full-time student status, must be requested, in writing, by the household.</w:t>
      </w:r>
    </w:p>
    <w:p w14:paraId="6EA9EA9E" w14:textId="77777777" w:rsidR="00114F16" w:rsidRPr="00114F16" w:rsidRDefault="00114F16" w:rsidP="00114F16">
      <w:pPr>
        <w:rPr>
          <w:rFonts w:cs="Arial"/>
          <w:bCs/>
        </w:rPr>
      </w:pPr>
      <w:r w:rsidRPr="00114F16">
        <w:rPr>
          <w:rFonts w:cs="Arial"/>
          <w:b/>
        </w:rPr>
        <w:t>Eligibility:</w:t>
      </w:r>
      <w:r w:rsidRPr="00114F16">
        <w:rPr>
          <w:rFonts w:cs="Arial"/>
          <w:bCs/>
          <w:i/>
          <w:iCs/>
        </w:rPr>
        <w:t xml:space="preserve"> </w:t>
      </w:r>
    </w:p>
    <w:p w14:paraId="079A8F9C" w14:textId="77777777" w:rsidR="00114F16" w:rsidRPr="00114F16" w:rsidRDefault="00114F16" w:rsidP="007F177E">
      <w:pPr>
        <w:pStyle w:val="ListParagraph"/>
        <w:numPr>
          <w:ilvl w:val="0"/>
          <w:numId w:val="108"/>
        </w:numPr>
        <w:autoSpaceDE w:val="0"/>
        <w:autoSpaceDN w:val="0"/>
        <w:adjustRightInd w:val="0"/>
        <w:contextualSpacing w:val="0"/>
        <w:rPr>
          <w:rFonts w:cs="Arial"/>
        </w:rPr>
      </w:pPr>
      <w:r w:rsidRPr="00114F16">
        <w:rPr>
          <w:rFonts w:cs="Arial"/>
          <w:bCs/>
        </w:rPr>
        <w:t xml:space="preserve">A household will be eligible for this hardship exemption if the </w:t>
      </w:r>
      <w:r w:rsidRPr="00114F16">
        <w:rPr>
          <w:rFonts w:cs="Arial"/>
        </w:rPr>
        <w:t>household’s TTP is reduced by at least one income band as a result of the removal of the full-time student’s earned income.</w:t>
      </w:r>
    </w:p>
    <w:p w14:paraId="4F840FD7" w14:textId="77777777" w:rsidR="00114F16" w:rsidRPr="00114F16" w:rsidRDefault="00114F16" w:rsidP="00114F16">
      <w:pPr>
        <w:rPr>
          <w:rFonts w:cs="Arial"/>
          <w:b/>
          <w:bCs/>
        </w:rPr>
      </w:pPr>
      <w:r w:rsidRPr="00114F16">
        <w:rPr>
          <w:rFonts w:cs="Arial"/>
          <w:b/>
          <w:bCs/>
        </w:rPr>
        <w:t>Remedy:</w:t>
      </w:r>
    </w:p>
    <w:p w14:paraId="18607F7A" w14:textId="77777777" w:rsidR="00114F16" w:rsidRPr="00114F16" w:rsidRDefault="00114F16" w:rsidP="007F177E">
      <w:pPr>
        <w:pStyle w:val="ListParagraph"/>
        <w:numPr>
          <w:ilvl w:val="0"/>
          <w:numId w:val="106"/>
        </w:numPr>
        <w:autoSpaceDE w:val="0"/>
        <w:autoSpaceDN w:val="0"/>
        <w:adjustRightInd w:val="0"/>
        <w:contextualSpacing w:val="0"/>
        <w:rPr>
          <w:rFonts w:cs="Arial"/>
        </w:rPr>
      </w:pPr>
      <w:r w:rsidRPr="00114F16">
        <w:rPr>
          <w:rFonts w:cs="Arial"/>
        </w:rPr>
        <w:t>If a hardship exists, the hardship</w:t>
      </w:r>
      <w:r w:rsidRPr="00114F16">
        <w:rPr>
          <w:rStyle w:val="cf01"/>
          <w:rFonts w:ascii="Arial" w:hAnsi="Arial" w:cs="Arial"/>
          <w:color w:val="auto"/>
          <w:sz w:val="22"/>
          <w:szCs w:val="22"/>
        </w:rPr>
        <w:t xml:space="preserve"> TTP will be set using the income band that applies to the household’s current/anticipated  gross annual income, </w:t>
      </w:r>
      <w:bookmarkStart w:id="2167" w:name="_Hlk100653983"/>
      <w:r w:rsidRPr="00114F16">
        <w:rPr>
          <w:rStyle w:val="cf01"/>
          <w:rFonts w:ascii="Arial" w:hAnsi="Arial" w:cs="Arial"/>
          <w:color w:val="auto"/>
          <w:sz w:val="22"/>
          <w:szCs w:val="22"/>
        </w:rPr>
        <w:t>taking into account the full-time student income exclusion.</w:t>
      </w:r>
    </w:p>
    <w:bookmarkEnd w:id="2167"/>
    <w:p w14:paraId="49073307" w14:textId="77777777" w:rsidR="00114F16" w:rsidRPr="00114F16" w:rsidRDefault="00114F16" w:rsidP="00114F16">
      <w:pPr>
        <w:adjustRightInd w:val="0"/>
        <w:rPr>
          <w:rFonts w:cs="Arial"/>
          <w:b/>
          <w:bCs/>
        </w:rPr>
      </w:pPr>
      <w:r w:rsidRPr="00114F16">
        <w:rPr>
          <w:rFonts w:cs="Arial"/>
          <w:b/>
          <w:bCs/>
        </w:rPr>
        <w:t>Time Frame:</w:t>
      </w:r>
    </w:p>
    <w:p w14:paraId="343D66DD" w14:textId="77777777" w:rsidR="00114F16" w:rsidRPr="00114F16" w:rsidRDefault="00114F16" w:rsidP="007F177E">
      <w:pPr>
        <w:pStyle w:val="ListParagraph"/>
        <w:numPr>
          <w:ilvl w:val="0"/>
          <w:numId w:val="106"/>
        </w:numPr>
        <w:contextualSpacing w:val="0"/>
        <w:rPr>
          <w:rFonts w:cs="Arial"/>
        </w:rPr>
      </w:pPr>
      <w:r w:rsidRPr="00114F16">
        <w:rPr>
          <w:rFonts w:cs="Arial"/>
        </w:rPr>
        <w:t xml:space="preserve">The hardship will remain in place for a 12-month period after which the family must reapply for the hardship and provide verification of full-time student status. </w:t>
      </w:r>
    </w:p>
    <w:p w14:paraId="32A00587" w14:textId="77777777" w:rsidR="00114F16" w:rsidRPr="00114F16" w:rsidRDefault="00114F16" w:rsidP="007F177E">
      <w:pPr>
        <w:pStyle w:val="ListParagraph"/>
        <w:numPr>
          <w:ilvl w:val="0"/>
          <w:numId w:val="106"/>
        </w:numPr>
        <w:contextualSpacing w:val="0"/>
        <w:rPr>
          <w:rFonts w:cs="Arial"/>
        </w:rPr>
      </w:pPr>
      <w:r w:rsidRPr="00114F16">
        <w:rPr>
          <w:rFonts w:cs="Arial"/>
        </w:rPr>
        <w:t>If the family does not reapply and provide verification of full-time student status, the tiered rent TTP will revert to the pre-hardship tiered rent TTP.</w:t>
      </w:r>
    </w:p>
    <w:p w14:paraId="4000CC55" w14:textId="77777777" w:rsidR="00114F16" w:rsidRPr="00114F16" w:rsidRDefault="00114F16" w:rsidP="00114F16">
      <w:pPr>
        <w:adjustRightInd w:val="0"/>
        <w:rPr>
          <w:rFonts w:cs="Arial"/>
          <w:b/>
          <w:bCs/>
        </w:rPr>
      </w:pPr>
      <w:r w:rsidRPr="00114F16">
        <w:rPr>
          <w:rFonts w:cs="Arial"/>
          <w:b/>
          <w:bCs/>
        </w:rPr>
        <w:t>Applicability:</w:t>
      </w:r>
    </w:p>
    <w:p w14:paraId="79ABACDF" w14:textId="77777777" w:rsidR="00114F16" w:rsidRPr="00114F16" w:rsidRDefault="00114F16" w:rsidP="007F177E">
      <w:pPr>
        <w:pStyle w:val="ListParagraph"/>
        <w:numPr>
          <w:ilvl w:val="0"/>
          <w:numId w:val="110"/>
        </w:numPr>
        <w:autoSpaceDE w:val="0"/>
        <w:autoSpaceDN w:val="0"/>
        <w:adjustRightInd w:val="0"/>
        <w:contextualSpacing w:val="0"/>
        <w:jc w:val="left"/>
        <w:rPr>
          <w:rFonts w:cs="Arial"/>
        </w:rPr>
      </w:pPr>
      <w:r w:rsidRPr="00114F16">
        <w:rPr>
          <w:rFonts w:cs="Arial"/>
        </w:rPr>
        <w:t>The Full-Time Student Hardship applies to families in the Treatment group.</w:t>
      </w:r>
    </w:p>
    <w:p w14:paraId="4A13D89A" w14:textId="77777777" w:rsidR="00114F16" w:rsidRPr="00114F16" w:rsidRDefault="00114F16" w:rsidP="00114F16">
      <w:pPr>
        <w:adjustRightInd w:val="0"/>
        <w:rPr>
          <w:rFonts w:cs="Arial"/>
          <w:b/>
          <w:bCs/>
        </w:rPr>
      </w:pPr>
      <w:r w:rsidRPr="00114F16">
        <w:rPr>
          <w:rFonts w:cs="Arial"/>
          <w:b/>
          <w:bCs/>
        </w:rPr>
        <w:t>Example:</w:t>
      </w:r>
      <w:bookmarkEnd w:id="2165"/>
    </w:p>
    <w:p w14:paraId="766973DE" w14:textId="77777777" w:rsidR="00114F16" w:rsidRPr="00114F16" w:rsidRDefault="00114F16" w:rsidP="007F177E">
      <w:pPr>
        <w:pStyle w:val="ListParagraph"/>
        <w:numPr>
          <w:ilvl w:val="0"/>
          <w:numId w:val="106"/>
        </w:numPr>
        <w:autoSpaceDE w:val="0"/>
        <w:autoSpaceDN w:val="0"/>
        <w:adjustRightInd w:val="0"/>
        <w:contextualSpacing w:val="0"/>
        <w:rPr>
          <w:rFonts w:cs="Arial"/>
          <w:szCs w:val="20"/>
        </w:rPr>
      </w:pPr>
      <w:r w:rsidRPr="00114F16">
        <w:rPr>
          <w:rFonts w:cs="Arial"/>
          <w:szCs w:val="20"/>
        </w:rPr>
        <w:t>Prior/Retrospective gross Income: $27,000</w:t>
      </w:r>
    </w:p>
    <w:p w14:paraId="468F0961" w14:textId="77777777" w:rsidR="00114F16" w:rsidRPr="00114F16" w:rsidRDefault="00114F16" w:rsidP="007F177E">
      <w:pPr>
        <w:pStyle w:val="ListParagraph"/>
        <w:numPr>
          <w:ilvl w:val="1"/>
          <w:numId w:val="106"/>
        </w:numPr>
        <w:autoSpaceDE w:val="0"/>
        <w:autoSpaceDN w:val="0"/>
        <w:adjustRightInd w:val="0"/>
        <w:contextualSpacing w:val="0"/>
        <w:rPr>
          <w:rFonts w:cs="Arial"/>
          <w:szCs w:val="20"/>
        </w:rPr>
      </w:pPr>
      <w:r w:rsidRPr="00114F16">
        <w:rPr>
          <w:rFonts w:cs="Arial"/>
        </w:rPr>
        <w:t xml:space="preserve">Tiered Rent TTP based on the prior/retrospective gross income: </w:t>
      </w:r>
      <w:r w:rsidRPr="00114F16">
        <w:rPr>
          <w:rFonts w:cs="Arial"/>
          <w:szCs w:val="20"/>
        </w:rPr>
        <w:t>= $607</w:t>
      </w:r>
    </w:p>
    <w:p w14:paraId="7867A048" w14:textId="77777777" w:rsidR="00114F16" w:rsidRPr="00114F16" w:rsidRDefault="00114F16" w:rsidP="007F177E">
      <w:pPr>
        <w:pStyle w:val="ListParagraph"/>
        <w:numPr>
          <w:ilvl w:val="0"/>
          <w:numId w:val="106"/>
        </w:numPr>
        <w:autoSpaceDE w:val="0"/>
        <w:autoSpaceDN w:val="0"/>
        <w:adjustRightInd w:val="0"/>
        <w:contextualSpacing w:val="0"/>
        <w:rPr>
          <w:rFonts w:cs="Arial"/>
          <w:szCs w:val="20"/>
        </w:rPr>
      </w:pPr>
      <w:r w:rsidRPr="00114F16">
        <w:rPr>
          <w:rFonts w:cs="Arial"/>
          <w:szCs w:val="20"/>
        </w:rPr>
        <w:t>At Hardship Request:</w:t>
      </w:r>
    </w:p>
    <w:p w14:paraId="3A7CE663" w14:textId="77777777" w:rsidR="00114F16" w:rsidRPr="00114F16" w:rsidRDefault="00114F16" w:rsidP="007F177E">
      <w:pPr>
        <w:pStyle w:val="ListParagraph"/>
        <w:numPr>
          <w:ilvl w:val="1"/>
          <w:numId w:val="106"/>
        </w:numPr>
        <w:autoSpaceDE w:val="0"/>
        <w:autoSpaceDN w:val="0"/>
        <w:adjustRightInd w:val="0"/>
        <w:contextualSpacing w:val="0"/>
        <w:rPr>
          <w:rFonts w:cs="Arial"/>
          <w:szCs w:val="20"/>
        </w:rPr>
      </w:pPr>
      <w:r w:rsidRPr="00114F16">
        <w:rPr>
          <w:rFonts w:cs="Arial"/>
          <w:szCs w:val="20"/>
        </w:rPr>
        <w:t>Current/anticipated gross Income: $27,000</w:t>
      </w:r>
    </w:p>
    <w:p w14:paraId="649F4419" w14:textId="77777777" w:rsidR="00114F16" w:rsidRPr="00114F16" w:rsidRDefault="00114F16" w:rsidP="007F177E">
      <w:pPr>
        <w:pStyle w:val="ListParagraph"/>
        <w:numPr>
          <w:ilvl w:val="1"/>
          <w:numId w:val="106"/>
        </w:numPr>
        <w:autoSpaceDE w:val="0"/>
        <w:autoSpaceDN w:val="0"/>
        <w:adjustRightInd w:val="0"/>
        <w:contextualSpacing w:val="0"/>
        <w:rPr>
          <w:rFonts w:cs="Arial"/>
          <w:szCs w:val="20"/>
        </w:rPr>
      </w:pPr>
      <w:r w:rsidRPr="00114F16">
        <w:rPr>
          <w:rFonts w:cs="Arial"/>
          <w:szCs w:val="20"/>
        </w:rPr>
        <w:t>FT Student Earned Income: $8,000</w:t>
      </w:r>
    </w:p>
    <w:p w14:paraId="4D044EA5" w14:textId="77777777" w:rsidR="00114F16" w:rsidRPr="00114F16" w:rsidRDefault="00114F16" w:rsidP="007F177E">
      <w:pPr>
        <w:pStyle w:val="ListParagraph"/>
        <w:numPr>
          <w:ilvl w:val="1"/>
          <w:numId w:val="106"/>
        </w:numPr>
        <w:autoSpaceDE w:val="0"/>
        <w:autoSpaceDN w:val="0"/>
        <w:adjustRightInd w:val="0"/>
        <w:contextualSpacing w:val="0"/>
        <w:rPr>
          <w:rFonts w:cs="Arial"/>
          <w:szCs w:val="20"/>
        </w:rPr>
      </w:pPr>
      <w:r w:rsidRPr="00114F16">
        <w:rPr>
          <w:rFonts w:cs="Arial"/>
          <w:szCs w:val="20"/>
        </w:rPr>
        <w:t>Current/anticipated gross income: $19,000</w:t>
      </w:r>
    </w:p>
    <w:p w14:paraId="3949E86F" w14:textId="77777777" w:rsidR="00114F16" w:rsidRDefault="00114F16" w:rsidP="007F177E">
      <w:pPr>
        <w:pStyle w:val="ListParagraph"/>
        <w:numPr>
          <w:ilvl w:val="1"/>
          <w:numId w:val="106"/>
        </w:numPr>
        <w:autoSpaceDE w:val="0"/>
        <w:autoSpaceDN w:val="0"/>
        <w:adjustRightInd w:val="0"/>
        <w:contextualSpacing w:val="0"/>
        <w:rPr>
          <w:rFonts w:cs="Arial"/>
          <w:szCs w:val="20"/>
        </w:rPr>
      </w:pPr>
      <w:r w:rsidRPr="00114F16">
        <w:rPr>
          <w:rFonts w:cs="Arial"/>
          <w:szCs w:val="20"/>
        </w:rPr>
        <w:t>Hardship TTP: $420</w:t>
      </w:r>
      <w:bookmarkEnd w:id="2166"/>
    </w:p>
    <w:p w14:paraId="6366B1A7" w14:textId="77777777" w:rsidR="002235C4" w:rsidRPr="00A2158C" w:rsidRDefault="002235C4" w:rsidP="00677451">
      <w:pPr>
        <w:pStyle w:val="Heading3"/>
      </w:pPr>
      <w:bookmarkStart w:id="2168" w:name="_Toc114067508"/>
      <w:bookmarkStart w:id="2169" w:name="_Toc119412722"/>
      <w:bookmarkStart w:id="2170" w:name="_Toc137809071"/>
      <w:bookmarkStart w:id="2171" w:name="_Toc137809613"/>
      <w:bookmarkStart w:id="2172" w:name="_Toc137809857"/>
      <w:bookmarkStart w:id="2173" w:name="_Toc137810169"/>
      <w:bookmarkStart w:id="2174" w:name="_Toc138429502"/>
      <w:bookmarkStart w:id="2175" w:name="_Toc138430337"/>
      <w:bookmarkStart w:id="2176" w:name="_Toc138856488"/>
      <w:bookmarkStart w:id="2177" w:name="_Toc138857782"/>
      <w:bookmarkStart w:id="2178" w:name="_Toc138860591"/>
      <w:bookmarkStart w:id="2179" w:name="_Toc147141890"/>
      <w:bookmarkStart w:id="2180" w:name="_Toc200375741"/>
      <w:r w:rsidRPr="00A2158C">
        <w:t>Other Hardship</w:t>
      </w:r>
      <w:bookmarkEnd w:id="2168"/>
      <w:bookmarkEnd w:id="2169"/>
      <w:bookmarkEnd w:id="2170"/>
      <w:bookmarkEnd w:id="2171"/>
      <w:bookmarkEnd w:id="2172"/>
      <w:bookmarkEnd w:id="2173"/>
      <w:bookmarkEnd w:id="2174"/>
      <w:bookmarkEnd w:id="2175"/>
      <w:bookmarkEnd w:id="2176"/>
      <w:bookmarkEnd w:id="2177"/>
      <w:bookmarkEnd w:id="2178"/>
      <w:bookmarkEnd w:id="2179"/>
      <w:bookmarkEnd w:id="2180"/>
    </w:p>
    <w:p w14:paraId="75BA50DF" w14:textId="77777777" w:rsidR="002235C4" w:rsidRPr="002235C4" w:rsidRDefault="002235C4" w:rsidP="002235C4">
      <w:pPr>
        <w:rPr>
          <w:rFonts w:cs="Arial"/>
        </w:rPr>
      </w:pPr>
      <w:r w:rsidRPr="002235C4">
        <w:rPr>
          <w:rFonts w:cs="Arial"/>
        </w:rPr>
        <w:t>A household in the Treatment group may request a hardship exemption for other circumstances not outlined above, such as the death of a family member, a significant increase in reasonable and necessary out-of-pocket expenses because of changed circumstances (for example, a large medical bill), or if the household is facing eviction due to inability to pay the rent. HHA will consider these requests on a case-by-case basis and decisions will be made by the Department Director level or above.</w:t>
      </w:r>
    </w:p>
    <w:p w14:paraId="07BD68DC" w14:textId="77777777" w:rsidR="002235C4" w:rsidRPr="002235C4" w:rsidRDefault="002235C4" w:rsidP="002235C4">
      <w:pPr>
        <w:rPr>
          <w:rFonts w:cs="Arial"/>
          <w:b/>
          <w:bCs/>
        </w:rPr>
      </w:pPr>
      <w:r w:rsidRPr="002235C4">
        <w:rPr>
          <w:rFonts w:cs="Arial"/>
          <w:b/>
          <w:bCs/>
        </w:rPr>
        <w:t xml:space="preserve">Eligibility: </w:t>
      </w:r>
    </w:p>
    <w:p w14:paraId="086C7E7E" w14:textId="77777777" w:rsidR="002235C4" w:rsidRPr="002235C4" w:rsidRDefault="002235C4" w:rsidP="007F177E">
      <w:pPr>
        <w:pStyle w:val="ListParagraph"/>
        <w:numPr>
          <w:ilvl w:val="0"/>
          <w:numId w:val="112"/>
        </w:numPr>
        <w:contextualSpacing w:val="0"/>
        <w:rPr>
          <w:rFonts w:cs="Arial"/>
        </w:rPr>
      </w:pPr>
      <w:r w:rsidRPr="002235C4">
        <w:rPr>
          <w:rFonts w:cs="Arial"/>
        </w:rPr>
        <w:t xml:space="preserve">The Department Head or </w:t>
      </w:r>
      <w:r>
        <w:rPr>
          <w:rFonts w:cs="Arial"/>
        </w:rPr>
        <w:t>their</w:t>
      </w:r>
      <w:r w:rsidRPr="002235C4">
        <w:rPr>
          <w:rFonts w:cs="Arial"/>
        </w:rPr>
        <w:t xml:space="preserve"> designee will determine that circumstances beyond the household’s control make it difficult for the household to pay the tiered rent TTP, and a temporary rent reprieve is necessary.  </w:t>
      </w:r>
    </w:p>
    <w:p w14:paraId="453D4E96" w14:textId="77777777" w:rsidR="002235C4" w:rsidRPr="002235C4" w:rsidRDefault="002235C4" w:rsidP="002235C4">
      <w:pPr>
        <w:rPr>
          <w:rFonts w:cs="Arial"/>
          <w:b/>
          <w:bCs/>
          <w:szCs w:val="24"/>
        </w:rPr>
      </w:pPr>
      <w:r w:rsidRPr="002235C4">
        <w:rPr>
          <w:rFonts w:cs="Arial"/>
          <w:b/>
          <w:bCs/>
          <w:szCs w:val="24"/>
        </w:rPr>
        <w:t>Remedy:</w:t>
      </w:r>
    </w:p>
    <w:p w14:paraId="5BFCADC7" w14:textId="77777777" w:rsidR="002235C4" w:rsidRPr="002235C4" w:rsidRDefault="002235C4" w:rsidP="007F177E">
      <w:pPr>
        <w:pStyle w:val="ListParagraph"/>
        <w:numPr>
          <w:ilvl w:val="0"/>
          <w:numId w:val="112"/>
        </w:numPr>
        <w:contextualSpacing w:val="0"/>
        <w:rPr>
          <w:rFonts w:cs="Arial"/>
          <w:szCs w:val="24"/>
        </w:rPr>
      </w:pPr>
      <w:r w:rsidRPr="002235C4">
        <w:rPr>
          <w:rFonts w:cs="Arial"/>
          <w:szCs w:val="24"/>
        </w:rPr>
        <w:t xml:space="preserve">HHA will review the household’s current/anticipated income and determine whether to set the TTP at a lower income tier or apply the $50 minimum rent based on the individual hardship.  </w:t>
      </w:r>
    </w:p>
    <w:p w14:paraId="07A38A9B" w14:textId="77777777" w:rsidR="002235C4" w:rsidRPr="002235C4" w:rsidRDefault="002235C4" w:rsidP="002235C4">
      <w:pPr>
        <w:adjustRightInd w:val="0"/>
        <w:rPr>
          <w:rFonts w:cs="Arial"/>
          <w:b/>
          <w:bCs/>
        </w:rPr>
      </w:pPr>
      <w:r w:rsidRPr="002235C4">
        <w:rPr>
          <w:rFonts w:cs="Arial"/>
          <w:b/>
          <w:bCs/>
        </w:rPr>
        <w:t>Time Frame:</w:t>
      </w:r>
    </w:p>
    <w:p w14:paraId="28091196" w14:textId="77777777" w:rsidR="002235C4" w:rsidRDefault="002235C4" w:rsidP="007F177E">
      <w:pPr>
        <w:pStyle w:val="ListParagraph"/>
        <w:numPr>
          <w:ilvl w:val="0"/>
          <w:numId w:val="111"/>
        </w:numPr>
        <w:contextualSpacing w:val="0"/>
        <w:rPr>
          <w:rFonts w:cs="Arial"/>
          <w:szCs w:val="24"/>
        </w:rPr>
      </w:pPr>
      <w:r w:rsidRPr="002235C4">
        <w:rPr>
          <w:rFonts w:cs="Arial"/>
          <w:szCs w:val="24"/>
        </w:rPr>
        <w:t>The duration of the hardship rent will be determined on a case-by-case basis which will reflect the anticipated duration of the presented hardship.</w:t>
      </w:r>
    </w:p>
    <w:p w14:paraId="7EF46096" w14:textId="77777777" w:rsidR="008D7B7F" w:rsidRPr="00A2158C" w:rsidRDefault="008D7B7F" w:rsidP="008D7B7F">
      <w:pPr>
        <w:pStyle w:val="Heading2"/>
        <w:ind w:left="360"/>
      </w:pPr>
      <w:bookmarkStart w:id="2181" w:name="_Toc114067510"/>
      <w:bookmarkStart w:id="2182" w:name="_Toc119412724"/>
      <w:bookmarkStart w:id="2183" w:name="_Toc137809077"/>
      <w:bookmarkStart w:id="2184" w:name="_Toc137809619"/>
      <w:bookmarkStart w:id="2185" w:name="_Toc137809863"/>
      <w:bookmarkStart w:id="2186" w:name="_Toc137810175"/>
      <w:bookmarkStart w:id="2187" w:name="_Toc138429508"/>
      <w:bookmarkStart w:id="2188" w:name="_Toc138430343"/>
      <w:bookmarkStart w:id="2189" w:name="_Toc138856490"/>
      <w:bookmarkStart w:id="2190" w:name="_Toc138857784"/>
      <w:bookmarkStart w:id="2191" w:name="_Toc138860597"/>
      <w:bookmarkStart w:id="2192" w:name="_Toc147141896"/>
      <w:bookmarkStart w:id="2193" w:name="_Ref165036576"/>
      <w:bookmarkStart w:id="2194" w:name="_Toc173222730"/>
      <w:bookmarkStart w:id="2195" w:name="_Toc200375742"/>
      <w:bookmarkStart w:id="2196" w:name="_Toc200376996"/>
      <w:r w:rsidRPr="00A2158C">
        <w:t>Excluded Group Only</w:t>
      </w:r>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p>
    <w:p w14:paraId="002A4412" w14:textId="77777777" w:rsidR="008D7B7F" w:rsidRPr="00A2158C" w:rsidRDefault="006C5D4F" w:rsidP="00677451">
      <w:pPr>
        <w:pStyle w:val="Heading3"/>
      </w:pPr>
      <w:bookmarkStart w:id="2197" w:name="_Ref160536670"/>
      <w:bookmarkStart w:id="2198" w:name="_Toc200375743"/>
      <w:r>
        <w:t xml:space="preserve">Non-Tiered </w:t>
      </w:r>
      <w:r w:rsidR="008D7B7F" w:rsidRPr="00A2158C">
        <w:t>Flat Rent Hardship</w:t>
      </w:r>
      <w:bookmarkEnd w:id="2197"/>
      <w:bookmarkEnd w:id="2198"/>
    </w:p>
    <w:p w14:paraId="70821777" w14:textId="77777777" w:rsidR="008D7B7F" w:rsidRPr="006C5D4F" w:rsidRDefault="008D7B7F" w:rsidP="007F177E">
      <w:pPr>
        <w:pStyle w:val="ListParagraph"/>
        <w:widowControl w:val="0"/>
        <w:numPr>
          <w:ilvl w:val="0"/>
          <w:numId w:val="114"/>
        </w:numPr>
        <w:tabs>
          <w:tab w:val="left" w:pos="881"/>
        </w:tabs>
        <w:autoSpaceDE w:val="0"/>
        <w:autoSpaceDN w:val="0"/>
        <w:ind w:right="234"/>
        <w:contextualSpacing w:val="0"/>
      </w:pPr>
      <w:r w:rsidRPr="006C5D4F">
        <w:t xml:space="preserve">If a resident in the Excluded group who opted for </w:t>
      </w:r>
      <w:r w:rsidR="006C5D4F" w:rsidRPr="006C5D4F">
        <w:t>non-tiered flat r</w:t>
      </w:r>
      <w:r w:rsidRPr="006C5D4F">
        <w:t>ent experiences a decrease in income, Management will perform an Interim Reexamination of Income.</w:t>
      </w:r>
    </w:p>
    <w:p w14:paraId="49CB2186" w14:textId="77777777" w:rsidR="000C0B4E" w:rsidRPr="006C5D4F" w:rsidRDefault="008D7B7F" w:rsidP="007F177E">
      <w:pPr>
        <w:pStyle w:val="ListParagraph"/>
        <w:widowControl w:val="0"/>
        <w:numPr>
          <w:ilvl w:val="0"/>
          <w:numId w:val="114"/>
        </w:numPr>
        <w:tabs>
          <w:tab w:val="left" w:pos="881"/>
        </w:tabs>
        <w:autoSpaceDE w:val="0"/>
        <w:autoSpaceDN w:val="0"/>
        <w:contextualSpacing w:val="0"/>
      </w:pPr>
      <w:r w:rsidRPr="006C5D4F">
        <w:t>If the reduction in income will last more than 30 calendar days, Management will reduce rent to the income-based rent based on verified income information.</w:t>
      </w:r>
    </w:p>
    <w:p w14:paraId="10D1EC1F" w14:textId="77777777" w:rsidR="00B86128" w:rsidRPr="00A2158C" w:rsidRDefault="008D7B7F" w:rsidP="007F177E">
      <w:pPr>
        <w:pStyle w:val="ListParagraph"/>
        <w:widowControl w:val="0"/>
        <w:numPr>
          <w:ilvl w:val="0"/>
          <w:numId w:val="114"/>
        </w:numPr>
        <w:tabs>
          <w:tab w:val="left" w:pos="881"/>
        </w:tabs>
        <w:kinsoku w:val="0"/>
        <w:autoSpaceDE w:val="0"/>
        <w:autoSpaceDN w:val="0"/>
        <w:adjustRightInd w:val="0"/>
        <w:spacing w:after="0" w:line="240" w:lineRule="auto"/>
        <w:ind w:left="360" w:right="237"/>
        <w:contextualSpacing w:val="0"/>
      </w:pPr>
      <w:r w:rsidRPr="006C5D4F">
        <w:t>The resident must pay the income-based rent until the next regular reexamination.</w:t>
      </w:r>
    </w:p>
    <w:p w14:paraId="605C1DF4" w14:textId="77777777" w:rsidR="0036743D" w:rsidRDefault="0036743D" w:rsidP="0036743D"/>
    <w:p w14:paraId="48F5F86D" w14:textId="77777777" w:rsidR="0036743D" w:rsidRDefault="0036743D" w:rsidP="0036743D"/>
    <w:p w14:paraId="1F483ED2" w14:textId="77777777" w:rsidR="0036743D" w:rsidRDefault="0036743D" w:rsidP="0036743D">
      <w:pPr>
        <w:sectPr w:rsidR="0036743D" w:rsidSect="00EE2233">
          <w:pgSz w:w="12240" w:h="15840"/>
          <w:pgMar w:top="1440" w:right="1440" w:bottom="1440" w:left="1440" w:header="720" w:footer="720" w:gutter="0"/>
          <w:cols w:space="720"/>
          <w:docGrid w:linePitch="360"/>
        </w:sectPr>
      </w:pPr>
    </w:p>
    <w:p w14:paraId="319ED43C" w14:textId="77777777" w:rsidR="00CA68D2" w:rsidRPr="00FC402D" w:rsidRDefault="00CA68D2" w:rsidP="00CA68D2">
      <w:pPr>
        <w:pStyle w:val="Heading1"/>
        <w:ind w:left="0" w:firstLine="0"/>
      </w:pPr>
      <w:bookmarkStart w:id="2199" w:name="_Ref151015055"/>
      <w:bookmarkStart w:id="2200" w:name="_Toc173222731"/>
      <w:bookmarkStart w:id="2201" w:name="_Toc200375744"/>
      <w:bookmarkStart w:id="2202" w:name="_Toc200376997"/>
      <w:r w:rsidRPr="00FC402D">
        <w:t>OVER-INCOME FAMILIES</w:t>
      </w:r>
      <w:bookmarkEnd w:id="1973"/>
      <w:bookmarkEnd w:id="2199"/>
      <w:bookmarkEnd w:id="2200"/>
      <w:bookmarkEnd w:id="2201"/>
      <w:bookmarkEnd w:id="2202"/>
    </w:p>
    <w:p w14:paraId="3540C263" w14:textId="77777777" w:rsidR="0052443C" w:rsidRPr="00A2158C" w:rsidRDefault="0052443C" w:rsidP="0052443C">
      <w:r w:rsidRPr="00A2158C">
        <w:t>The over-income</w:t>
      </w:r>
      <w:r>
        <w:t xml:space="preserve"> limit</w:t>
      </w:r>
      <w:r w:rsidRPr="00A2158C">
        <w:t xml:space="preserve"> supersede</w:t>
      </w:r>
      <w:r>
        <w:t>s</w:t>
      </w:r>
      <w:r w:rsidRPr="00A2158C">
        <w:t xml:space="preserve"> the Tiered Rent rules</w:t>
      </w:r>
      <w:r>
        <w:t>.</w:t>
      </w:r>
    </w:p>
    <w:p w14:paraId="106E1979" w14:textId="30700D61" w:rsidR="0052443C" w:rsidRPr="006E4F3B" w:rsidRDefault="0052443C" w:rsidP="0052443C">
      <w:pPr>
        <w:rPr>
          <w:rFonts w:cs="Arial"/>
        </w:rPr>
      </w:pPr>
      <w:r w:rsidRPr="006E4F3B">
        <w:rPr>
          <w:rFonts w:cs="Arial"/>
        </w:rPr>
        <w:t xml:space="preserve">An </w:t>
      </w:r>
      <w:r w:rsidRPr="006E4F3B">
        <w:rPr>
          <w:rFonts w:cs="Arial"/>
          <w:i/>
          <w:iCs/>
        </w:rPr>
        <w:t>over-income family</w:t>
      </w:r>
      <w:r w:rsidRPr="006E4F3B">
        <w:rPr>
          <w:rFonts w:cs="Arial"/>
        </w:rPr>
        <w:t xml:space="preserve"> is defined as a family with an annual income which exceeds the over-income limit. The over-income limit is calculated by multiplying the applicable income limit for a very low-income family, as defined in 24 CFR 5.603(b), by a factor of 2.4. The over-income rule applies to all public housing program families, including families in the FSS program and families receiving the Earned Income Disallowance. </w:t>
      </w:r>
      <w:r>
        <w:rPr>
          <w:rFonts w:cs="Arial"/>
        </w:rPr>
        <w:t xml:space="preserve">See </w:t>
      </w:r>
      <w:r w:rsidR="00F85FBA" w:rsidRPr="00F85FBA">
        <w:rPr>
          <w:rFonts w:cs="Arial"/>
          <w:b/>
          <w:bCs/>
          <w:color w:val="0070C0"/>
        </w:rPr>
        <w:fldChar w:fldCharType="begin"/>
      </w:r>
      <w:r w:rsidR="00F85FBA" w:rsidRPr="00F85FBA">
        <w:rPr>
          <w:rFonts w:cs="Arial"/>
          <w:b/>
          <w:bCs/>
          <w:color w:val="0070C0"/>
        </w:rPr>
        <w:instrText xml:space="preserve"> REF _Ref148703076 \h </w:instrText>
      </w:r>
      <w:r w:rsidR="00F85FBA">
        <w:rPr>
          <w:rFonts w:cs="Arial"/>
          <w:b/>
          <w:bCs/>
          <w:color w:val="0070C0"/>
        </w:rPr>
        <w:instrText xml:space="preserve"> \* MERGEFORMAT </w:instrText>
      </w:r>
      <w:r w:rsidR="00F85FBA" w:rsidRPr="00F85FBA">
        <w:rPr>
          <w:rFonts w:cs="Arial"/>
          <w:b/>
          <w:bCs/>
          <w:color w:val="0070C0"/>
        </w:rPr>
      </w:r>
      <w:r w:rsidR="00F85FBA" w:rsidRPr="00F85FBA">
        <w:rPr>
          <w:rFonts w:cs="Arial"/>
          <w:b/>
          <w:bCs/>
          <w:color w:val="0070C0"/>
        </w:rPr>
        <w:fldChar w:fldCharType="separate"/>
      </w:r>
      <w:r w:rsidR="00583B3B" w:rsidRPr="00583B3B">
        <w:rPr>
          <w:b/>
          <w:bCs/>
          <w:color w:val="0070C0"/>
        </w:rPr>
        <w:t>APPENDIX F: OVER-INCOME LIMITS FOR 2025</w:t>
      </w:r>
      <w:r w:rsidR="00F85FBA" w:rsidRPr="00F85FBA">
        <w:rPr>
          <w:rFonts w:cs="Arial"/>
          <w:b/>
          <w:bCs/>
          <w:color w:val="0070C0"/>
        </w:rPr>
        <w:fldChar w:fldCharType="end"/>
      </w:r>
      <w:r>
        <w:rPr>
          <w:rFonts w:cs="Arial"/>
        </w:rPr>
        <w:t>, but note that these limits will change each year.</w:t>
      </w:r>
    </w:p>
    <w:p w14:paraId="6AD3F1B3" w14:textId="77777777" w:rsidR="0052443C" w:rsidRDefault="0052443C" w:rsidP="0052443C">
      <w:pPr>
        <w:adjustRightInd w:val="0"/>
        <w:rPr>
          <w:rFonts w:cs="Arial"/>
        </w:rPr>
      </w:pPr>
      <w:r w:rsidRPr="006E4F3B">
        <w:rPr>
          <w:rFonts w:cs="Arial"/>
        </w:rPr>
        <w:t>If the family’s income has exceeded the over-income limit for 24 consecutive months</w:t>
      </w:r>
      <w:r>
        <w:rPr>
          <w:rFonts w:cs="Arial"/>
        </w:rPr>
        <w:t>—or upon HUD approval, 36 consecutive months—</w:t>
      </w:r>
      <w:r w:rsidRPr="006E4F3B">
        <w:rPr>
          <w:rFonts w:cs="Arial"/>
        </w:rPr>
        <w:t>HHA will not terminate the family’s tenancy and will charge the family the alternative non-public housing rent, as well as require the family to sign a new non-public housing lease in accordance with the applicable continued occupancy policies in this ACOP.</w:t>
      </w:r>
    </w:p>
    <w:p w14:paraId="5FEC4973" w14:textId="77777777" w:rsidR="0052443C" w:rsidRPr="006E4F3B" w:rsidRDefault="0052443C" w:rsidP="0052443C">
      <w:pPr>
        <w:adjustRightInd w:val="0"/>
        <w:rPr>
          <w:rFonts w:cs="Arial"/>
        </w:rPr>
      </w:pPr>
      <w:r w:rsidRPr="006E4F3B">
        <w:rPr>
          <w:rFonts w:cs="Arial"/>
        </w:rPr>
        <w:t>If an over-income family experiences a decrease in income during the 24-month grace period</w:t>
      </w:r>
      <w:r>
        <w:rPr>
          <w:rFonts w:cs="Arial"/>
        </w:rPr>
        <w:t>—or upon HUD approval, the 36-month grace period—</w:t>
      </w:r>
      <w:r w:rsidRPr="006E4F3B">
        <w:rPr>
          <w:rFonts w:cs="Arial"/>
        </w:rPr>
        <w:t>the family may request an interim redetermination of rent in accordance with HHA policy. If, as a result, the previously over-income family is now below the over-income limit, the family is no longer subject to over-income provisions as of the effective date of the recertification. In such instances, HHA will notify the family in writing that over-income policies no longer apply to them. If the family’s income later exceeds the over-income limit again, the family will be entitled to a new 24-month grace period</w:t>
      </w:r>
      <w:r>
        <w:rPr>
          <w:rFonts w:cs="Arial"/>
        </w:rPr>
        <w:t xml:space="preserve"> (or upon HUD approval, a new 36-month grace period)</w:t>
      </w:r>
      <w:r w:rsidRPr="006E4F3B">
        <w:rPr>
          <w:rFonts w:cs="Arial"/>
        </w:rPr>
        <w:t>.</w:t>
      </w:r>
    </w:p>
    <w:p w14:paraId="06CAB080" w14:textId="77777777" w:rsidR="0052443C" w:rsidRDefault="0052443C" w:rsidP="000E6662">
      <w:pPr>
        <w:pStyle w:val="Heading2"/>
      </w:pPr>
      <w:bookmarkStart w:id="2203" w:name="_Toc137809053"/>
      <w:bookmarkStart w:id="2204" w:name="_Toc137809595"/>
      <w:bookmarkStart w:id="2205" w:name="_Toc137809839"/>
      <w:bookmarkStart w:id="2206" w:name="_Toc137810151"/>
      <w:bookmarkStart w:id="2207" w:name="_Toc138429484"/>
      <w:bookmarkStart w:id="2208" w:name="_Toc138430319"/>
      <w:bookmarkStart w:id="2209" w:name="_Toc138856473"/>
      <w:bookmarkStart w:id="2210" w:name="_Toc138857767"/>
      <w:bookmarkStart w:id="2211" w:name="_Toc138860573"/>
      <w:bookmarkStart w:id="2212" w:name="_Toc147141871"/>
      <w:bookmarkStart w:id="2213" w:name="_Ref163733079"/>
      <w:bookmarkStart w:id="2214" w:name="_Toc173222732"/>
      <w:bookmarkStart w:id="2215" w:name="_Toc200375745"/>
      <w:bookmarkStart w:id="2216" w:name="_Toc200376998"/>
      <w:r>
        <w:t>Notification Requirements</w:t>
      </w:r>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p>
    <w:p w14:paraId="28E1CB4F" w14:textId="77777777" w:rsidR="0052443C" w:rsidRPr="006E4F3B" w:rsidRDefault="0052443C" w:rsidP="00677451">
      <w:pPr>
        <w:pStyle w:val="Heading3"/>
      </w:pPr>
      <w:bookmarkStart w:id="2217" w:name="_Toc137809054"/>
      <w:bookmarkStart w:id="2218" w:name="_Toc137809596"/>
      <w:bookmarkStart w:id="2219" w:name="_Toc137809840"/>
      <w:bookmarkStart w:id="2220" w:name="_Toc137810152"/>
      <w:bookmarkStart w:id="2221" w:name="_Toc138429485"/>
      <w:bookmarkStart w:id="2222" w:name="_Toc138430320"/>
      <w:bookmarkStart w:id="2223" w:name="_Toc138860574"/>
      <w:bookmarkStart w:id="2224" w:name="_Toc147141872"/>
      <w:bookmarkStart w:id="2225" w:name="_Toc200375746"/>
      <w:r w:rsidRPr="006E4F3B">
        <w:t>First Notice</w:t>
      </w:r>
      <w:bookmarkEnd w:id="2217"/>
      <w:bookmarkEnd w:id="2218"/>
      <w:bookmarkEnd w:id="2219"/>
      <w:bookmarkEnd w:id="2220"/>
      <w:bookmarkEnd w:id="2221"/>
      <w:bookmarkEnd w:id="2222"/>
      <w:bookmarkEnd w:id="2223"/>
      <w:bookmarkEnd w:id="2224"/>
      <w:bookmarkEnd w:id="2225"/>
    </w:p>
    <w:p w14:paraId="79416100" w14:textId="77777777" w:rsidR="0052443C" w:rsidRPr="006E4F3B" w:rsidRDefault="0052443C" w:rsidP="0023722C">
      <w:pPr>
        <w:adjustRightInd w:val="0"/>
        <w:rPr>
          <w:rFonts w:cs="Arial"/>
        </w:rPr>
      </w:pPr>
      <w:r w:rsidRPr="006E4F3B">
        <w:rPr>
          <w:rFonts w:cs="Arial"/>
        </w:rPr>
        <w:t>At a regular or interim reexamination, if a family’s annual income exceeds the applicable over-income limit, HHA will document the family file and begin tracking the family’s over-income status. At this time, HHA will notify the family in writing that:</w:t>
      </w:r>
    </w:p>
    <w:p w14:paraId="5C332BE4" w14:textId="77777777" w:rsidR="0052443C" w:rsidRPr="006E4F3B" w:rsidRDefault="0052443C" w:rsidP="007F177E">
      <w:pPr>
        <w:pStyle w:val="ListParagraph"/>
        <w:widowControl w:val="0"/>
        <w:numPr>
          <w:ilvl w:val="0"/>
          <w:numId w:val="262"/>
        </w:numPr>
        <w:autoSpaceDE w:val="0"/>
        <w:autoSpaceDN w:val="0"/>
        <w:adjustRightInd w:val="0"/>
        <w:contextualSpacing w:val="0"/>
        <w:rPr>
          <w:rFonts w:cs="Arial"/>
        </w:rPr>
      </w:pPr>
      <w:r w:rsidRPr="006E4F3B">
        <w:rPr>
          <w:rFonts w:cs="Arial"/>
        </w:rPr>
        <w:t>They have been determined to be over-income;</w:t>
      </w:r>
    </w:p>
    <w:p w14:paraId="3227C370" w14:textId="77777777" w:rsidR="0052443C" w:rsidRPr="006E4F3B" w:rsidRDefault="0052443C" w:rsidP="007F177E">
      <w:pPr>
        <w:pStyle w:val="ListParagraph"/>
        <w:widowControl w:val="0"/>
        <w:numPr>
          <w:ilvl w:val="0"/>
          <w:numId w:val="262"/>
        </w:numPr>
        <w:autoSpaceDE w:val="0"/>
        <w:autoSpaceDN w:val="0"/>
        <w:adjustRightInd w:val="0"/>
        <w:contextualSpacing w:val="0"/>
        <w:rPr>
          <w:rFonts w:cs="Arial"/>
        </w:rPr>
      </w:pPr>
      <w:r w:rsidRPr="006E4F3B">
        <w:rPr>
          <w:rFonts w:cs="Arial"/>
        </w:rPr>
        <w:t>If they continue to be over-income for 24 consecutive months (24-month grace period)</w:t>
      </w:r>
      <w:r>
        <w:rPr>
          <w:rFonts w:cs="Arial"/>
        </w:rPr>
        <w:t>—or upon HUD approval, 36 consecutive months (36-month grace period)—</w:t>
      </w:r>
      <w:r w:rsidRPr="006E4F3B">
        <w:rPr>
          <w:rFonts w:cs="Arial"/>
        </w:rPr>
        <w:t xml:space="preserve">the </w:t>
      </w:r>
      <w:r>
        <w:rPr>
          <w:rFonts w:cs="Arial"/>
        </w:rPr>
        <w:t>family will no longer be eligible for public housing assistance but may remain in a public housing unit paying an alternate non-public housing rent</w:t>
      </w:r>
      <w:r w:rsidRPr="006E4F3B">
        <w:rPr>
          <w:rFonts w:cs="Arial"/>
        </w:rPr>
        <w:t>; and</w:t>
      </w:r>
    </w:p>
    <w:p w14:paraId="3A8171F6" w14:textId="77777777" w:rsidR="0052443C" w:rsidRPr="006E4F3B" w:rsidRDefault="0052443C" w:rsidP="007F177E">
      <w:pPr>
        <w:pStyle w:val="ListParagraph"/>
        <w:widowControl w:val="0"/>
        <w:numPr>
          <w:ilvl w:val="0"/>
          <w:numId w:val="262"/>
        </w:numPr>
        <w:autoSpaceDE w:val="0"/>
        <w:autoSpaceDN w:val="0"/>
        <w:adjustRightInd w:val="0"/>
        <w:contextualSpacing w:val="0"/>
        <w:rPr>
          <w:rFonts w:cs="Arial"/>
        </w:rPr>
      </w:pPr>
      <w:r w:rsidRPr="006E4F3B">
        <w:rPr>
          <w:rFonts w:cs="Arial"/>
        </w:rPr>
        <w:t xml:space="preserve">They may request a hearing within a reasonable timeframe if they dispute the determination that they are over-income. </w:t>
      </w:r>
    </w:p>
    <w:p w14:paraId="12FDAEC8" w14:textId="77777777" w:rsidR="0052443C" w:rsidRPr="006E4F3B" w:rsidRDefault="0052443C" w:rsidP="0023722C">
      <w:pPr>
        <w:adjustRightInd w:val="0"/>
        <w:rPr>
          <w:rFonts w:cs="Arial"/>
        </w:rPr>
      </w:pPr>
      <w:r w:rsidRPr="006E4F3B">
        <w:rPr>
          <w:rFonts w:cs="Arial"/>
        </w:rPr>
        <w:t xml:space="preserve">Over-income families will be placed on an annual reexamination frequency beginning with the first regular or interim recertification in which the family exceeds the over-income limit. </w:t>
      </w:r>
      <w:r>
        <w:rPr>
          <w:rFonts w:cs="Arial"/>
        </w:rPr>
        <w:t>If a family is determined to be over-income at an interim recertification, HHA will process an annual recertification for the family at that time, and reset the family’s reexamination date to be effective 12 months from the effective date of that transaction.</w:t>
      </w:r>
    </w:p>
    <w:p w14:paraId="2926DBEA" w14:textId="77777777" w:rsidR="0052443C" w:rsidRPr="006E4F3B" w:rsidRDefault="0052443C" w:rsidP="00677451">
      <w:pPr>
        <w:pStyle w:val="Heading3"/>
      </w:pPr>
      <w:bookmarkStart w:id="2226" w:name="_Toc137809055"/>
      <w:bookmarkStart w:id="2227" w:name="_Toc137809597"/>
      <w:bookmarkStart w:id="2228" w:name="_Toc137809841"/>
      <w:bookmarkStart w:id="2229" w:name="_Toc137810153"/>
      <w:bookmarkStart w:id="2230" w:name="_Toc138429486"/>
      <w:bookmarkStart w:id="2231" w:name="_Toc138430321"/>
      <w:bookmarkStart w:id="2232" w:name="_Toc138860575"/>
      <w:bookmarkStart w:id="2233" w:name="_Toc147141873"/>
      <w:bookmarkStart w:id="2234" w:name="_Toc200375747"/>
      <w:r w:rsidRPr="006E4F3B">
        <w:t>Second Notice</w:t>
      </w:r>
      <w:bookmarkEnd w:id="2226"/>
      <w:bookmarkEnd w:id="2227"/>
      <w:bookmarkEnd w:id="2228"/>
      <w:bookmarkEnd w:id="2229"/>
      <w:bookmarkEnd w:id="2230"/>
      <w:bookmarkEnd w:id="2231"/>
      <w:bookmarkEnd w:id="2232"/>
      <w:bookmarkEnd w:id="2233"/>
      <w:bookmarkEnd w:id="2234"/>
    </w:p>
    <w:p w14:paraId="52CF6EC2" w14:textId="77777777" w:rsidR="0052443C" w:rsidRPr="006E4F3B" w:rsidRDefault="0052443C" w:rsidP="00C3287F">
      <w:pPr>
        <w:adjustRightInd w:val="0"/>
        <w:rPr>
          <w:rFonts w:cs="Arial"/>
        </w:rPr>
      </w:pPr>
      <w:r w:rsidRPr="006E4F3B">
        <w:rPr>
          <w:rFonts w:cs="Arial"/>
        </w:rPr>
        <w:t>If the family’s annual income continues to exceed the applicable over-income limit for 12 consecutive months, HHA will notify the family, in writing, that:</w:t>
      </w:r>
    </w:p>
    <w:p w14:paraId="7AD8DEA4" w14:textId="77777777" w:rsidR="0052443C" w:rsidRPr="00C3287F" w:rsidRDefault="0052443C" w:rsidP="007F177E">
      <w:pPr>
        <w:pStyle w:val="ListParagraph"/>
        <w:widowControl w:val="0"/>
        <w:numPr>
          <w:ilvl w:val="0"/>
          <w:numId w:val="263"/>
        </w:numPr>
        <w:autoSpaceDE w:val="0"/>
        <w:autoSpaceDN w:val="0"/>
        <w:adjustRightInd w:val="0"/>
        <w:contextualSpacing w:val="0"/>
        <w:rPr>
          <w:rFonts w:cs="Arial"/>
          <w:strike/>
        </w:rPr>
      </w:pPr>
      <w:r w:rsidRPr="00C3287F">
        <w:rPr>
          <w:rFonts w:cs="Arial"/>
        </w:rPr>
        <w:t>Their income continues to exceed the over-income limit;</w:t>
      </w:r>
    </w:p>
    <w:p w14:paraId="6CE2356F" w14:textId="77777777" w:rsidR="0052443C" w:rsidRPr="00C3287F" w:rsidRDefault="0052443C" w:rsidP="007F177E">
      <w:pPr>
        <w:pStyle w:val="ListParagraph"/>
        <w:widowControl w:val="0"/>
        <w:numPr>
          <w:ilvl w:val="0"/>
          <w:numId w:val="263"/>
        </w:numPr>
        <w:autoSpaceDE w:val="0"/>
        <w:autoSpaceDN w:val="0"/>
        <w:adjustRightInd w:val="0"/>
        <w:contextualSpacing w:val="0"/>
        <w:rPr>
          <w:rFonts w:cs="Arial"/>
          <w:strike/>
        </w:rPr>
      </w:pPr>
      <w:r w:rsidRPr="00C3287F">
        <w:rPr>
          <w:rFonts w:cs="Arial"/>
        </w:rPr>
        <w:t>If their income exceeds the over-income limit for an additional 12 months—or upon HUD approval, an additional 24 months—the family will no longer be eligible for public housing assistance but may remain in a public housing unit paying an alternate non-public housing rent; and</w:t>
      </w:r>
    </w:p>
    <w:p w14:paraId="3D28C6E8" w14:textId="77777777" w:rsidR="0052443C" w:rsidRPr="00C3287F" w:rsidRDefault="0052443C" w:rsidP="007F177E">
      <w:pPr>
        <w:pStyle w:val="ListParagraph"/>
        <w:widowControl w:val="0"/>
        <w:numPr>
          <w:ilvl w:val="0"/>
          <w:numId w:val="263"/>
        </w:numPr>
        <w:autoSpaceDE w:val="0"/>
        <w:autoSpaceDN w:val="0"/>
        <w:adjustRightInd w:val="0"/>
        <w:contextualSpacing w:val="0"/>
        <w:rPr>
          <w:rFonts w:cs="Arial"/>
          <w:strike/>
        </w:rPr>
      </w:pPr>
      <w:r w:rsidRPr="00C3287F">
        <w:rPr>
          <w:rFonts w:cs="Arial"/>
        </w:rPr>
        <w:t>They may request a hearing if they dispute the determination that they are over-income.</w:t>
      </w:r>
    </w:p>
    <w:p w14:paraId="60637531" w14:textId="77777777" w:rsidR="0052443C" w:rsidRPr="00C3287F" w:rsidRDefault="0052443C" w:rsidP="00677451">
      <w:pPr>
        <w:pStyle w:val="Heading3"/>
      </w:pPr>
      <w:bookmarkStart w:id="2235" w:name="_Toc147141874"/>
      <w:bookmarkStart w:id="2236" w:name="_Toc200375748"/>
      <w:r w:rsidRPr="00C3287F">
        <w:t>Third Notice</w:t>
      </w:r>
      <w:bookmarkEnd w:id="2235"/>
      <w:bookmarkEnd w:id="2236"/>
    </w:p>
    <w:p w14:paraId="6293BA81" w14:textId="77777777" w:rsidR="0052443C" w:rsidRPr="00CD53DC" w:rsidRDefault="0052443C" w:rsidP="00CD53DC">
      <w:pPr>
        <w:adjustRightInd w:val="0"/>
        <w:rPr>
          <w:rFonts w:cs="Arial"/>
        </w:rPr>
      </w:pPr>
      <w:r w:rsidRPr="00CD53DC">
        <w:rPr>
          <w:rFonts w:cs="Arial"/>
        </w:rPr>
        <w:t>Upon HUD approval, if the family’s annual income continues to exceed the applicable over-income limit for 24 consecutive months, HHA will notify the family, in writing, that:</w:t>
      </w:r>
    </w:p>
    <w:p w14:paraId="5866E1AB" w14:textId="77777777" w:rsidR="0052443C" w:rsidRPr="00CD53DC" w:rsidRDefault="0052443C" w:rsidP="007F177E">
      <w:pPr>
        <w:pStyle w:val="ListParagraph"/>
        <w:widowControl w:val="0"/>
        <w:numPr>
          <w:ilvl w:val="0"/>
          <w:numId w:val="264"/>
        </w:numPr>
        <w:autoSpaceDE w:val="0"/>
        <w:autoSpaceDN w:val="0"/>
        <w:adjustRightInd w:val="0"/>
        <w:contextualSpacing w:val="0"/>
        <w:rPr>
          <w:rFonts w:cs="Arial"/>
          <w:strike/>
        </w:rPr>
      </w:pPr>
      <w:r w:rsidRPr="00CD53DC">
        <w:rPr>
          <w:rFonts w:cs="Arial"/>
        </w:rPr>
        <w:t>Their income continues to exceed the over-income limit;</w:t>
      </w:r>
    </w:p>
    <w:p w14:paraId="7DEC5228" w14:textId="77777777" w:rsidR="0052443C" w:rsidRPr="00CD53DC" w:rsidRDefault="0052443C" w:rsidP="007F177E">
      <w:pPr>
        <w:pStyle w:val="ListParagraph"/>
        <w:widowControl w:val="0"/>
        <w:numPr>
          <w:ilvl w:val="0"/>
          <w:numId w:val="264"/>
        </w:numPr>
        <w:autoSpaceDE w:val="0"/>
        <w:autoSpaceDN w:val="0"/>
        <w:adjustRightInd w:val="0"/>
        <w:contextualSpacing w:val="0"/>
        <w:rPr>
          <w:rFonts w:cs="Arial"/>
          <w:strike/>
        </w:rPr>
      </w:pPr>
      <w:r w:rsidRPr="00CD53DC">
        <w:rPr>
          <w:rFonts w:cs="Arial"/>
        </w:rPr>
        <w:t>If their income exceeds the over-income limit for an additional 12 months, the family will no longer be eligible for public housing assistance but may remain in a public housing unit paying an alternate non-public housing rent; and</w:t>
      </w:r>
    </w:p>
    <w:p w14:paraId="6E18BE17" w14:textId="77777777" w:rsidR="0052443C" w:rsidRPr="00CD53DC" w:rsidRDefault="0052443C" w:rsidP="007F177E">
      <w:pPr>
        <w:pStyle w:val="ListParagraph"/>
        <w:widowControl w:val="0"/>
        <w:numPr>
          <w:ilvl w:val="0"/>
          <w:numId w:val="264"/>
        </w:numPr>
        <w:autoSpaceDE w:val="0"/>
        <w:autoSpaceDN w:val="0"/>
        <w:adjustRightInd w:val="0"/>
        <w:contextualSpacing w:val="0"/>
        <w:rPr>
          <w:rFonts w:cs="Arial"/>
          <w:strike/>
        </w:rPr>
      </w:pPr>
      <w:r w:rsidRPr="00CD53DC">
        <w:rPr>
          <w:rFonts w:cs="Arial"/>
        </w:rPr>
        <w:t>They may request a hearing if they dispute the determination that they are over-income.</w:t>
      </w:r>
    </w:p>
    <w:p w14:paraId="46417868" w14:textId="77777777" w:rsidR="0052443C" w:rsidRPr="00CD53DC" w:rsidRDefault="0052443C" w:rsidP="00677451">
      <w:pPr>
        <w:pStyle w:val="Heading3"/>
      </w:pPr>
      <w:bookmarkStart w:id="2237" w:name="_Toc137809056"/>
      <w:bookmarkStart w:id="2238" w:name="_Toc137809598"/>
      <w:bookmarkStart w:id="2239" w:name="_Toc137809842"/>
      <w:bookmarkStart w:id="2240" w:name="_Toc137810154"/>
      <w:bookmarkStart w:id="2241" w:name="_Toc138429487"/>
      <w:bookmarkStart w:id="2242" w:name="_Toc138430322"/>
      <w:bookmarkStart w:id="2243" w:name="_Toc138860576"/>
      <w:bookmarkStart w:id="2244" w:name="_Toc147141875"/>
      <w:bookmarkStart w:id="2245" w:name="_Toc200375749"/>
      <w:r w:rsidRPr="00CD53DC">
        <w:t>Final Notice</w:t>
      </w:r>
      <w:bookmarkEnd w:id="2237"/>
      <w:bookmarkEnd w:id="2238"/>
      <w:bookmarkEnd w:id="2239"/>
      <w:bookmarkEnd w:id="2240"/>
      <w:bookmarkEnd w:id="2241"/>
      <w:bookmarkEnd w:id="2242"/>
      <w:bookmarkEnd w:id="2243"/>
      <w:bookmarkEnd w:id="2244"/>
      <w:bookmarkEnd w:id="2245"/>
    </w:p>
    <w:p w14:paraId="58B517F4" w14:textId="77777777" w:rsidR="0052443C" w:rsidRPr="006E4F3B" w:rsidRDefault="0052443C" w:rsidP="0052443C">
      <w:pPr>
        <w:adjustRightInd w:val="0"/>
        <w:rPr>
          <w:rFonts w:cs="Arial"/>
        </w:rPr>
      </w:pPr>
      <w:r w:rsidRPr="006E4F3B">
        <w:rPr>
          <w:rFonts w:cs="Arial"/>
        </w:rPr>
        <w:t>If HHA determines that the family’s income has exceeded the applicable over-income limit for 24 consecutive months</w:t>
      </w:r>
      <w:r>
        <w:rPr>
          <w:rFonts w:cs="Arial"/>
        </w:rPr>
        <w:t>—or upon HUD approval, 36 consecutive months—</w:t>
      </w:r>
      <w:r w:rsidRPr="006E4F3B">
        <w:rPr>
          <w:rFonts w:cs="Arial"/>
        </w:rPr>
        <w:t xml:space="preserve">HHA will notify the family in writing of this determination. </w:t>
      </w:r>
    </w:p>
    <w:p w14:paraId="3664D43E" w14:textId="77777777" w:rsidR="0052443C" w:rsidRPr="006E4F3B" w:rsidRDefault="0052443C" w:rsidP="0052443C">
      <w:pPr>
        <w:adjustRightInd w:val="0"/>
        <w:rPr>
          <w:rFonts w:cs="Arial"/>
        </w:rPr>
      </w:pPr>
      <w:r w:rsidRPr="006E4F3B">
        <w:rPr>
          <w:rFonts w:cs="Arial"/>
        </w:rPr>
        <w:t>The notice will inform the family that they have exceeded the over-income limit for 24 consecutive months</w:t>
      </w:r>
      <w:r>
        <w:rPr>
          <w:rFonts w:cs="Arial"/>
        </w:rPr>
        <w:t>—or upon HUD approval, 36 months—</w:t>
      </w:r>
      <w:r w:rsidRPr="006E4F3B">
        <w:rPr>
          <w:rFonts w:cs="Arial"/>
        </w:rPr>
        <w:t>and that HHA will charge the family the alternative non-public housing rent at the next lease renewal or in no more than 60 days after the date the final notice</w:t>
      </w:r>
      <w:r>
        <w:rPr>
          <w:rFonts w:cs="Arial"/>
        </w:rPr>
        <w:t xml:space="preserve">, </w:t>
      </w:r>
      <w:r w:rsidRPr="006E4F3B">
        <w:rPr>
          <w:rFonts w:cs="Arial"/>
        </w:rPr>
        <w:t>whichever is sooner.</w:t>
      </w:r>
    </w:p>
    <w:p w14:paraId="552F17E1" w14:textId="77777777" w:rsidR="0052443C" w:rsidRPr="006E4F3B" w:rsidRDefault="0052443C" w:rsidP="0052443C">
      <w:pPr>
        <w:rPr>
          <w:rFonts w:cs="Arial"/>
        </w:rPr>
      </w:pPr>
      <w:r w:rsidRPr="006E4F3B">
        <w:rPr>
          <w:rFonts w:cs="Arial"/>
        </w:rPr>
        <w:t xml:space="preserve">An over-income family will continue to be a public housing program participant until their tenancy is terminated or the family executes a new non-public housing lease. In the period prior to termination or execution of the new lease, the family’s rent will be their choice of income-based, flat rent, or prorated rent for mixed families. </w:t>
      </w:r>
      <w:r>
        <w:rPr>
          <w:rFonts w:cs="Arial"/>
        </w:rPr>
        <w:t>However, t</w:t>
      </w:r>
      <w:r w:rsidRPr="006E4F3B">
        <w:rPr>
          <w:rFonts w:cs="Arial"/>
        </w:rPr>
        <w:t>he family cannot be reinstated to the public housing program after the final notice is sent.</w:t>
      </w:r>
    </w:p>
    <w:p w14:paraId="0AB3E5EA" w14:textId="77777777" w:rsidR="0052443C" w:rsidRDefault="0052443C" w:rsidP="00CD53DC">
      <w:pPr>
        <w:pStyle w:val="Heading2"/>
      </w:pPr>
      <w:bookmarkStart w:id="2246" w:name="_Toc137809057"/>
      <w:bookmarkStart w:id="2247" w:name="_Toc137809599"/>
      <w:bookmarkStart w:id="2248" w:name="_Toc137809843"/>
      <w:bookmarkStart w:id="2249" w:name="_Toc137810155"/>
      <w:bookmarkStart w:id="2250" w:name="_Toc138429488"/>
      <w:bookmarkStart w:id="2251" w:name="_Toc138430323"/>
      <w:bookmarkStart w:id="2252" w:name="_Toc138856474"/>
      <w:bookmarkStart w:id="2253" w:name="_Toc138857768"/>
      <w:bookmarkStart w:id="2254" w:name="_Toc138860577"/>
      <w:bookmarkStart w:id="2255" w:name="_Toc147141876"/>
      <w:bookmarkStart w:id="2256" w:name="_Ref155698007"/>
      <w:bookmarkStart w:id="2257" w:name="_Toc173222733"/>
      <w:bookmarkStart w:id="2258" w:name="_Toc200375750"/>
      <w:bookmarkStart w:id="2259" w:name="_Toc200376999"/>
      <w:r>
        <w:t>Non-Public Housing Over-Income Families</w:t>
      </w:r>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p>
    <w:p w14:paraId="3287E6F3" w14:textId="77777777" w:rsidR="0052443C" w:rsidRPr="006E4F3B" w:rsidRDefault="0052443C" w:rsidP="00CD53DC">
      <w:pPr>
        <w:rPr>
          <w:rFonts w:cs="Arial"/>
        </w:rPr>
      </w:pPr>
      <w:r w:rsidRPr="006E4F3B">
        <w:rPr>
          <w:rFonts w:cs="Arial"/>
        </w:rPr>
        <w:t>Families that execute a non-public housing lease will be considered Non-Public Housing Over-Income (NPHOI) families. As a result:</w:t>
      </w:r>
    </w:p>
    <w:p w14:paraId="22B3C0CF" w14:textId="77777777" w:rsidR="0052443C" w:rsidRPr="006E4F3B" w:rsidRDefault="0052443C" w:rsidP="007F177E">
      <w:pPr>
        <w:numPr>
          <w:ilvl w:val="1"/>
          <w:numId w:val="265"/>
        </w:numPr>
        <w:rPr>
          <w:rFonts w:cs="Arial"/>
        </w:rPr>
      </w:pPr>
      <w:r w:rsidRPr="006E4F3B">
        <w:rPr>
          <w:rFonts w:cs="Arial"/>
        </w:rPr>
        <w:t>HHA may not conduct an annual or interim recertification for the family;</w:t>
      </w:r>
    </w:p>
    <w:p w14:paraId="64F89871" w14:textId="77777777" w:rsidR="0052443C" w:rsidRPr="006E4F3B" w:rsidRDefault="0052443C" w:rsidP="007F177E">
      <w:pPr>
        <w:numPr>
          <w:ilvl w:val="1"/>
          <w:numId w:val="265"/>
        </w:numPr>
        <w:rPr>
          <w:rFonts w:cs="Arial"/>
        </w:rPr>
      </w:pPr>
      <w:r w:rsidRPr="006E4F3B">
        <w:rPr>
          <w:rFonts w:cs="Arial"/>
        </w:rPr>
        <w:t>The family must pay the alternate rent for NPHOI families;</w:t>
      </w:r>
    </w:p>
    <w:p w14:paraId="2FFD1FB0" w14:textId="77777777" w:rsidR="0052443C" w:rsidRPr="006E4F3B" w:rsidRDefault="0052443C" w:rsidP="007F177E">
      <w:pPr>
        <w:numPr>
          <w:ilvl w:val="1"/>
          <w:numId w:val="265"/>
        </w:numPr>
        <w:rPr>
          <w:rFonts w:cs="Arial"/>
        </w:rPr>
      </w:pPr>
      <w:r w:rsidRPr="006E4F3B">
        <w:rPr>
          <w:rFonts w:cs="Arial"/>
        </w:rPr>
        <w:t xml:space="preserve">They are no longer given a choice between income-based or flat rent, nor can their rent be prorated. </w:t>
      </w:r>
    </w:p>
    <w:p w14:paraId="1CB56759" w14:textId="77777777" w:rsidR="0052443C" w:rsidRPr="006E4F3B" w:rsidRDefault="0052443C" w:rsidP="007F177E">
      <w:pPr>
        <w:numPr>
          <w:ilvl w:val="1"/>
          <w:numId w:val="265"/>
        </w:numPr>
        <w:rPr>
          <w:rFonts w:cs="Arial"/>
        </w:rPr>
      </w:pPr>
      <w:r w:rsidRPr="006E4F3B">
        <w:rPr>
          <w:rFonts w:cs="Arial"/>
        </w:rPr>
        <w:t>The family is no longer subject to the community service requirement;</w:t>
      </w:r>
    </w:p>
    <w:p w14:paraId="764A94F3" w14:textId="77777777" w:rsidR="0052443C" w:rsidRPr="006E4F3B" w:rsidRDefault="0052443C" w:rsidP="007F177E">
      <w:pPr>
        <w:numPr>
          <w:ilvl w:val="1"/>
          <w:numId w:val="265"/>
        </w:numPr>
        <w:rPr>
          <w:rFonts w:cs="Arial"/>
        </w:rPr>
      </w:pPr>
      <w:r w:rsidRPr="006E4F3B">
        <w:rPr>
          <w:rFonts w:cs="Arial"/>
        </w:rPr>
        <w:t>The family cannot participate in any programs only for public housing or low-income families, such as a resident association</w:t>
      </w:r>
      <w:r>
        <w:rPr>
          <w:rFonts w:cs="Arial"/>
        </w:rPr>
        <w:t xml:space="preserve"> or the Family Self-Sufficiency program</w:t>
      </w:r>
      <w:r w:rsidRPr="006E4F3B">
        <w:rPr>
          <w:rFonts w:cs="Arial"/>
        </w:rPr>
        <w:t>;</w:t>
      </w:r>
    </w:p>
    <w:p w14:paraId="26412364" w14:textId="77777777" w:rsidR="0052443C" w:rsidRPr="006E4F3B" w:rsidRDefault="0052443C" w:rsidP="007F177E">
      <w:pPr>
        <w:numPr>
          <w:ilvl w:val="1"/>
          <w:numId w:val="265"/>
        </w:numPr>
        <w:rPr>
          <w:rFonts w:cs="Arial"/>
        </w:rPr>
      </w:pPr>
      <w:r w:rsidRPr="006E4F3B">
        <w:rPr>
          <w:rFonts w:cs="Arial"/>
        </w:rPr>
        <w:t xml:space="preserve">The family cannot receive a utility allowance; </w:t>
      </w:r>
    </w:p>
    <w:p w14:paraId="2BF78992" w14:textId="77777777" w:rsidR="0052443C" w:rsidRPr="006E4F3B" w:rsidRDefault="0052443C" w:rsidP="007F177E">
      <w:pPr>
        <w:numPr>
          <w:ilvl w:val="1"/>
          <w:numId w:val="265"/>
        </w:numPr>
        <w:rPr>
          <w:rFonts w:cs="Arial"/>
        </w:rPr>
      </w:pPr>
      <w:r w:rsidRPr="006E4F3B">
        <w:rPr>
          <w:rFonts w:cs="Arial"/>
        </w:rPr>
        <w:t>The family cannot be reinstated to the public housing program;</w:t>
      </w:r>
      <w:r>
        <w:rPr>
          <w:rFonts w:cs="Arial"/>
        </w:rPr>
        <w:t xml:space="preserve"> and</w:t>
      </w:r>
    </w:p>
    <w:p w14:paraId="52658280" w14:textId="77777777" w:rsidR="0052443C" w:rsidRPr="006E4F3B" w:rsidRDefault="0052443C" w:rsidP="007F177E">
      <w:pPr>
        <w:numPr>
          <w:ilvl w:val="1"/>
          <w:numId w:val="265"/>
        </w:numPr>
        <w:rPr>
          <w:rFonts w:cs="Arial"/>
        </w:rPr>
      </w:pPr>
      <w:r w:rsidRPr="006E4F3B">
        <w:rPr>
          <w:rFonts w:cs="Arial"/>
        </w:rPr>
        <w:t xml:space="preserve">The family </w:t>
      </w:r>
      <w:r w:rsidRPr="00BF1CEC">
        <w:rPr>
          <w:rFonts w:cs="Arial"/>
        </w:rPr>
        <w:t xml:space="preserve">will not </w:t>
      </w:r>
      <w:r w:rsidRPr="006E4F3B">
        <w:rPr>
          <w:rFonts w:cs="Arial"/>
        </w:rPr>
        <w:t>be allowed to file any grievance.</w:t>
      </w:r>
    </w:p>
    <w:p w14:paraId="1B4C47E3" w14:textId="77777777" w:rsidR="0052443C" w:rsidRPr="006E4F3B" w:rsidRDefault="0052443C" w:rsidP="00CD53DC">
      <w:pPr>
        <w:adjustRightInd w:val="0"/>
        <w:rPr>
          <w:rFonts w:cs="Arial"/>
        </w:rPr>
      </w:pPr>
      <w:r w:rsidRPr="006E4F3B">
        <w:rPr>
          <w:rFonts w:cs="Arial"/>
        </w:rPr>
        <w:t>The specific provisions which guide the occupancy of public housing units by NPHOI families can be found in the NPHOI lease.</w:t>
      </w:r>
    </w:p>
    <w:p w14:paraId="586E8BB5" w14:textId="77777777" w:rsidR="0052443C" w:rsidRPr="006E4F3B" w:rsidRDefault="0052443C" w:rsidP="00CD53DC">
      <w:pPr>
        <w:rPr>
          <w:rFonts w:cs="Arial"/>
        </w:rPr>
      </w:pPr>
      <w:r w:rsidRPr="006E4F3B">
        <w:rPr>
          <w:rFonts w:cs="Arial"/>
        </w:rPr>
        <w:t>If an NPHOI family experiences a decrease in income after their designation as an NPHOI family and they wish to return to public housing, the family cannot be reinstated to the public housing program.</w:t>
      </w:r>
    </w:p>
    <w:p w14:paraId="23F27A18" w14:textId="77777777" w:rsidR="0052443C" w:rsidRPr="006E4F3B" w:rsidRDefault="0052443C" w:rsidP="007F177E">
      <w:pPr>
        <w:numPr>
          <w:ilvl w:val="1"/>
          <w:numId w:val="89"/>
        </w:numPr>
        <w:ind w:left="720"/>
        <w:rPr>
          <w:rFonts w:cs="Arial"/>
        </w:rPr>
      </w:pPr>
      <w:r w:rsidRPr="006E4F3B">
        <w:rPr>
          <w:rFonts w:cs="Arial"/>
        </w:rPr>
        <w:t xml:space="preserve">The family must apply to the public housing program if the waiting list is open. </w:t>
      </w:r>
    </w:p>
    <w:p w14:paraId="2842AE4E" w14:textId="77777777" w:rsidR="0052443C" w:rsidRPr="006E4F3B" w:rsidRDefault="0052443C" w:rsidP="007F177E">
      <w:pPr>
        <w:numPr>
          <w:ilvl w:val="1"/>
          <w:numId w:val="89"/>
        </w:numPr>
        <w:ind w:left="720"/>
        <w:rPr>
          <w:rFonts w:cs="Arial"/>
        </w:rPr>
      </w:pPr>
      <w:r w:rsidRPr="006E4F3B">
        <w:rPr>
          <w:rFonts w:cs="Arial"/>
        </w:rPr>
        <w:t xml:space="preserve">When the family is pulled from the waiting list, they are subject to all new admission requirements at that time and must be redetermined as eligible by HHA prior to gaining status as a public housing family. </w:t>
      </w:r>
    </w:p>
    <w:p w14:paraId="2125BA08" w14:textId="77777777" w:rsidR="0052443C" w:rsidRDefault="0052443C" w:rsidP="007F177E">
      <w:pPr>
        <w:numPr>
          <w:ilvl w:val="1"/>
          <w:numId w:val="89"/>
        </w:numPr>
        <w:ind w:left="720"/>
        <w:rPr>
          <w:rFonts w:cs="Arial"/>
        </w:rPr>
      </w:pPr>
      <w:r w:rsidRPr="006E4F3B">
        <w:rPr>
          <w:rFonts w:cs="Arial"/>
        </w:rPr>
        <w:t>Upon determination of eligibility, the family will need to sign a new public housing lease.</w:t>
      </w:r>
    </w:p>
    <w:p w14:paraId="3F5E9AA0" w14:textId="77777777" w:rsidR="0052443C" w:rsidRPr="006E4F3B" w:rsidRDefault="0052443C" w:rsidP="00CD53DC">
      <w:pPr>
        <w:rPr>
          <w:rFonts w:cs="Arial"/>
        </w:rPr>
      </w:pPr>
      <w:r w:rsidRPr="006E4F3B">
        <w:rPr>
          <w:rFonts w:cs="Arial"/>
        </w:rPr>
        <w:t>HHA may adopt a waiting list preference for NPHOI families (applies only to families who do not vacate the unit).</w:t>
      </w:r>
      <w:r>
        <w:rPr>
          <w:rFonts w:cs="Arial"/>
        </w:rPr>
        <w:t xml:space="preserve"> See </w:t>
      </w:r>
      <w:r w:rsidR="00B26A4E">
        <w:rPr>
          <w:rFonts w:cs="Arial"/>
        </w:rPr>
        <w:t xml:space="preserve">the </w:t>
      </w:r>
      <w:r w:rsidR="00B26A4E" w:rsidRPr="00B26A4E">
        <w:rPr>
          <w:rFonts w:cs="Arial"/>
          <w:b/>
          <w:bCs/>
          <w:color w:val="0070C0"/>
        </w:rPr>
        <w:fldChar w:fldCharType="begin"/>
      </w:r>
      <w:r w:rsidR="00B26A4E" w:rsidRPr="00B26A4E">
        <w:rPr>
          <w:rFonts w:cs="Arial"/>
          <w:b/>
          <w:bCs/>
          <w:color w:val="0070C0"/>
        </w:rPr>
        <w:instrText xml:space="preserve"> REF _Ref147153948 \h  \* MERGEFORMAT </w:instrText>
      </w:r>
      <w:r w:rsidR="00B26A4E" w:rsidRPr="00B26A4E">
        <w:rPr>
          <w:rFonts w:cs="Arial"/>
          <w:b/>
          <w:bCs/>
          <w:color w:val="0070C0"/>
        </w:rPr>
      </w:r>
      <w:r w:rsidR="00B26A4E" w:rsidRPr="00B26A4E">
        <w:rPr>
          <w:rFonts w:cs="Arial"/>
          <w:b/>
          <w:bCs/>
          <w:color w:val="0070C0"/>
        </w:rPr>
        <w:fldChar w:fldCharType="separate"/>
      </w:r>
      <w:r w:rsidR="00B26A4E" w:rsidRPr="00B26A4E">
        <w:rPr>
          <w:b/>
          <w:bCs/>
          <w:color w:val="0070C0"/>
        </w:rPr>
        <w:t>Local Preferences</w:t>
      </w:r>
      <w:r w:rsidR="00B26A4E" w:rsidRPr="00B26A4E">
        <w:rPr>
          <w:rFonts w:cs="Arial"/>
          <w:b/>
          <w:bCs/>
          <w:color w:val="0070C0"/>
        </w:rPr>
        <w:fldChar w:fldCharType="end"/>
      </w:r>
      <w:r w:rsidR="00B26A4E">
        <w:rPr>
          <w:rFonts w:cs="Arial"/>
        </w:rPr>
        <w:t xml:space="preserve"> </w:t>
      </w:r>
      <w:r>
        <w:rPr>
          <w:rFonts w:cs="Arial"/>
        </w:rPr>
        <w:t>section of this document for more information on the NPHOI preference on the public housing waiting list.</w:t>
      </w:r>
    </w:p>
    <w:p w14:paraId="2B5EBE2C" w14:textId="77777777" w:rsidR="0052443C" w:rsidRPr="006E4F3B" w:rsidRDefault="0052443C" w:rsidP="00CD53DC">
      <w:pPr>
        <w:pStyle w:val="Heading2"/>
      </w:pPr>
      <w:bookmarkStart w:id="2260" w:name="_Toc137809058"/>
      <w:bookmarkStart w:id="2261" w:name="_Toc137809600"/>
      <w:bookmarkStart w:id="2262" w:name="_Toc137809844"/>
      <w:bookmarkStart w:id="2263" w:name="_Toc137810156"/>
      <w:bookmarkStart w:id="2264" w:name="_Toc138429489"/>
      <w:bookmarkStart w:id="2265" w:name="_Toc138430324"/>
      <w:bookmarkStart w:id="2266" w:name="_Toc138856475"/>
      <w:bookmarkStart w:id="2267" w:name="_Toc138857769"/>
      <w:bookmarkStart w:id="2268" w:name="_Toc138860578"/>
      <w:bookmarkStart w:id="2269" w:name="_Toc147141877"/>
      <w:bookmarkStart w:id="2270" w:name="_Toc173222734"/>
      <w:bookmarkStart w:id="2271" w:name="_Toc200375751"/>
      <w:bookmarkStart w:id="2272" w:name="_Toc200377000"/>
      <w:r>
        <w:t xml:space="preserve">Over-Income </w:t>
      </w:r>
      <w:r w:rsidRPr="006E4F3B">
        <w:t>Reporting Requirement</w:t>
      </w:r>
      <w:bookmarkEnd w:id="2260"/>
      <w:bookmarkEnd w:id="2261"/>
      <w:bookmarkEnd w:id="2262"/>
      <w:bookmarkEnd w:id="2263"/>
      <w:bookmarkEnd w:id="2264"/>
      <w:bookmarkEnd w:id="2265"/>
      <w:bookmarkEnd w:id="2266"/>
      <w:bookmarkEnd w:id="2267"/>
      <w:bookmarkEnd w:id="2268"/>
      <w:bookmarkEnd w:id="2269"/>
      <w:bookmarkEnd w:id="2270"/>
      <w:bookmarkEnd w:id="2271"/>
      <w:bookmarkEnd w:id="2272"/>
    </w:p>
    <w:p w14:paraId="6CB273DA" w14:textId="77777777" w:rsidR="0052443C" w:rsidRPr="00ED702A" w:rsidRDefault="0052443C" w:rsidP="00ED702A">
      <w:pPr>
        <w:rPr>
          <w:rFonts w:cs="Arial"/>
        </w:rPr>
      </w:pPr>
      <w:r w:rsidRPr="00ED702A">
        <w:rPr>
          <w:rFonts w:cs="Arial"/>
        </w:rPr>
        <w:t>HHA must report to HUD each year the number of over-income families living in public housing and the number of families on its waiting list. This report will specify as of the end of the calendar year, the number of families residing in public housing with incomes exceeding the over-income limit and the number of families on the waiting lists for admission to public housing projects.</w:t>
      </w:r>
    </w:p>
    <w:p w14:paraId="1513522E" w14:textId="77777777" w:rsidR="0052443C" w:rsidRPr="00ED702A" w:rsidRDefault="0052443C" w:rsidP="007F177E">
      <w:pPr>
        <w:numPr>
          <w:ilvl w:val="1"/>
          <w:numId w:val="89"/>
        </w:numPr>
        <w:ind w:left="720"/>
        <w:rPr>
          <w:rFonts w:cs="Arial"/>
        </w:rPr>
      </w:pPr>
      <w:r w:rsidRPr="00ED702A">
        <w:rPr>
          <w:rFonts w:cs="Arial"/>
        </w:rPr>
        <w:t xml:space="preserve">The number of families residing in public housing with incomes exceeding the over-income limitation will include the number of families in the 24-month grace period (or upon HUD approval, the 36-month grace period), those that are in the period before termination, those that are NPHOI families paying the alternative rent, and any other information regarding over-income families requested by HUD. </w:t>
      </w:r>
    </w:p>
    <w:p w14:paraId="21447C6A" w14:textId="77777777" w:rsidR="0052443C" w:rsidRPr="00ED702A" w:rsidRDefault="0052443C" w:rsidP="007F177E">
      <w:pPr>
        <w:numPr>
          <w:ilvl w:val="1"/>
          <w:numId w:val="89"/>
        </w:numPr>
        <w:ind w:left="720"/>
        <w:rPr>
          <w:rFonts w:cs="Arial"/>
        </w:rPr>
      </w:pPr>
      <w:r w:rsidRPr="00ED702A">
        <w:rPr>
          <w:rFonts w:cs="Arial"/>
        </w:rPr>
        <w:t>Beginning January 1, 2024, HHA will report annually on the number of families on waiting lists for admission to public housing. Waiting list data will include all public housing waiting lists with duplicates removed and will be current as of December 31 of the previous calendar year.</w:t>
      </w:r>
    </w:p>
    <w:p w14:paraId="5B65AFD8" w14:textId="77777777" w:rsidR="0052443C" w:rsidRPr="00ED702A" w:rsidRDefault="0052443C" w:rsidP="00ED702A">
      <w:pPr>
        <w:pStyle w:val="BodyText"/>
        <w:spacing w:after="160" w:line="259" w:lineRule="auto"/>
        <w:ind w:right="21"/>
        <w:jc w:val="both"/>
        <w:rPr>
          <w:rFonts w:eastAsiaTheme="minorHAnsi"/>
          <w:sz w:val="22"/>
          <w:szCs w:val="22"/>
        </w:rPr>
      </w:pPr>
      <w:r w:rsidRPr="00ED702A">
        <w:rPr>
          <w:rFonts w:eastAsiaTheme="minorHAnsi"/>
          <w:sz w:val="22"/>
          <w:szCs w:val="22"/>
        </w:rPr>
        <w:t>These reports will be publicly available.</w:t>
      </w:r>
    </w:p>
    <w:p w14:paraId="6717DA4B" w14:textId="77777777" w:rsidR="0052443C" w:rsidRPr="006E4F3B" w:rsidRDefault="0052443C" w:rsidP="00ED702A">
      <w:pPr>
        <w:pStyle w:val="Heading2"/>
      </w:pPr>
      <w:bookmarkStart w:id="2273" w:name="_Toc132627458"/>
      <w:bookmarkStart w:id="2274" w:name="_Ref136503706"/>
      <w:bookmarkStart w:id="2275" w:name="_Toc137809059"/>
      <w:bookmarkStart w:id="2276" w:name="_Toc137809601"/>
      <w:bookmarkStart w:id="2277" w:name="_Toc137809845"/>
      <w:bookmarkStart w:id="2278" w:name="_Toc137810157"/>
      <w:bookmarkStart w:id="2279" w:name="_Toc138429490"/>
      <w:bookmarkStart w:id="2280" w:name="_Toc138430325"/>
      <w:bookmarkStart w:id="2281" w:name="_Toc138856476"/>
      <w:bookmarkStart w:id="2282" w:name="_Toc138857770"/>
      <w:bookmarkStart w:id="2283" w:name="_Toc138860579"/>
      <w:bookmarkStart w:id="2284" w:name="_Toc147141878"/>
      <w:bookmarkStart w:id="2285" w:name="_Ref163721976"/>
      <w:bookmarkStart w:id="2286" w:name="_Toc173222735"/>
      <w:bookmarkStart w:id="2287" w:name="_Toc200375752"/>
      <w:bookmarkStart w:id="2288" w:name="_Toc200377001"/>
      <w:r w:rsidRPr="006E4F3B">
        <w:t>Leasing and Non-Public Housing Over-Income Families</w:t>
      </w:r>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p>
    <w:p w14:paraId="191E4D82" w14:textId="77777777" w:rsidR="0052443C" w:rsidRPr="006E4F3B" w:rsidRDefault="0052443C" w:rsidP="00ED702A">
      <w:pPr>
        <w:rPr>
          <w:rFonts w:cs="Arial"/>
        </w:rPr>
      </w:pPr>
      <w:r>
        <w:rPr>
          <w:rFonts w:cs="Arial"/>
        </w:rPr>
        <w:t xml:space="preserve">If an over-income family </w:t>
      </w:r>
      <w:r w:rsidRPr="006E4F3B">
        <w:rPr>
          <w:rFonts w:cs="Arial"/>
        </w:rPr>
        <w:t xml:space="preserve">elects to remain in a public housing unit paying the alternative non-public housing rent, HHA and each </w:t>
      </w:r>
      <w:r>
        <w:rPr>
          <w:rFonts w:cs="Arial"/>
        </w:rPr>
        <w:t>over-income</w:t>
      </w:r>
      <w:r w:rsidRPr="006E4F3B">
        <w:rPr>
          <w:rFonts w:cs="Arial"/>
        </w:rPr>
        <w:t xml:space="preserve"> family must enter into a </w:t>
      </w:r>
      <w:r>
        <w:rPr>
          <w:rFonts w:cs="Arial"/>
        </w:rPr>
        <w:t>Non-Public Housing Over-Income (</w:t>
      </w:r>
      <w:r w:rsidRPr="006E4F3B">
        <w:rPr>
          <w:rFonts w:cs="Arial"/>
        </w:rPr>
        <w:t>NPHOI</w:t>
      </w:r>
      <w:r>
        <w:rPr>
          <w:rFonts w:cs="Arial"/>
        </w:rPr>
        <w:t xml:space="preserve">) </w:t>
      </w:r>
      <w:r w:rsidRPr="006E4F3B">
        <w:rPr>
          <w:rFonts w:cs="Arial"/>
        </w:rPr>
        <w:t xml:space="preserve">lease effective no later than 60 days after the applicable over-income notice provided or at the next lease renewal, whichever is sooner. </w:t>
      </w:r>
    </w:p>
    <w:p w14:paraId="3A903B09" w14:textId="77777777" w:rsidR="0052443C" w:rsidRPr="006E4F3B" w:rsidRDefault="0052443C" w:rsidP="00ED702A">
      <w:pPr>
        <w:rPr>
          <w:rFonts w:cs="Arial"/>
        </w:rPr>
      </w:pPr>
      <w:r w:rsidRPr="006E4F3B">
        <w:rPr>
          <w:rFonts w:cs="Arial"/>
        </w:rPr>
        <w:t xml:space="preserve">An over-income family that declines to pay the alternative rent or enter into a </w:t>
      </w:r>
      <w:r>
        <w:rPr>
          <w:rFonts w:cs="Arial"/>
        </w:rPr>
        <w:t>N</w:t>
      </w:r>
      <w:r w:rsidRPr="006E4F3B">
        <w:rPr>
          <w:rFonts w:cs="Arial"/>
        </w:rPr>
        <w:t>PHOI lease will continue to be a public housing program participant in the period before termination. Such termination will become effective no more than six months after the end of the 24-month grace period</w:t>
      </w:r>
      <w:r>
        <w:rPr>
          <w:rFonts w:cs="Arial"/>
        </w:rPr>
        <w:t xml:space="preserve"> (or upon HUD approval, the 36-month grace period)</w:t>
      </w:r>
      <w:r w:rsidRPr="006E4F3B">
        <w:rPr>
          <w:rFonts w:cs="Arial"/>
        </w:rPr>
        <w:t xml:space="preserve">. </w:t>
      </w:r>
    </w:p>
    <w:p w14:paraId="4A3594B2" w14:textId="77777777" w:rsidR="0052443C" w:rsidRPr="006E4F3B" w:rsidRDefault="0052443C" w:rsidP="00ED702A">
      <w:pPr>
        <w:adjustRightInd w:val="0"/>
        <w:rPr>
          <w:rFonts w:cs="Arial"/>
        </w:rPr>
      </w:pPr>
      <w:r w:rsidRPr="006E4F3B">
        <w:rPr>
          <w:rFonts w:cs="Arial"/>
        </w:rPr>
        <w:t>HHA may permit the family to execute a new lease after the deadline, but before termination of the tenancy, if the over-income family pays HHA the total difference between the alternative rent and their public housing rent dating back to the date that is the earlier of 60 days after the date the final notice or the date that would have been the next public housing lease renewal.</w:t>
      </w:r>
    </w:p>
    <w:p w14:paraId="049654FF" w14:textId="77777777" w:rsidR="0052443C" w:rsidRDefault="0052443C" w:rsidP="00ED702A">
      <w:pPr>
        <w:rPr>
          <w:rFonts w:cs="Arial"/>
        </w:rPr>
      </w:pPr>
      <w:r w:rsidRPr="006E4F3B">
        <w:rPr>
          <w:rFonts w:cs="Arial"/>
        </w:rPr>
        <w:t>Once the new lease is executed, an NPHOI family may only be readmitted into the public</w:t>
      </w:r>
      <w:r>
        <w:rPr>
          <w:rFonts w:cs="Arial"/>
        </w:rPr>
        <w:t xml:space="preserve"> </w:t>
      </w:r>
      <w:r w:rsidRPr="006E4F3B">
        <w:rPr>
          <w:rFonts w:cs="Arial"/>
        </w:rPr>
        <w:t>housing program if they reapply to the public housing progra</w:t>
      </w:r>
      <w:r>
        <w:rPr>
          <w:rFonts w:cs="Arial"/>
        </w:rPr>
        <w:t>m and their eligibility is redetermined in accordance with this ACOP.</w:t>
      </w:r>
    </w:p>
    <w:p w14:paraId="1647766F" w14:textId="77777777" w:rsidR="0052443C" w:rsidRDefault="0052443C" w:rsidP="00ED702A">
      <w:pPr>
        <w:rPr>
          <w:rFonts w:cs="Arial"/>
        </w:rPr>
      </w:pPr>
      <w:r>
        <w:rPr>
          <w:rFonts w:cs="Arial"/>
        </w:rPr>
        <w:t xml:space="preserve">Additional information about lease requirements and security deposits can be found in the Leasing section under </w:t>
      </w:r>
      <w:r w:rsidRPr="00091704">
        <w:rPr>
          <w:rFonts w:cs="Arial"/>
          <w:b/>
          <w:bCs/>
          <w:color w:val="0070C0"/>
        </w:rPr>
        <w:fldChar w:fldCharType="begin"/>
      </w:r>
      <w:r w:rsidRPr="00091704">
        <w:rPr>
          <w:rFonts w:cs="Arial"/>
          <w:b/>
          <w:bCs/>
          <w:color w:val="0070C0"/>
        </w:rPr>
        <w:instrText xml:space="preserve"> REF _Ref136505199 \h </w:instrText>
      </w:r>
      <w:r>
        <w:rPr>
          <w:rFonts w:cs="Arial"/>
          <w:b/>
          <w:bCs/>
          <w:color w:val="0070C0"/>
        </w:rPr>
        <w:instrText xml:space="preserve"> \* MERGEFORMAT </w:instrText>
      </w:r>
      <w:r w:rsidRPr="00091704">
        <w:rPr>
          <w:rFonts w:cs="Arial"/>
          <w:b/>
          <w:bCs/>
          <w:color w:val="0070C0"/>
        </w:rPr>
      </w:r>
      <w:r w:rsidRPr="00091704">
        <w:rPr>
          <w:rFonts w:cs="Arial"/>
          <w:b/>
          <w:bCs/>
          <w:color w:val="0070C0"/>
        </w:rPr>
        <w:fldChar w:fldCharType="separate"/>
      </w:r>
      <w:r w:rsidRPr="00542597">
        <w:rPr>
          <w:b/>
          <w:bCs/>
          <w:color w:val="0070C0"/>
        </w:rPr>
        <w:t>NPHOI Lease Requirements</w:t>
      </w:r>
      <w:r w:rsidRPr="00091704">
        <w:rPr>
          <w:rFonts w:cs="Arial"/>
          <w:b/>
          <w:bCs/>
          <w:color w:val="0070C0"/>
        </w:rPr>
        <w:fldChar w:fldCharType="end"/>
      </w:r>
      <w:r>
        <w:rPr>
          <w:rFonts w:cs="Arial"/>
        </w:rPr>
        <w:t>.</w:t>
      </w:r>
    </w:p>
    <w:p w14:paraId="4E9731DA" w14:textId="77777777" w:rsidR="0052443C" w:rsidRDefault="0052443C" w:rsidP="00ED702A">
      <w:pPr>
        <w:pStyle w:val="Heading2"/>
      </w:pPr>
      <w:bookmarkStart w:id="2289" w:name="_Ref136504542"/>
      <w:bookmarkStart w:id="2290" w:name="_Ref136504745"/>
      <w:bookmarkStart w:id="2291" w:name="_Toc137809060"/>
      <w:bookmarkStart w:id="2292" w:name="_Toc137809602"/>
      <w:bookmarkStart w:id="2293" w:name="_Toc137809846"/>
      <w:bookmarkStart w:id="2294" w:name="_Toc137810158"/>
      <w:bookmarkStart w:id="2295" w:name="_Toc138429491"/>
      <w:bookmarkStart w:id="2296" w:name="_Toc138430326"/>
      <w:bookmarkStart w:id="2297" w:name="_Toc138856477"/>
      <w:bookmarkStart w:id="2298" w:name="_Toc138857771"/>
      <w:bookmarkStart w:id="2299" w:name="_Toc138860580"/>
      <w:bookmarkStart w:id="2300" w:name="_Toc147141879"/>
      <w:bookmarkStart w:id="2301" w:name="_Toc173222736"/>
      <w:bookmarkStart w:id="2302" w:name="_Toc200375753"/>
      <w:bookmarkStart w:id="2303" w:name="_Toc200377002"/>
      <w:r>
        <w:t>Alternative Rent</w:t>
      </w:r>
      <w:bookmarkEnd w:id="2289"/>
      <w:r>
        <w:t xml:space="preserve"> for NPHOI Families</w:t>
      </w:r>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p>
    <w:p w14:paraId="19605482" w14:textId="77777777" w:rsidR="0052443C" w:rsidRPr="006E4F3B" w:rsidRDefault="0052443C" w:rsidP="00ED702A">
      <w:pPr>
        <w:rPr>
          <w:rFonts w:cs="Arial"/>
        </w:rPr>
      </w:pPr>
      <w:r w:rsidRPr="006E4F3B">
        <w:rPr>
          <w:rFonts w:cs="Arial"/>
        </w:rPr>
        <w:t xml:space="preserve">The alternative rent for a </w:t>
      </w:r>
      <w:r>
        <w:rPr>
          <w:rFonts w:cs="Arial"/>
        </w:rPr>
        <w:t>Non-Public Housing Over-Income (</w:t>
      </w:r>
      <w:r w:rsidRPr="006E4F3B">
        <w:rPr>
          <w:rFonts w:cs="Arial"/>
        </w:rPr>
        <w:t>NPHOI</w:t>
      </w:r>
      <w:r>
        <w:rPr>
          <w:rFonts w:cs="Arial"/>
        </w:rPr>
        <w:t>)</w:t>
      </w:r>
      <w:r w:rsidRPr="006E4F3B">
        <w:rPr>
          <w:rFonts w:cs="Arial"/>
        </w:rPr>
        <w:t xml:space="preserve"> family</w:t>
      </w:r>
      <w:r>
        <w:rPr>
          <w:rFonts w:cs="Arial"/>
        </w:rPr>
        <w:t xml:space="preserve"> </w:t>
      </w:r>
      <w:r w:rsidRPr="006E4F3B">
        <w:rPr>
          <w:rFonts w:cs="Arial"/>
        </w:rPr>
        <w:t>will be the higher of the:</w:t>
      </w:r>
    </w:p>
    <w:p w14:paraId="1F96D0AD" w14:textId="77777777" w:rsidR="0052443C" w:rsidRPr="006E4F3B" w:rsidRDefault="0052443C" w:rsidP="007F177E">
      <w:pPr>
        <w:pStyle w:val="ListParagraph"/>
        <w:numPr>
          <w:ilvl w:val="0"/>
          <w:numId w:val="88"/>
        </w:numPr>
        <w:contextualSpacing w:val="0"/>
        <w:rPr>
          <w:rFonts w:cs="Arial"/>
        </w:rPr>
      </w:pPr>
      <w:r w:rsidRPr="006E4F3B">
        <w:rPr>
          <w:rFonts w:cs="Arial"/>
        </w:rPr>
        <w:t>Applicable fair market rent (FMR) for the unit size occupied by the family; or</w:t>
      </w:r>
    </w:p>
    <w:p w14:paraId="77D04154" w14:textId="77777777" w:rsidR="0052443C" w:rsidRPr="006E4F3B" w:rsidRDefault="0052443C" w:rsidP="007F177E">
      <w:pPr>
        <w:pStyle w:val="ListParagraph"/>
        <w:numPr>
          <w:ilvl w:val="0"/>
          <w:numId w:val="88"/>
        </w:numPr>
        <w:contextualSpacing w:val="0"/>
        <w:rPr>
          <w:rFonts w:cs="Arial"/>
        </w:rPr>
      </w:pPr>
      <w:r w:rsidRPr="006E4F3B">
        <w:rPr>
          <w:rFonts w:cs="Arial"/>
        </w:rPr>
        <w:t>Amount of monthly subsidy provided for the unit which HUD will publish each year by December 31.</w:t>
      </w:r>
    </w:p>
    <w:p w14:paraId="0B673479" w14:textId="77777777" w:rsidR="0052443C" w:rsidRPr="006E4F3B" w:rsidRDefault="0052443C" w:rsidP="00ED702A">
      <w:pPr>
        <w:rPr>
          <w:rFonts w:cs="Arial"/>
        </w:rPr>
      </w:pPr>
      <w:bookmarkStart w:id="2304" w:name="_Hlk129273643"/>
      <w:r w:rsidRPr="006E4F3B">
        <w:rPr>
          <w:rFonts w:cs="Arial"/>
        </w:rPr>
        <w:t xml:space="preserve">The amount of the monthly subsidy will be determined by adding the per unit assistance provided to the housing property as calculated through the applicable formulas for the Public Housing Capital Fund and Public Housing Operating Fund. </w:t>
      </w:r>
    </w:p>
    <w:bookmarkEnd w:id="2304"/>
    <w:p w14:paraId="1154AA4D" w14:textId="77777777" w:rsidR="0052443C" w:rsidRPr="006E4F3B" w:rsidRDefault="0052443C" w:rsidP="00ED702A">
      <w:pPr>
        <w:rPr>
          <w:rFonts w:cs="Arial"/>
        </w:rPr>
      </w:pPr>
      <w:r w:rsidRPr="006E4F3B">
        <w:rPr>
          <w:rFonts w:cs="Arial"/>
        </w:rPr>
        <w:t xml:space="preserve">NPHOI families are not entitled to a utility allowance and will not have the option of an income based or flat rent. Mixed families who are NPHOI pay the alternative rent; however there is no proration of the rent. </w:t>
      </w:r>
    </w:p>
    <w:p w14:paraId="7816031E" w14:textId="77777777" w:rsidR="0052443C" w:rsidRDefault="0052443C" w:rsidP="00BC0DB5">
      <w:pPr>
        <w:pStyle w:val="00Normal"/>
      </w:pPr>
    </w:p>
    <w:p w14:paraId="7F828A1C" w14:textId="77777777" w:rsidR="0052443C" w:rsidRPr="00BC0DB5" w:rsidRDefault="0052443C" w:rsidP="00BC0DB5">
      <w:pPr>
        <w:pStyle w:val="00Normal"/>
        <w:sectPr w:rsidR="0052443C" w:rsidRPr="00BC0DB5" w:rsidSect="00EE2233">
          <w:pgSz w:w="12240" w:h="15840"/>
          <w:pgMar w:top="1440" w:right="1440" w:bottom="1440" w:left="1440" w:header="720" w:footer="720" w:gutter="0"/>
          <w:cols w:space="720"/>
          <w:docGrid w:linePitch="360"/>
        </w:sectPr>
      </w:pPr>
    </w:p>
    <w:p w14:paraId="4DF949E2" w14:textId="77777777" w:rsidR="00A95B1E" w:rsidRPr="00C946F5" w:rsidRDefault="00FC7AE2" w:rsidP="00A95B1E">
      <w:pPr>
        <w:pStyle w:val="Heading1"/>
        <w:ind w:left="0" w:firstLine="0"/>
      </w:pPr>
      <w:bookmarkStart w:id="2305" w:name="_Ref151015710"/>
      <w:bookmarkStart w:id="2306" w:name="_Toc173222737"/>
      <w:bookmarkStart w:id="2307" w:name="_Toc200375754"/>
      <w:bookmarkStart w:id="2308" w:name="_Toc200377003"/>
      <w:r w:rsidRPr="00C946F5">
        <w:t>REEXAMINATIONS</w:t>
      </w:r>
      <w:r w:rsidR="00EB1039" w:rsidRPr="00C946F5">
        <w:t xml:space="preserve"> AND CONTINUED OCCUPANCY</w:t>
      </w:r>
      <w:bookmarkEnd w:id="2305"/>
      <w:bookmarkEnd w:id="2306"/>
      <w:bookmarkEnd w:id="2307"/>
      <w:bookmarkEnd w:id="2308"/>
    </w:p>
    <w:p w14:paraId="6F944ABA" w14:textId="77777777" w:rsidR="00DB4396" w:rsidRPr="005A21D5" w:rsidRDefault="005A21D5" w:rsidP="005A21D5">
      <w:pPr>
        <w:pStyle w:val="Heading2"/>
      </w:pPr>
      <w:bookmarkStart w:id="2309" w:name="_Toc527019559"/>
      <w:bookmarkStart w:id="2310" w:name="_Toc534707097"/>
      <w:bookmarkStart w:id="2311" w:name="_Toc534707775"/>
      <w:bookmarkStart w:id="2312" w:name="_Toc534708583"/>
      <w:bookmarkStart w:id="2313" w:name="_Toc106037917"/>
      <w:bookmarkStart w:id="2314" w:name="_Toc106201556"/>
      <w:bookmarkStart w:id="2315" w:name="_Toc106202075"/>
      <w:bookmarkStart w:id="2316" w:name="_Toc106202601"/>
      <w:bookmarkStart w:id="2317" w:name="_Toc113345056"/>
      <w:bookmarkStart w:id="2318" w:name="_Toc137460409"/>
      <w:bookmarkStart w:id="2319" w:name="_Toc137460654"/>
      <w:bookmarkStart w:id="2320" w:name="_Toc137460899"/>
      <w:bookmarkStart w:id="2321" w:name="_Toc137461796"/>
      <w:bookmarkStart w:id="2322" w:name="_Toc137471387"/>
      <w:bookmarkStart w:id="2323" w:name="_Toc137471896"/>
      <w:bookmarkStart w:id="2324" w:name="_Toc173222738"/>
      <w:bookmarkStart w:id="2325" w:name="_Toc200375755"/>
      <w:bookmarkStart w:id="2326" w:name="_Toc200377004"/>
      <w:r w:rsidRPr="005A21D5">
        <w:t>Introduction</w:t>
      </w:r>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p>
    <w:p w14:paraId="4A80CAB5" w14:textId="32BCFDEF" w:rsidR="00AD298B" w:rsidRPr="00765546" w:rsidRDefault="006055D6" w:rsidP="00AD298B">
      <w:r>
        <w:rPr>
          <w:rFonts w:cs="Arial"/>
          <w:szCs w:val="20"/>
        </w:rPr>
        <w:t>HHA</w:t>
      </w:r>
      <w:r w:rsidRPr="00765546">
        <w:rPr>
          <w:rFonts w:cs="Arial"/>
          <w:szCs w:val="20"/>
        </w:rPr>
        <w:t xml:space="preserve"> </w:t>
      </w:r>
      <w:r>
        <w:rPr>
          <w:rFonts w:cs="Arial"/>
          <w:szCs w:val="20"/>
        </w:rPr>
        <w:t>periodically reexamines</w:t>
      </w:r>
      <w:r w:rsidRPr="00765546">
        <w:rPr>
          <w:rFonts w:cs="Arial"/>
          <w:szCs w:val="20"/>
        </w:rPr>
        <w:t xml:space="preserve"> each family’s income and composition and adjusts the family’s level of assistance accordingly. Interim reexaminations </w:t>
      </w:r>
      <w:r>
        <w:rPr>
          <w:rFonts w:cs="Arial"/>
          <w:szCs w:val="20"/>
        </w:rPr>
        <w:t>may</w:t>
      </w:r>
      <w:r w:rsidRPr="00765546">
        <w:rPr>
          <w:rFonts w:cs="Arial"/>
          <w:szCs w:val="20"/>
        </w:rPr>
        <w:t xml:space="preserve"> also</w:t>
      </w:r>
      <w:r>
        <w:rPr>
          <w:rFonts w:cs="Arial"/>
          <w:szCs w:val="20"/>
        </w:rPr>
        <w:t xml:space="preserve"> be</w:t>
      </w:r>
      <w:r w:rsidRPr="00765546">
        <w:rPr>
          <w:rFonts w:cs="Arial"/>
          <w:szCs w:val="20"/>
        </w:rPr>
        <w:t xml:space="preserve"> needed in certain situations. </w:t>
      </w:r>
      <w:r w:rsidR="00DB4396" w:rsidRPr="00122C89">
        <w:rPr>
          <w:rFonts w:cs="Arial"/>
          <w:szCs w:val="20"/>
        </w:rPr>
        <w:t>This chapter discusses regular and interim reexaminations</w:t>
      </w:r>
      <w:r w:rsidR="00AD298B" w:rsidRPr="00AD298B">
        <w:rPr>
          <w:rFonts w:cs="Arial"/>
          <w:szCs w:val="20"/>
        </w:rPr>
        <w:t xml:space="preserve"> </w:t>
      </w:r>
      <w:r w:rsidR="00AD298B" w:rsidRPr="00765546">
        <w:rPr>
          <w:rFonts w:cs="Arial"/>
          <w:szCs w:val="20"/>
        </w:rPr>
        <w:t xml:space="preserve">and the recalculation of family share and subsidy that occurs as a result. </w:t>
      </w:r>
    </w:p>
    <w:p w14:paraId="51A16F21" w14:textId="77777777" w:rsidR="00DB4396" w:rsidRPr="002965D3" w:rsidRDefault="0019324C" w:rsidP="00DB4396">
      <w:pPr>
        <w:pStyle w:val="Heading2"/>
      </w:pPr>
      <w:bookmarkStart w:id="2327" w:name="_Toc527019560"/>
      <w:bookmarkStart w:id="2328" w:name="_Toc534707098"/>
      <w:bookmarkStart w:id="2329" w:name="_Toc534707776"/>
      <w:bookmarkStart w:id="2330" w:name="_Toc534708584"/>
      <w:bookmarkStart w:id="2331" w:name="_Toc106037918"/>
      <w:bookmarkStart w:id="2332" w:name="_Toc106201557"/>
      <w:bookmarkStart w:id="2333" w:name="_Toc106202076"/>
      <w:bookmarkStart w:id="2334" w:name="_Toc106202602"/>
      <w:bookmarkStart w:id="2335" w:name="_Toc113345057"/>
      <w:bookmarkStart w:id="2336" w:name="_Toc137460410"/>
      <w:bookmarkStart w:id="2337" w:name="_Toc137460655"/>
      <w:bookmarkStart w:id="2338" w:name="_Toc137460900"/>
      <w:bookmarkStart w:id="2339" w:name="_Toc137461797"/>
      <w:bookmarkStart w:id="2340" w:name="_Toc137471388"/>
      <w:bookmarkStart w:id="2341" w:name="_Toc137471897"/>
      <w:bookmarkStart w:id="2342" w:name="_Toc173222739"/>
      <w:bookmarkStart w:id="2343" w:name="_Toc200375756"/>
      <w:bookmarkStart w:id="2344" w:name="_Toc200377005"/>
      <w:r w:rsidRPr="002965D3">
        <w:t xml:space="preserve">Requirements </w:t>
      </w:r>
      <w:r>
        <w:t>f</w:t>
      </w:r>
      <w:r w:rsidRPr="002965D3">
        <w:t>or Continued Occupancy</w:t>
      </w:r>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p>
    <w:p w14:paraId="3931195C" w14:textId="77777777" w:rsidR="00DB4396" w:rsidRPr="002965D3" w:rsidRDefault="00DB4396" w:rsidP="0019324C">
      <w:pPr>
        <w:widowControl w:val="0"/>
      </w:pPr>
      <w:r w:rsidRPr="002965D3">
        <w:t>Residents who meet the following criteria will be eligible for continued occupancy:</w:t>
      </w:r>
    </w:p>
    <w:p w14:paraId="2BA6A621" w14:textId="77777777" w:rsidR="00DB4396" w:rsidRPr="002965D3" w:rsidRDefault="00DB4396" w:rsidP="007F177E">
      <w:pPr>
        <w:pStyle w:val="ListParagraph"/>
        <w:widowControl w:val="0"/>
        <w:numPr>
          <w:ilvl w:val="0"/>
          <w:numId w:val="266"/>
        </w:numPr>
        <w:ind w:left="720"/>
        <w:contextualSpacing w:val="0"/>
      </w:pPr>
      <w:r w:rsidRPr="002965D3">
        <w:t xml:space="preserve">Qualify as a family as defined </w:t>
      </w:r>
      <w:r w:rsidR="0019324C">
        <w:t xml:space="preserve">in the </w:t>
      </w:r>
      <w:r w:rsidRPr="002965D3">
        <w:t xml:space="preserve"> </w:t>
      </w:r>
      <w:r w:rsidR="0019324C" w:rsidRPr="0019324C">
        <w:rPr>
          <w:b/>
          <w:bCs/>
          <w:color w:val="0070C0"/>
        </w:rPr>
        <w:fldChar w:fldCharType="begin"/>
      </w:r>
      <w:r w:rsidR="0019324C" w:rsidRPr="0019324C">
        <w:rPr>
          <w:b/>
          <w:bCs/>
          <w:color w:val="0070C0"/>
        </w:rPr>
        <w:instrText xml:space="preserve"> REF _Ref145412251 \h  \* MERGEFORMAT </w:instrText>
      </w:r>
      <w:r w:rsidR="0019324C" w:rsidRPr="0019324C">
        <w:rPr>
          <w:b/>
          <w:bCs/>
          <w:color w:val="0070C0"/>
        </w:rPr>
      </w:r>
      <w:r w:rsidR="0019324C" w:rsidRPr="0019324C">
        <w:rPr>
          <w:b/>
          <w:bCs/>
          <w:color w:val="0070C0"/>
        </w:rPr>
        <w:fldChar w:fldCharType="separate"/>
      </w:r>
      <w:r w:rsidR="0019324C" w:rsidRPr="0019324C">
        <w:rPr>
          <w:b/>
          <w:bCs/>
          <w:color w:val="0070C0"/>
        </w:rPr>
        <w:t>ELIGIBILITY</w:t>
      </w:r>
      <w:r w:rsidR="0019324C" w:rsidRPr="0019324C">
        <w:rPr>
          <w:b/>
          <w:bCs/>
          <w:color w:val="0070C0"/>
        </w:rPr>
        <w:fldChar w:fldCharType="end"/>
      </w:r>
      <w:r w:rsidR="0019324C">
        <w:rPr>
          <w:b/>
          <w:bCs/>
          <w:color w:val="0070C0"/>
        </w:rPr>
        <w:t xml:space="preserve"> </w:t>
      </w:r>
      <w:r w:rsidR="0019324C" w:rsidRPr="0019324C">
        <w:t>chapter</w:t>
      </w:r>
      <w:r w:rsidRPr="002965D3">
        <w:t>;</w:t>
      </w:r>
    </w:p>
    <w:p w14:paraId="3340134F" w14:textId="77777777" w:rsidR="00DB4396" w:rsidRPr="002965D3" w:rsidRDefault="00DB4396" w:rsidP="007F177E">
      <w:pPr>
        <w:pStyle w:val="ListParagraph"/>
        <w:widowControl w:val="0"/>
        <w:numPr>
          <w:ilvl w:val="0"/>
          <w:numId w:val="266"/>
        </w:numPr>
        <w:ind w:left="720"/>
        <w:contextualSpacing w:val="0"/>
      </w:pPr>
      <w:r w:rsidRPr="002965D3">
        <w:t xml:space="preserve">Are in full compliance with the obligations and responsibilities described in the dwelling lease; </w:t>
      </w:r>
    </w:p>
    <w:p w14:paraId="3C3196F0" w14:textId="77777777" w:rsidR="00DB4396" w:rsidRPr="002965D3" w:rsidRDefault="00DB4396" w:rsidP="007F177E">
      <w:pPr>
        <w:pStyle w:val="ListParagraph"/>
        <w:numPr>
          <w:ilvl w:val="0"/>
          <w:numId w:val="266"/>
        </w:numPr>
        <w:tabs>
          <w:tab w:val="left" w:pos="820"/>
        </w:tabs>
        <w:ind w:left="720" w:right="-20"/>
        <w:contextualSpacing w:val="0"/>
      </w:pPr>
      <w:r w:rsidRPr="002965D3">
        <w:t xml:space="preserve">Are in full compliance with </w:t>
      </w:r>
      <w:r w:rsidR="0019324C">
        <w:t>HHA</w:t>
      </w:r>
      <w:r w:rsidRPr="002965D3">
        <w:t xml:space="preserve">’s policy on </w:t>
      </w:r>
      <w:r w:rsidR="0019324C" w:rsidRPr="0019324C">
        <w:rPr>
          <w:b/>
          <w:bCs/>
          <w:color w:val="0070C0"/>
        </w:rPr>
        <w:fldChar w:fldCharType="begin"/>
      </w:r>
      <w:r w:rsidR="0019324C" w:rsidRPr="0019324C">
        <w:rPr>
          <w:b/>
          <w:bCs/>
          <w:color w:val="0070C0"/>
        </w:rPr>
        <w:instrText xml:space="preserve"> REF _Ref150424972 \h  \* MERGEFORMAT </w:instrText>
      </w:r>
      <w:r w:rsidR="0019324C" w:rsidRPr="0019324C">
        <w:rPr>
          <w:b/>
          <w:bCs/>
          <w:color w:val="0070C0"/>
        </w:rPr>
      </w:r>
      <w:r w:rsidR="0019324C" w:rsidRPr="0019324C">
        <w:rPr>
          <w:b/>
          <w:bCs/>
          <w:color w:val="0070C0"/>
        </w:rPr>
        <w:fldChar w:fldCharType="separate"/>
      </w:r>
      <w:r w:rsidR="0019324C" w:rsidRPr="0019324C">
        <w:rPr>
          <w:b/>
          <w:bCs/>
          <w:color w:val="0070C0"/>
        </w:rPr>
        <w:t>COMMUNITY SERVICE</w:t>
      </w:r>
      <w:r w:rsidR="0019324C" w:rsidRPr="0019324C">
        <w:rPr>
          <w:b/>
          <w:bCs/>
          <w:color w:val="0070C0"/>
        </w:rPr>
        <w:fldChar w:fldCharType="end"/>
      </w:r>
      <w:r w:rsidRPr="002965D3">
        <w:t>;</w:t>
      </w:r>
    </w:p>
    <w:p w14:paraId="55785BD7" w14:textId="77777777" w:rsidR="00DB4396" w:rsidRDefault="00DB4396" w:rsidP="007F177E">
      <w:pPr>
        <w:widowControl w:val="0"/>
        <w:numPr>
          <w:ilvl w:val="0"/>
          <w:numId w:val="266"/>
        </w:numPr>
        <w:ind w:left="720"/>
      </w:pPr>
      <w:r w:rsidRPr="002965D3">
        <w:t xml:space="preserve">Meet HUD standards on citizenship or immigration status or pay a prorated rent; </w:t>
      </w:r>
    </w:p>
    <w:p w14:paraId="58D060F3" w14:textId="5E48117A" w:rsidR="00ED4701" w:rsidRDefault="00ED4701" w:rsidP="007D4F8E">
      <w:pPr>
        <w:pStyle w:val="ListParagraph"/>
        <w:numPr>
          <w:ilvl w:val="0"/>
          <w:numId w:val="266"/>
        </w:numPr>
        <w:spacing w:after="120"/>
        <w:ind w:left="720"/>
        <w:contextualSpacing w:val="0"/>
        <w:rPr>
          <w:rFonts w:cs="Arial"/>
          <w:szCs w:val="20"/>
        </w:rPr>
      </w:pPr>
      <w:r>
        <w:rPr>
          <w:rFonts w:cs="Arial"/>
          <w:szCs w:val="20"/>
        </w:rPr>
        <w:t xml:space="preserve">Upon implementation of HOTMA: comply with the </w:t>
      </w:r>
      <w:r w:rsidR="00FA137E" w:rsidRPr="00FA137E">
        <w:rPr>
          <w:rFonts w:cs="Arial"/>
          <w:b/>
          <w:bCs/>
          <w:color w:val="0070C0"/>
          <w:szCs w:val="20"/>
        </w:rPr>
        <w:fldChar w:fldCharType="begin"/>
      </w:r>
      <w:r w:rsidR="00FA137E" w:rsidRPr="00FA137E">
        <w:rPr>
          <w:rFonts w:cs="Arial"/>
          <w:szCs w:val="20"/>
        </w:rPr>
        <w:instrText xml:space="preserve"> REF _Ref144892635 \h </w:instrText>
      </w:r>
      <w:r w:rsidR="00FA137E">
        <w:rPr>
          <w:rFonts w:cs="Arial"/>
          <w:b/>
          <w:bCs/>
          <w:color w:val="0070C0"/>
          <w:szCs w:val="20"/>
        </w:rPr>
        <w:instrText xml:space="preserve"> \* MERGEFORMAT </w:instrText>
      </w:r>
      <w:r w:rsidR="00FA137E" w:rsidRPr="00FA137E">
        <w:rPr>
          <w:rFonts w:cs="Arial"/>
          <w:b/>
          <w:bCs/>
          <w:color w:val="0070C0"/>
          <w:szCs w:val="20"/>
        </w:rPr>
      </w:r>
      <w:r w:rsidR="00FA137E" w:rsidRPr="00FA137E">
        <w:rPr>
          <w:rFonts w:cs="Arial"/>
          <w:b/>
          <w:bCs/>
          <w:color w:val="0070C0"/>
          <w:szCs w:val="20"/>
        </w:rPr>
        <w:fldChar w:fldCharType="separate"/>
      </w:r>
      <w:r w:rsidR="00FA137E" w:rsidRPr="00FA137E">
        <w:rPr>
          <w:b/>
          <w:bCs/>
          <w:color w:val="0070C0"/>
        </w:rPr>
        <w:t>Asset Restrictions</w:t>
      </w:r>
      <w:r w:rsidR="00FA137E" w:rsidRPr="00FA137E">
        <w:rPr>
          <w:rFonts w:cs="Arial"/>
          <w:b/>
          <w:bCs/>
          <w:color w:val="0070C0"/>
          <w:szCs w:val="20"/>
        </w:rPr>
        <w:fldChar w:fldCharType="end"/>
      </w:r>
      <w:hyperlink w:anchor="_Asset_Restrictions" w:history="1"/>
      <w:r>
        <w:rPr>
          <w:rFonts w:cs="Arial"/>
          <w:szCs w:val="20"/>
        </w:rPr>
        <w:t xml:space="preserve">; </w:t>
      </w:r>
    </w:p>
    <w:p w14:paraId="05681B1B" w14:textId="77777777" w:rsidR="00DB4396" w:rsidRPr="002965D3" w:rsidRDefault="00DB4396" w:rsidP="007F177E">
      <w:pPr>
        <w:widowControl w:val="0"/>
        <w:numPr>
          <w:ilvl w:val="0"/>
          <w:numId w:val="266"/>
        </w:numPr>
        <w:ind w:left="720"/>
      </w:pPr>
      <w:r w:rsidRPr="002965D3">
        <w:t xml:space="preserve">Supply true and complete information that </w:t>
      </w:r>
      <w:r w:rsidR="0019324C">
        <w:t>HHA</w:t>
      </w:r>
      <w:r w:rsidRPr="002965D3">
        <w:t xml:space="preserve"> or HUD determines to be necessary to determine continued eligibility;</w:t>
      </w:r>
    </w:p>
    <w:p w14:paraId="05E47FAD" w14:textId="77777777" w:rsidR="00DB4396" w:rsidRPr="002965D3" w:rsidRDefault="00DB4396" w:rsidP="007F177E">
      <w:pPr>
        <w:widowControl w:val="0"/>
        <w:numPr>
          <w:ilvl w:val="0"/>
          <w:numId w:val="266"/>
        </w:numPr>
        <w:ind w:left="720"/>
      </w:pPr>
      <w:r w:rsidRPr="002965D3">
        <w:t>Disclose and verify Social Security numbers and sign and submit consent forms for obtaining information or have certifications on file indicating that they are not eligible to receive a Social Security number;</w:t>
      </w:r>
    </w:p>
    <w:p w14:paraId="2A02D169" w14:textId="77777777" w:rsidR="00DB4396" w:rsidRDefault="00DB4396" w:rsidP="007F177E">
      <w:pPr>
        <w:widowControl w:val="0"/>
        <w:numPr>
          <w:ilvl w:val="0"/>
          <w:numId w:val="266"/>
        </w:numPr>
        <w:tabs>
          <w:tab w:val="left" w:pos="820"/>
        </w:tabs>
        <w:ind w:left="720" w:right="-20"/>
      </w:pPr>
      <w:r w:rsidRPr="002965D3">
        <w:t xml:space="preserve">Where all adults have signed all HUD- and </w:t>
      </w:r>
      <w:r w:rsidR="0019324C">
        <w:t>HHA</w:t>
      </w:r>
      <w:r w:rsidRPr="002965D3">
        <w:t>-required releases</w:t>
      </w:r>
      <w:r w:rsidR="00A77B44">
        <w:t>;</w:t>
      </w:r>
      <w:r w:rsidR="00991AB8">
        <w:t xml:space="preserve"> and</w:t>
      </w:r>
    </w:p>
    <w:p w14:paraId="49288083" w14:textId="77777777" w:rsidR="00991AB8" w:rsidRPr="002965D3" w:rsidRDefault="00991AB8" w:rsidP="007F177E">
      <w:pPr>
        <w:widowControl w:val="0"/>
        <w:numPr>
          <w:ilvl w:val="0"/>
          <w:numId w:val="266"/>
        </w:numPr>
        <w:tabs>
          <w:tab w:val="left" w:pos="820"/>
        </w:tabs>
        <w:ind w:left="720" w:right="-20"/>
      </w:pPr>
      <w:r>
        <w:t>If run by HHA, pass a criminal background check.</w:t>
      </w:r>
    </w:p>
    <w:p w14:paraId="31D6F37D" w14:textId="77777777" w:rsidR="00DB4396" w:rsidRPr="002965D3" w:rsidRDefault="007668E0" w:rsidP="00DB4396">
      <w:pPr>
        <w:pStyle w:val="Heading2"/>
      </w:pPr>
      <w:bookmarkStart w:id="2345" w:name="_Toc106037919"/>
      <w:bookmarkStart w:id="2346" w:name="_Toc106201558"/>
      <w:bookmarkStart w:id="2347" w:name="_Toc106202077"/>
      <w:bookmarkStart w:id="2348" w:name="_Toc106202603"/>
      <w:bookmarkStart w:id="2349" w:name="_Toc113345058"/>
      <w:bookmarkStart w:id="2350" w:name="_Ref137452314"/>
      <w:bookmarkStart w:id="2351" w:name="_Toc137460411"/>
      <w:bookmarkStart w:id="2352" w:name="_Toc137460656"/>
      <w:bookmarkStart w:id="2353" w:name="_Toc137460901"/>
      <w:bookmarkStart w:id="2354" w:name="_Toc137461798"/>
      <w:bookmarkStart w:id="2355" w:name="_Toc137471389"/>
      <w:bookmarkStart w:id="2356" w:name="_Toc137471898"/>
      <w:bookmarkStart w:id="2357" w:name="_Toc173222740"/>
      <w:bookmarkStart w:id="2358" w:name="_Toc200375757"/>
      <w:bookmarkStart w:id="2359" w:name="_Toc200377006"/>
      <w:r w:rsidRPr="002965D3">
        <w:t>Over-Income Families</w:t>
      </w:r>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p>
    <w:p w14:paraId="1E47CA58" w14:textId="77777777" w:rsidR="00434B73" w:rsidRPr="00A2158C" w:rsidRDefault="00614F80" w:rsidP="00434B73">
      <w:r>
        <w:t xml:space="preserve">At </w:t>
      </w:r>
      <w:r w:rsidR="00197559">
        <w:t>each regular and</w:t>
      </w:r>
      <w:r w:rsidR="00A55063">
        <w:t xml:space="preserve"> interim</w:t>
      </w:r>
      <w:r w:rsidR="00197559">
        <w:t xml:space="preserve"> recertification, check to see whether the family is over income</w:t>
      </w:r>
      <w:r w:rsidR="00B44B53">
        <w:t xml:space="preserve">. If so, follow the policies and procedures in the </w:t>
      </w:r>
      <w:r w:rsidR="00B44B53" w:rsidRPr="00B44B53">
        <w:rPr>
          <w:b/>
          <w:bCs/>
          <w:color w:val="0070C0"/>
        </w:rPr>
        <w:fldChar w:fldCharType="begin"/>
      </w:r>
      <w:r w:rsidR="00B44B53" w:rsidRPr="00B44B53">
        <w:rPr>
          <w:b/>
          <w:bCs/>
          <w:color w:val="0070C0"/>
        </w:rPr>
        <w:instrText xml:space="preserve"> REF _Ref150425743 \h </w:instrText>
      </w:r>
      <w:r w:rsidR="00B44B53">
        <w:rPr>
          <w:b/>
          <w:bCs/>
          <w:color w:val="0070C0"/>
        </w:rPr>
        <w:instrText xml:space="preserve"> \* MERGEFORMAT </w:instrText>
      </w:r>
      <w:r w:rsidR="00B44B53" w:rsidRPr="00B44B53">
        <w:rPr>
          <w:b/>
          <w:bCs/>
          <w:color w:val="0070C0"/>
        </w:rPr>
      </w:r>
      <w:r w:rsidR="00B44B53" w:rsidRPr="00B44B53">
        <w:rPr>
          <w:b/>
          <w:bCs/>
          <w:color w:val="0070C0"/>
        </w:rPr>
        <w:fldChar w:fldCharType="separate"/>
      </w:r>
      <w:r w:rsidR="00B44B53" w:rsidRPr="00B44B53">
        <w:rPr>
          <w:b/>
          <w:bCs/>
          <w:color w:val="0070C0"/>
        </w:rPr>
        <w:t>OVER-INCOME FAMILIES</w:t>
      </w:r>
      <w:r w:rsidR="00B44B53" w:rsidRPr="00B44B53">
        <w:rPr>
          <w:b/>
          <w:bCs/>
          <w:color w:val="0070C0"/>
        </w:rPr>
        <w:fldChar w:fldCharType="end"/>
      </w:r>
      <w:r w:rsidR="00B44B53">
        <w:t xml:space="preserve"> chapter.</w:t>
      </w:r>
    </w:p>
    <w:p w14:paraId="432A53D5" w14:textId="77777777" w:rsidR="00DB4396" w:rsidRPr="00B44B53" w:rsidRDefault="00B44B53" w:rsidP="00DB4396">
      <w:pPr>
        <w:pStyle w:val="Heading2"/>
        <w:rPr>
          <w:spacing w:val="-2"/>
        </w:rPr>
      </w:pPr>
      <w:bookmarkStart w:id="2360" w:name="_Toc527019561"/>
      <w:bookmarkStart w:id="2361" w:name="_Toc534707099"/>
      <w:bookmarkStart w:id="2362" w:name="_Toc534707777"/>
      <w:bookmarkStart w:id="2363" w:name="_Toc534708585"/>
      <w:bookmarkStart w:id="2364" w:name="_Ref103006722"/>
      <w:bookmarkStart w:id="2365" w:name="_Toc106037920"/>
      <w:bookmarkStart w:id="2366" w:name="_Toc106201559"/>
      <w:bookmarkStart w:id="2367" w:name="_Toc106202078"/>
      <w:bookmarkStart w:id="2368" w:name="_Toc106202604"/>
      <w:bookmarkStart w:id="2369" w:name="_Toc113345059"/>
      <w:bookmarkStart w:id="2370" w:name="_Toc137460412"/>
      <w:bookmarkStart w:id="2371" w:name="_Toc137460657"/>
      <w:bookmarkStart w:id="2372" w:name="_Toc137460902"/>
      <w:bookmarkStart w:id="2373" w:name="_Toc137461803"/>
      <w:bookmarkStart w:id="2374" w:name="_Toc137471394"/>
      <w:bookmarkStart w:id="2375" w:name="_Toc137471903"/>
      <w:bookmarkStart w:id="2376" w:name="_Toc173222741"/>
      <w:bookmarkStart w:id="2377" w:name="_Toc200375758"/>
      <w:bookmarkStart w:id="2378" w:name="_Toc200377007"/>
      <w:r w:rsidRPr="00B44B53">
        <w:rPr>
          <w:spacing w:val="-2"/>
        </w:rPr>
        <w:t>Time Frames for Reporting Changes Required by Family Obligations</w:t>
      </w:r>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p>
    <w:p w14:paraId="49DEDF41" w14:textId="77777777" w:rsidR="00DB4396" w:rsidRPr="002965D3" w:rsidRDefault="00DB4396" w:rsidP="00DB4396">
      <w:pPr>
        <w:rPr>
          <w:rFonts w:cs="Arial"/>
          <w:szCs w:val="20"/>
        </w:rPr>
      </w:pPr>
      <w:r w:rsidRPr="002965D3">
        <w:rPr>
          <w:rFonts w:cs="Arial"/>
          <w:szCs w:val="20"/>
        </w:rPr>
        <w:t xml:space="preserve">Unless otherwise noted below, when the family must respond to a request or notify </w:t>
      </w:r>
      <w:r w:rsidR="0019324C">
        <w:rPr>
          <w:rFonts w:cs="Arial"/>
          <w:szCs w:val="20"/>
        </w:rPr>
        <w:t>HHA</w:t>
      </w:r>
      <w:r w:rsidRPr="002965D3">
        <w:rPr>
          <w:rFonts w:cs="Arial"/>
          <w:szCs w:val="20"/>
        </w:rPr>
        <w:t xml:space="preserve"> of a change, notifying </w:t>
      </w:r>
      <w:r w:rsidR="0019324C">
        <w:rPr>
          <w:rFonts w:cs="Arial"/>
          <w:szCs w:val="20"/>
        </w:rPr>
        <w:t>HHA</w:t>
      </w:r>
      <w:r w:rsidRPr="002965D3">
        <w:rPr>
          <w:rFonts w:cs="Arial"/>
          <w:szCs w:val="20"/>
        </w:rPr>
        <w:t xml:space="preserve"> of the request or change within </w:t>
      </w:r>
      <w:r w:rsidR="00A202B6">
        <w:rPr>
          <w:rFonts w:cs="Arial"/>
          <w:szCs w:val="20"/>
        </w:rPr>
        <w:t>fifteen</w:t>
      </w:r>
      <w:r w:rsidRPr="002965D3">
        <w:rPr>
          <w:rFonts w:cs="Arial"/>
          <w:szCs w:val="20"/>
        </w:rPr>
        <w:t xml:space="preserve"> (</w:t>
      </w:r>
      <w:r w:rsidR="00A202B6">
        <w:rPr>
          <w:rFonts w:cs="Arial"/>
          <w:szCs w:val="20"/>
        </w:rPr>
        <w:t>15</w:t>
      </w:r>
      <w:r w:rsidRPr="002965D3">
        <w:rPr>
          <w:rFonts w:cs="Arial"/>
          <w:szCs w:val="20"/>
        </w:rPr>
        <w:t xml:space="preserve">) </w:t>
      </w:r>
      <w:r w:rsidR="00A202B6">
        <w:rPr>
          <w:rFonts w:cs="Arial"/>
          <w:szCs w:val="20"/>
        </w:rPr>
        <w:t>calendar</w:t>
      </w:r>
      <w:r w:rsidRPr="002965D3">
        <w:rPr>
          <w:rFonts w:cs="Arial"/>
          <w:szCs w:val="20"/>
        </w:rPr>
        <w:t xml:space="preserve"> days is considered prompt notice.</w:t>
      </w:r>
    </w:p>
    <w:p w14:paraId="0627A865" w14:textId="77777777" w:rsidR="00DB4396" w:rsidRPr="002965D3" w:rsidRDefault="00DB4396" w:rsidP="00DB4396">
      <w:pPr>
        <w:rPr>
          <w:rFonts w:cs="Arial"/>
          <w:szCs w:val="20"/>
        </w:rPr>
      </w:pPr>
      <w:r w:rsidRPr="002965D3">
        <w:rPr>
          <w:rFonts w:cs="Arial"/>
          <w:szCs w:val="20"/>
        </w:rPr>
        <w:t xml:space="preserve">When a family is required to provide notice to </w:t>
      </w:r>
      <w:r w:rsidR="0019324C">
        <w:rPr>
          <w:rFonts w:cs="Arial"/>
          <w:szCs w:val="20"/>
        </w:rPr>
        <w:t>HHA</w:t>
      </w:r>
      <w:r w:rsidRPr="002965D3">
        <w:rPr>
          <w:rFonts w:cs="Arial"/>
          <w:szCs w:val="20"/>
        </w:rPr>
        <w:t>, the notice must be in writing.</w:t>
      </w:r>
    </w:p>
    <w:p w14:paraId="3A73CDC2" w14:textId="77777777" w:rsidR="00DB4396" w:rsidRPr="002965D3" w:rsidRDefault="00B44B53" w:rsidP="00DB4396">
      <w:pPr>
        <w:pStyle w:val="Heading2"/>
      </w:pPr>
      <w:bookmarkStart w:id="2379" w:name="_Toc527019562"/>
      <w:bookmarkStart w:id="2380" w:name="_Toc534707100"/>
      <w:bookmarkStart w:id="2381" w:name="_Toc534707778"/>
      <w:bookmarkStart w:id="2382" w:name="_Toc534708586"/>
      <w:bookmarkStart w:id="2383" w:name="_Ref1568995"/>
      <w:bookmarkStart w:id="2384" w:name="_Toc106037921"/>
      <w:bookmarkStart w:id="2385" w:name="_Toc106201560"/>
      <w:bookmarkStart w:id="2386" w:name="_Toc106202079"/>
      <w:bookmarkStart w:id="2387" w:name="_Toc106202605"/>
      <w:bookmarkStart w:id="2388" w:name="_Ref112156864"/>
      <w:bookmarkStart w:id="2389" w:name="_Toc113345060"/>
      <w:bookmarkStart w:id="2390" w:name="_Toc137460413"/>
      <w:bookmarkStart w:id="2391" w:name="_Toc137460658"/>
      <w:bookmarkStart w:id="2392" w:name="_Toc137460903"/>
      <w:bookmarkStart w:id="2393" w:name="_Toc137461804"/>
      <w:bookmarkStart w:id="2394" w:name="_Toc137471395"/>
      <w:bookmarkStart w:id="2395" w:name="_Toc137471904"/>
      <w:bookmarkStart w:id="2396" w:name="_Ref165032657"/>
      <w:bookmarkStart w:id="2397" w:name="_Ref165032662"/>
      <w:bookmarkStart w:id="2398" w:name="_Toc173222742"/>
      <w:bookmarkStart w:id="2399" w:name="_Toc200375759"/>
      <w:bookmarkStart w:id="2400" w:name="_Toc200377008"/>
      <w:r w:rsidRPr="002965D3">
        <w:t>Regular Reexaminations</w:t>
      </w:r>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p>
    <w:p w14:paraId="07A9659E" w14:textId="77777777" w:rsidR="0027272A" w:rsidRDefault="00CF789D" w:rsidP="0027272A">
      <w:pPr>
        <w:rPr>
          <w:rFonts w:cs="Arial"/>
          <w:szCs w:val="20"/>
        </w:rPr>
      </w:pPr>
      <w:r>
        <w:rPr>
          <w:rFonts w:cs="Arial"/>
          <w:szCs w:val="20"/>
        </w:rPr>
        <w:t>HHA</w:t>
      </w:r>
      <w:r w:rsidRPr="00765546">
        <w:rPr>
          <w:rFonts w:cs="Arial"/>
          <w:szCs w:val="20"/>
        </w:rPr>
        <w:t xml:space="preserve"> will</w:t>
      </w:r>
      <w:r>
        <w:rPr>
          <w:rFonts w:cs="Arial"/>
          <w:szCs w:val="20"/>
        </w:rPr>
        <w:t xml:space="preserve"> periodically</w:t>
      </w:r>
      <w:r w:rsidRPr="00765546">
        <w:rPr>
          <w:rFonts w:cs="Arial"/>
          <w:szCs w:val="20"/>
        </w:rPr>
        <w:t xml:space="preserve"> conduct a reexamination of family income and composition.</w:t>
      </w:r>
      <w:r>
        <w:rPr>
          <w:rFonts w:cs="Arial"/>
          <w:szCs w:val="20"/>
        </w:rPr>
        <w:t xml:space="preserve"> </w:t>
      </w:r>
      <w:r w:rsidRPr="00765546">
        <w:rPr>
          <w:rFonts w:cs="Arial"/>
          <w:szCs w:val="20"/>
        </w:rPr>
        <w:t xml:space="preserve">This includes </w:t>
      </w:r>
      <w:r w:rsidR="0027272A" w:rsidRPr="00765546">
        <w:rPr>
          <w:rFonts w:cs="Arial"/>
          <w:szCs w:val="20"/>
        </w:rPr>
        <w:t>gathering and verifying current information about family composition, income, and expenses. Based on this updated information, the family’s income and rent will be recalculated.</w:t>
      </w:r>
    </w:p>
    <w:p w14:paraId="08AC2596" w14:textId="77777777" w:rsidR="0027272A" w:rsidRPr="00765546" w:rsidRDefault="0027272A" w:rsidP="00677451">
      <w:pPr>
        <w:pStyle w:val="Heading3"/>
      </w:pPr>
      <w:bookmarkStart w:id="2401" w:name="_Toc200375760"/>
      <w:r>
        <w:t>Frequency of Regular Reexaminations</w:t>
      </w:r>
      <w:bookmarkEnd w:id="2401"/>
    </w:p>
    <w:p w14:paraId="4F2A8E09" w14:textId="77777777" w:rsidR="0027272A" w:rsidRPr="00DE50BC" w:rsidRDefault="0027272A" w:rsidP="0027272A">
      <w:pPr>
        <w:rPr>
          <w:rFonts w:cs="Arial"/>
          <w:szCs w:val="20"/>
        </w:rPr>
      </w:pPr>
      <w:r>
        <w:rPr>
          <w:rFonts w:cs="Arial"/>
          <w:szCs w:val="20"/>
        </w:rPr>
        <w:t>The required frequency of a household’s regular reexamination varies</w:t>
      </w:r>
      <w:r w:rsidRPr="00923FAD">
        <w:t xml:space="preserve"> </w:t>
      </w:r>
      <w:r>
        <w:t>according to the program and household type.</w:t>
      </w:r>
      <w:r w:rsidRPr="00923FAD">
        <w:t xml:space="preserve"> Generally the recertification frequency is as follows:</w:t>
      </w:r>
    </w:p>
    <w:p w14:paraId="2E97BEFF" w14:textId="77777777" w:rsidR="0027272A" w:rsidRPr="00DE50BC" w:rsidRDefault="0027272A" w:rsidP="007F177E">
      <w:pPr>
        <w:pStyle w:val="ListParagraph"/>
        <w:numPr>
          <w:ilvl w:val="0"/>
          <w:numId w:val="96"/>
        </w:numPr>
        <w:autoSpaceDE w:val="0"/>
        <w:autoSpaceDN w:val="0"/>
        <w:adjustRightInd w:val="0"/>
        <w:spacing w:after="120"/>
        <w:contextualSpacing w:val="0"/>
        <w:rPr>
          <w:bCs/>
        </w:rPr>
      </w:pPr>
      <w:r w:rsidRPr="00DE50BC">
        <w:rPr>
          <w:bCs/>
        </w:rPr>
        <w:t>Treatment Group: Triennial</w:t>
      </w:r>
      <w:r w:rsidR="00CF789D">
        <w:rPr>
          <w:bCs/>
        </w:rPr>
        <w:t>,</w:t>
      </w:r>
    </w:p>
    <w:p w14:paraId="0E86FA4E" w14:textId="77777777" w:rsidR="0027272A" w:rsidRPr="00DE50BC" w:rsidRDefault="0027272A" w:rsidP="007F177E">
      <w:pPr>
        <w:pStyle w:val="ListParagraph"/>
        <w:numPr>
          <w:ilvl w:val="0"/>
          <w:numId w:val="96"/>
        </w:numPr>
        <w:autoSpaceDE w:val="0"/>
        <w:autoSpaceDN w:val="0"/>
        <w:adjustRightInd w:val="0"/>
        <w:spacing w:after="120"/>
        <w:contextualSpacing w:val="0"/>
        <w:rPr>
          <w:bCs/>
        </w:rPr>
      </w:pPr>
      <w:r w:rsidRPr="00DE50BC">
        <w:rPr>
          <w:bCs/>
        </w:rPr>
        <w:t>Excluded Group: Triennial</w:t>
      </w:r>
      <w:r w:rsidR="00CF789D">
        <w:rPr>
          <w:bCs/>
        </w:rPr>
        <w:t>,</w:t>
      </w:r>
    </w:p>
    <w:p w14:paraId="6B3D489E" w14:textId="77777777" w:rsidR="0027272A" w:rsidRDefault="0027272A" w:rsidP="007F177E">
      <w:pPr>
        <w:pStyle w:val="ListParagraph"/>
        <w:numPr>
          <w:ilvl w:val="0"/>
          <w:numId w:val="96"/>
        </w:numPr>
        <w:autoSpaceDE w:val="0"/>
        <w:autoSpaceDN w:val="0"/>
        <w:adjustRightInd w:val="0"/>
        <w:spacing w:after="120"/>
        <w:contextualSpacing w:val="0"/>
        <w:rPr>
          <w:bCs/>
        </w:rPr>
      </w:pPr>
      <w:r w:rsidRPr="00DE50BC">
        <w:rPr>
          <w:bCs/>
        </w:rPr>
        <w:t>Control Group: Annual</w:t>
      </w:r>
      <w:r w:rsidR="00CF789D">
        <w:rPr>
          <w:bCs/>
        </w:rPr>
        <w:t>.</w:t>
      </w:r>
    </w:p>
    <w:p w14:paraId="2917BDC6" w14:textId="77777777" w:rsidR="0016174E" w:rsidRDefault="0016174E" w:rsidP="0016174E">
      <w:pPr>
        <w:pStyle w:val="MTWBox"/>
        <w:pBdr>
          <w:bottom w:val="single" w:sz="4" w:space="0" w:color="auto"/>
        </w:pBdr>
        <w:ind w:left="360"/>
        <w:rPr>
          <w:b w:val="0"/>
          <w:bCs/>
          <w:i w:val="0"/>
          <w:iCs w:val="0"/>
          <w:u w:val="single"/>
        </w:rPr>
      </w:pPr>
      <w:r>
        <w:t>MTW Policy</w:t>
      </w:r>
    </w:p>
    <w:p w14:paraId="0ED82FD2" w14:textId="77777777" w:rsidR="0016174E" w:rsidRPr="00AB4E62" w:rsidRDefault="0016174E" w:rsidP="0016174E">
      <w:pPr>
        <w:pStyle w:val="MTWBox"/>
        <w:pBdr>
          <w:bottom w:val="single" w:sz="4" w:space="0" w:color="auto"/>
        </w:pBdr>
        <w:ind w:left="360"/>
        <w:rPr>
          <w:b w:val="0"/>
          <w:bCs/>
          <w:i w:val="0"/>
          <w:iCs w:val="0"/>
        </w:rPr>
      </w:pPr>
      <w:r w:rsidRPr="00AB4E62">
        <w:rPr>
          <w:i w:val="0"/>
          <w:iCs w:val="0"/>
        </w:rPr>
        <w:t>MTW Waiver:</w:t>
      </w:r>
      <w:r w:rsidRPr="00AB4E62">
        <w:rPr>
          <w:b w:val="0"/>
          <w:bCs/>
          <w:i w:val="0"/>
          <w:iCs w:val="0"/>
        </w:rPr>
        <w:t xml:space="preserve"> 3.</w:t>
      </w:r>
      <w:r w:rsidR="001234F9">
        <w:rPr>
          <w:b w:val="0"/>
          <w:bCs/>
          <w:i w:val="0"/>
          <w:iCs w:val="0"/>
        </w:rPr>
        <w:t>a</w:t>
      </w:r>
      <w:r w:rsidRPr="00AB4E62">
        <w:rPr>
          <w:b w:val="0"/>
          <w:bCs/>
          <w:i w:val="0"/>
          <w:iCs w:val="0"/>
        </w:rPr>
        <w:t>. – Alternative Reexamination Schedule for Households (</w:t>
      </w:r>
      <w:r w:rsidR="001234F9">
        <w:rPr>
          <w:b w:val="0"/>
          <w:bCs/>
          <w:i w:val="0"/>
          <w:iCs w:val="0"/>
        </w:rPr>
        <w:t>PH</w:t>
      </w:r>
      <w:r w:rsidRPr="00AB4E62">
        <w:rPr>
          <w:b w:val="0"/>
          <w:bCs/>
          <w:i w:val="0"/>
          <w:iCs w:val="0"/>
        </w:rPr>
        <w:t>)</w:t>
      </w:r>
    </w:p>
    <w:p w14:paraId="16AF4B6E" w14:textId="77777777" w:rsidR="0016174E" w:rsidRPr="00AB4E62" w:rsidRDefault="0016174E" w:rsidP="0016174E">
      <w:pPr>
        <w:pStyle w:val="MTWBox"/>
        <w:pBdr>
          <w:bottom w:val="single" w:sz="4" w:space="0" w:color="auto"/>
        </w:pBdr>
        <w:ind w:left="360"/>
        <w:rPr>
          <w:b w:val="0"/>
          <w:bCs/>
          <w:i w:val="0"/>
          <w:iCs w:val="0"/>
        </w:rPr>
      </w:pPr>
      <w:r w:rsidRPr="00AB4E62">
        <w:rPr>
          <w:i w:val="0"/>
          <w:iCs w:val="0"/>
        </w:rPr>
        <w:t>Approval Date:</w:t>
      </w:r>
      <w:r w:rsidRPr="00AB4E62">
        <w:rPr>
          <w:b w:val="0"/>
          <w:bCs/>
          <w:i w:val="0"/>
          <w:iCs w:val="0"/>
        </w:rPr>
        <w:t xml:space="preserve"> FY 2022 </w:t>
      </w:r>
    </w:p>
    <w:p w14:paraId="5DED8104" w14:textId="77777777" w:rsidR="0016174E" w:rsidRPr="00AB4E62" w:rsidRDefault="0016174E" w:rsidP="0016174E">
      <w:pPr>
        <w:pStyle w:val="MTWBox"/>
        <w:pBdr>
          <w:bottom w:val="single" w:sz="4" w:space="0" w:color="auto"/>
        </w:pBdr>
        <w:ind w:left="360"/>
        <w:rPr>
          <w:b w:val="0"/>
          <w:bCs/>
          <w:i w:val="0"/>
          <w:iCs w:val="0"/>
        </w:rPr>
      </w:pPr>
      <w:r w:rsidRPr="00AB4E62">
        <w:rPr>
          <w:i w:val="0"/>
          <w:iCs w:val="0"/>
        </w:rPr>
        <w:t>Applicable to:</w:t>
      </w:r>
      <w:r w:rsidRPr="00AB4E62">
        <w:rPr>
          <w:b w:val="0"/>
          <w:bCs/>
          <w:i w:val="0"/>
          <w:iCs w:val="0"/>
        </w:rPr>
        <w:t xml:space="preserve"> MTW Treatment Group and MTW Excluded Group.</w:t>
      </w:r>
    </w:p>
    <w:p w14:paraId="7B7B7049" w14:textId="77777777" w:rsidR="0016174E" w:rsidRDefault="0016174E" w:rsidP="0016174E">
      <w:pPr>
        <w:pStyle w:val="MTWBox"/>
        <w:pBdr>
          <w:bottom w:val="single" w:sz="4" w:space="0" w:color="auto"/>
        </w:pBdr>
        <w:ind w:left="360"/>
        <w:rPr>
          <w:b w:val="0"/>
          <w:bCs/>
          <w:i w:val="0"/>
          <w:iCs w:val="0"/>
        </w:rPr>
      </w:pPr>
      <w:r w:rsidRPr="00AB4E62">
        <w:rPr>
          <w:i w:val="0"/>
          <w:iCs w:val="0"/>
        </w:rPr>
        <w:t>Description:</w:t>
      </w:r>
      <w:r>
        <w:rPr>
          <w:b w:val="0"/>
          <w:bCs/>
          <w:i w:val="0"/>
          <w:iCs w:val="0"/>
        </w:rPr>
        <w:t xml:space="preserve"> This activity </w:t>
      </w:r>
      <w:r w:rsidRPr="00863FCC">
        <w:rPr>
          <w:b w:val="0"/>
          <w:bCs/>
          <w:i w:val="0"/>
          <w:iCs w:val="0"/>
        </w:rPr>
        <w:t>allows HHA to establish an alternative</w:t>
      </w:r>
      <w:r>
        <w:rPr>
          <w:b w:val="0"/>
          <w:bCs/>
          <w:i w:val="0"/>
          <w:iCs w:val="0"/>
        </w:rPr>
        <w:t xml:space="preserve"> </w:t>
      </w:r>
      <w:r w:rsidRPr="00863FCC">
        <w:rPr>
          <w:b w:val="0"/>
          <w:bCs/>
          <w:i w:val="0"/>
          <w:iCs w:val="0"/>
        </w:rPr>
        <w:t>reexamination schedule wherein regular recertifications are conducted at least once every three years (</w:t>
      </w:r>
      <w:r w:rsidRPr="001234F9">
        <w:rPr>
          <w:b w:val="0"/>
          <w:bCs/>
          <w:i w:val="0"/>
          <w:iCs w:val="0"/>
        </w:rPr>
        <w:t xml:space="preserve">triennial </w:t>
      </w:r>
      <w:r w:rsidRPr="00863FCC">
        <w:rPr>
          <w:b w:val="0"/>
          <w:bCs/>
          <w:i w:val="0"/>
          <w:iCs w:val="0"/>
        </w:rPr>
        <w:t xml:space="preserve">recertifications). </w:t>
      </w:r>
    </w:p>
    <w:p w14:paraId="498F87B2" w14:textId="77777777" w:rsidR="0016174E" w:rsidRDefault="0016174E" w:rsidP="0016174E">
      <w:pPr>
        <w:pStyle w:val="MTWBox"/>
        <w:pBdr>
          <w:bottom w:val="single" w:sz="4" w:space="0" w:color="auto"/>
        </w:pBdr>
        <w:ind w:left="360"/>
        <w:rPr>
          <w:b w:val="0"/>
          <w:bCs/>
          <w:i w:val="0"/>
          <w:iCs w:val="0"/>
        </w:rPr>
      </w:pPr>
      <w:r w:rsidRPr="00B56711">
        <w:rPr>
          <w:b w:val="0"/>
          <w:bCs/>
        </w:rPr>
        <w:t>Phase-In for MTW Exclu</w:t>
      </w:r>
      <w:r w:rsidRPr="00992E83">
        <w:rPr>
          <w:b w:val="0"/>
          <w:bCs/>
        </w:rPr>
        <w:t>ded Group: HHA will phase in the triennial recertification frequency over a three</w:t>
      </w:r>
      <w:r w:rsidR="00AF605E">
        <w:rPr>
          <w:b w:val="0"/>
          <w:bCs/>
        </w:rPr>
        <w:t>-</w:t>
      </w:r>
      <w:r w:rsidRPr="00992E83">
        <w:rPr>
          <w:b w:val="0"/>
          <w:bCs/>
        </w:rPr>
        <w:t>year period for the excluded group. During the first year, one third of families in the excluded group will complete a recertification. During years two and three, one third of remaining families in the excluded group will complete a recertification so that all families will be on a triennial recertification frequency by the end of year three. Families will be selected randomly to determine their initial phase in year.</w:t>
      </w:r>
    </w:p>
    <w:p w14:paraId="22559627" w14:textId="77777777" w:rsidR="009C6EB3" w:rsidRDefault="00C0139D" w:rsidP="00962F1C">
      <w:pPr>
        <w:pStyle w:val="Heading4"/>
      </w:pPr>
      <w:r>
        <w:t xml:space="preserve">Annual Updates for </w:t>
      </w:r>
      <w:r w:rsidR="009C6EB3">
        <w:t xml:space="preserve">Families on Non-Tiered Flat Rents </w:t>
      </w:r>
    </w:p>
    <w:p w14:paraId="486E0B84" w14:textId="77777777" w:rsidR="009C6EB3" w:rsidRDefault="009C6EB3" w:rsidP="00292226">
      <w:r>
        <w:t xml:space="preserve">For families in the </w:t>
      </w:r>
      <w:r w:rsidR="008624D6">
        <w:t xml:space="preserve">Excluded </w:t>
      </w:r>
      <w:r>
        <w:t>group</w:t>
      </w:r>
      <w:r w:rsidR="00251108">
        <w:t xml:space="preserve"> only</w:t>
      </w:r>
      <w:r>
        <w:t xml:space="preserve"> opting to </w:t>
      </w:r>
      <w:r w:rsidR="00E7369E">
        <w:t xml:space="preserve">pay a non-tiered flat rent (see </w:t>
      </w:r>
      <w:r w:rsidR="00251108" w:rsidRPr="00251108">
        <w:rPr>
          <w:b/>
          <w:bCs/>
          <w:color w:val="0070C0"/>
        </w:rPr>
        <w:fldChar w:fldCharType="begin"/>
      </w:r>
      <w:r w:rsidR="00251108" w:rsidRPr="00251108">
        <w:rPr>
          <w:b/>
          <w:bCs/>
          <w:color w:val="0070C0"/>
        </w:rPr>
        <w:instrText xml:space="preserve"> REF _Ref160536022 \h  \* MERGEFORMAT </w:instrText>
      </w:r>
      <w:r w:rsidR="00251108" w:rsidRPr="00251108">
        <w:rPr>
          <w:b/>
          <w:bCs/>
          <w:color w:val="0070C0"/>
        </w:rPr>
      </w:r>
      <w:r w:rsidR="00251108" w:rsidRPr="00251108">
        <w:rPr>
          <w:b/>
          <w:bCs/>
          <w:color w:val="0070C0"/>
        </w:rPr>
        <w:fldChar w:fldCharType="separate"/>
      </w:r>
      <w:r w:rsidR="00251108" w:rsidRPr="00251108">
        <w:rPr>
          <w:b/>
          <w:bCs/>
          <w:color w:val="0070C0"/>
        </w:rPr>
        <w:t>Non-Tiered Flat Rents – Excluded Group Only</w:t>
      </w:r>
      <w:r w:rsidR="00251108" w:rsidRPr="00251108">
        <w:rPr>
          <w:b/>
          <w:bCs/>
          <w:color w:val="0070C0"/>
        </w:rPr>
        <w:fldChar w:fldCharType="end"/>
      </w:r>
      <w:r w:rsidR="00251108" w:rsidRPr="00251108">
        <w:t>)</w:t>
      </w:r>
      <w:r w:rsidR="00AA1EF1" w:rsidRPr="00251108">
        <w:t>,</w:t>
      </w:r>
      <w:r w:rsidR="00AA1EF1">
        <w:t xml:space="preserve"> HHA will conduct a full reexamination of family income and composition once every three years. </w:t>
      </w:r>
      <w:r w:rsidR="00284F35">
        <w:t xml:space="preserve">In the years in between regular recertifications, </w:t>
      </w:r>
      <w:r w:rsidR="00F2737D">
        <w:t>HHA will conduct annual updates</w:t>
      </w:r>
      <w:r w:rsidR="0079397F">
        <w:t xml:space="preserve"> to check for </w:t>
      </w:r>
      <w:r w:rsidR="004D375B" w:rsidRPr="00B534E8">
        <w:rPr>
          <w:b/>
          <w:bCs/>
          <w:color w:val="0070C0"/>
        </w:rPr>
        <w:fldChar w:fldCharType="begin"/>
      </w:r>
      <w:r w:rsidR="004D375B" w:rsidRPr="00B534E8">
        <w:rPr>
          <w:b/>
          <w:bCs/>
          <w:color w:val="0070C0"/>
        </w:rPr>
        <w:instrText xml:space="preserve"> REF _Ref160534510 \h </w:instrText>
      </w:r>
      <w:r w:rsidR="00B534E8" w:rsidRPr="00B534E8">
        <w:rPr>
          <w:b/>
          <w:bCs/>
          <w:color w:val="0070C0"/>
        </w:rPr>
        <w:instrText xml:space="preserve"> \* MERGEFORMAT </w:instrText>
      </w:r>
      <w:r w:rsidR="004D375B" w:rsidRPr="00B534E8">
        <w:rPr>
          <w:b/>
          <w:bCs/>
          <w:color w:val="0070C0"/>
        </w:rPr>
      </w:r>
      <w:r w:rsidR="004D375B" w:rsidRPr="00B534E8">
        <w:rPr>
          <w:b/>
          <w:bCs/>
          <w:color w:val="0070C0"/>
        </w:rPr>
        <w:fldChar w:fldCharType="separate"/>
      </w:r>
      <w:r w:rsidR="004D375B" w:rsidRPr="00B534E8">
        <w:rPr>
          <w:b/>
          <w:bCs/>
          <w:color w:val="0070C0"/>
        </w:rPr>
        <w:t>Community Service Compliance</w:t>
      </w:r>
      <w:r w:rsidR="004D375B" w:rsidRPr="00B534E8">
        <w:rPr>
          <w:b/>
          <w:bCs/>
          <w:color w:val="0070C0"/>
        </w:rPr>
        <w:fldChar w:fldCharType="end"/>
      </w:r>
      <w:r w:rsidR="004D375B">
        <w:t xml:space="preserve">, whether a </w:t>
      </w:r>
      <w:r w:rsidR="004D375B" w:rsidRPr="00B534E8">
        <w:rPr>
          <w:b/>
          <w:bCs/>
          <w:color w:val="0070C0"/>
        </w:rPr>
        <w:fldChar w:fldCharType="begin"/>
      </w:r>
      <w:r w:rsidR="004D375B" w:rsidRPr="00B534E8">
        <w:rPr>
          <w:b/>
          <w:bCs/>
          <w:color w:val="0070C0"/>
        </w:rPr>
        <w:instrText xml:space="preserve"> REF _Ref103256983 \h </w:instrText>
      </w:r>
      <w:r w:rsidR="00B534E8" w:rsidRPr="00B534E8">
        <w:rPr>
          <w:b/>
          <w:bCs/>
          <w:color w:val="0070C0"/>
        </w:rPr>
        <w:instrText xml:space="preserve"> \* MERGEFORMAT </w:instrText>
      </w:r>
      <w:r w:rsidR="004D375B" w:rsidRPr="00B534E8">
        <w:rPr>
          <w:b/>
          <w:bCs/>
          <w:color w:val="0070C0"/>
        </w:rPr>
      </w:r>
      <w:r w:rsidR="004D375B" w:rsidRPr="00B534E8">
        <w:rPr>
          <w:b/>
          <w:bCs/>
          <w:color w:val="0070C0"/>
        </w:rPr>
        <w:fldChar w:fldCharType="separate"/>
      </w:r>
      <w:r w:rsidR="004D375B" w:rsidRPr="00B534E8">
        <w:rPr>
          <w:b/>
          <w:bCs/>
          <w:color w:val="0070C0"/>
        </w:rPr>
        <w:t>Change in Unit Size</w:t>
      </w:r>
      <w:r w:rsidR="004D375B" w:rsidRPr="00B534E8">
        <w:rPr>
          <w:b/>
          <w:bCs/>
          <w:color w:val="0070C0"/>
        </w:rPr>
        <w:fldChar w:fldCharType="end"/>
      </w:r>
      <w:r w:rsidR="004D375B">
        <w:t xml:space="preserve"> is needed, </w:t>
      </w:r>
      <w:r w:rsidR="00B534E8">
        <w:t xml:space="preserve">and follow requirements under </w:t>
      </w:r>
      <w:r w:rsidR="00B534E8" w:rsidRPr="00B534E8">
        <w:rPr>
          <w:b/>
          <w:bCs/>
          <w:color w:val="0070C0"/>
        </w:rPr>
        <w:fldChar w:fldCharType="begin"/>
      </w:r>
      <w:r w:rsidR="00B534E8" w:rsidRPr="00B534E8">
        <w:rPr>
          <w:b/>
          <w:bCs/>
          <w:color w:val="0070C0"/>
        </w:rPr>
        <w:instrText xml:space="preserve"> REF _Ref160534546 \h  \* MERGEFORMAT </w:instrText>
      </w:r>
      <w:r w:rsidR="00B534E8" w:rsidRPr="00B534E8">
        <w:rPr>
          <w:b/>
          <w:bCs/>
          <w:color w:val="0070C0"/>
        </w:rPr>
      </w:r>
      <w:r w:rsidR="00B534E8" w:rsidRPr="00B534E8">
        <w:rPr>
          <w:b/>
          <w:bCs/>
          <w:color w:val="0070C0"/>
        </w:rPr>
        <w:fldChar w:fldCharType="separate"/>
      </w:r>
      <w:r w:rsidR="00B534E8" w:rsidRPr="00B534E8">
        <w:rPr>
          <w:b/>
          <w:bCs/>
          <w:color w:val="0070C0"/>
        </w:rPr>
        <w:t>Criminal Background Checks</w:t>
      </w:r>
      <w:r w:rsidR="00B534E8" w:rsidRPr="00B534E8">
        <w:rPr>
          <w:b/>
          <w:bCs/>
          <w:color w:val="0070C0"/>
        </w:rPr>
        <w:fldChar w:fldCharType="end"/>
      </w:r>
      <w:r w:rsidR="00B534E8">
        <w:t>.</w:t>
      </w:r>
    </w:p>
    <w:p w14:paraId="40BCAD61" w14:textId="77777777" w:rsidR="00C0139D" w:rsidRDefault="00C0139D" w:rsidP="00292226">
      <w:r w:rsidRPr="00BC2131">
        <w:t xml:space="preserve">The annual update process is similar to the annual reexamination process, except that </w:t>
      </w:r>
      <w:r>
        <w:t>HHA</w:t>
      </w:r>
      <w:r w:rsidRPr="00BC2131">
        <w:t xml:space="preserve"> does not collect information about the family’s income and expenses</w:t>
      </w:r>
      <w:r>
        <w:t>, and t</w:t>
      </w:r>
      <w:r w:rsidRPr="00BC2131">
        <w:t>he family’s rent is not recalculated following an annual update.</w:t>
      </w:r>
      <w:r w:rsidR="00FD1326">
        <w:t xml:space="preserve"> This process does not apply </w:t>
      </w:r>
      <w:r w:rsidR="00FD1326" w:rsidRPr="00F4424D">
        <w:t xml:space="preserve">to </w:t>
      </w:r>
      <w:r w:rsidR="00FD1326" w:rsidRPr="00F4424D">
        <w:rPr>
          <w:b/>
          <w:bCs/>
          <w:color w:val="0070C0"/>
        </w:rPr>
        <w:fldChar w:fldCharType="begin"/>
      </w:r>
      <w:r w:rsidR="00FD1326" w:rsidRPr="00F4424D">
        <w:rPr>
          <w:b/>
          <w:bCs/>
          <w:color w:val="0070C0"/>
        </w:rPr>
        <w:instrText xml:space="preserve"> REF _Ref151015055 \h  \* MERGEFORMAT </w:instrText>
      </w:r>
      <w:r w:rsidR="00FD1326" w:rsidRPr="00F4424D">
        <w:rPr>
          <w:b/>
          <w:bCs/>
          <w:color w:val="0070C0"/>
        </w:rPr>
      </w:r>
      <w:r w:rsidR="00FD1326" w:rsidRPr="00F4424D">
        <w:rPr>
          <w:b/>
          <w:bCs/>
          <w:color w:val="0070C0"/>
        </w:rPr>
        <w:fldChar w:fldCharType="separate"/>
      </w:r>
      <w:r w:rsidR="00FD1326" w:rsidRPr="00F4424D">
        <w:rPr>
          <w:b/>
          <w:bCs/>
          <w:color w:val="0070C0"/>
        </w:rPr>
        <w:t>OVER-INCOME FAMILIES</w:t>
      </w:r>
      <w:r w:rsidR="00FD1326" w:rsidRPr="00F4424D">
        <w:rPr>
          <w:b/>
          <w:bCs/>
          <w:color w:val="0070C0"/>
        </w:rPr>
        <w:fldChar w:fldCharType="end"/>
      </w:r>
      <w:r w:rsidR="00FD1326" w:rsidRPr="00F4424D">
        <w:t>.</w:t>
      </w:r>
    </w:p>
    <w:p w14:paraId="215447B2" w14:textId="77777777" w:rsidR="00691CE4" w:rsidRPr="002965D3" w:rsidRDefault="00691CE4" w:rsidP="00691CE4">
      <w:r w:rsidRPr="002965D3">
        <w:t xml:space="preserve">Generally, the family will be required to attend an interview for an annual update. </w:t>
      </w:r>
    </w:p>
    <w:p w14:paraId="394F28E5" w14:textId="77777777" w:rsidR="00691CE4" w:rsidRPr="002965D3" w:rsidRDefault="00691CE4" w:rsidP="00691CE4">
      <w:r w:rsidRPr="002965D3">
        <w:t xml:space="preserve">Notification of the annual update will be in accordance with the policy on </w:t>
      </w:r>
      <w:r w:rsidRPr="002965D3">
        <w:rPr>
          <w:b/>
          <w:bCs/>
          <w:color w:val="0070C0"/>
        </w:rPr>
        <w:fldChar w:fldCharType="begin"/>
      </w:r>
      <w:r w:rsidRPr="002965D3">
        <w:rPr>
          <w:b/>
          <w:bCs/>
          <w:color w:val="0070C0"/>
        </w:rPr>
        <w:instrText xml:space="preserve"> REF _Ref103005495 \h  \* MERGEFORMAT </w:instrText>
      </w:r>
      <w:r w:rsidRPr="002965D3">
        <w:rPr>
          <w:b/>
          <w:bCs/>
          <w:color w:val="0070C0"/>
        </w:rPr>
      </w:r>
      <w:r w:rsidRPr="002965D3">
        <w:rPr>
          <w:b/>
          <w:bCs/>
          <w:color w:val="0070C0"/>
        </w:rPr>
        <w:fldChar w:fldCharType="separate"/>
      </w:r>
      <w:r w:rsidRPr="007219AE">
        <w:rPr>
          <w:b/>
          <w:bCs/>
          <w:color w:val="0070C0"/>
        </w:rPr>
        <w:t>Notification of the Regular Reexamination and Annual Update Process</w:t>
      </w:r>
      <w:r w:rsidRPr="002965D3">
        <w:rPr>
          <w:b/>
          <w:bCs/>
          <w:color w:val="0070C0"/>
        </w:rPr>
        <w:fldChar w:fldCharType="end"/>
      </w:r>
      <w:r w:rsidRPr="002965D3">
        <w:t>.</w:t>
      </w:r>
    </w:p>
    <w:p w14:paraId="2CE099A2" w14:textId="77777777" w:rsidR="00DB4396" w:rsidRPr="002965D3" w:rsidRDefault="00DB4396" w:rsidP="00677451">
      <w:pPr>
        <w:pStyle w:val="Heading3"/>
      </w:pPr>
      <w:bookmarkStart w:id="2402" w:name="_Toc106037922"/>
      <w:bookmarkStart w:id="2403" w:name="_Toc106201561"/>
      <w:bookmarkStart w:id="2404" w:name="_Toc106202080"/>
      <w:bookmarkStart w:id="2405" w:name="_Toc106202606"/>
      <w:bookmarkStart w:id="2406" w:name="_Toc113345061"/>
      <w:bookmarkStart w:id="2407" w:name="_Toc137461805"/>
      <w:bookmarkStart w:id="2408" w:name="_Toc137471396"/>
      <w:bookmarkStart w:id="2409" w:name="_Toc137471905"/>
      <w:bookmarkStart w:id="2410" w:name="_Ref160534510"/>
      <w:bookmarkStart w:id="2411" w:name="_Toc200375761"/>
      <w:r w:rsidRPr="002965D3">
        <w:t>Community Service Compliance</w:t>
      </w:r>
      <w:bookmarkEnd w:id="2402"/>
      <w:bookmarkEnd w:id="2403"/>
      <w:bookmarkEnd w:id="2404"/>
      <w:bookmarkEnd w:id="2405"/>
      <w:bookmarkEnd w:id="2406"/>
      <w:bookmarkEnd w:id="2407"/>
      <w:bookmarkEnd w:id="2408"/>
      <w:bookmarkEnd w:id="2409"/>
      <w:bookmarkEnd w:id="2410"/>
      <w:bookmarkEnd w:id="2411"/>
    </w:p>
    <w:p w14:paraId="3F72976B" w14:textId="77777777" w:rsidR="00DB4396" w:rsidRPr="002965D3" w:rsidRDefault="00DB4396" w:rsidP="00DB4396">
      <w:r w:rsidRPr="002965D3">
        <w:t xml:space="preserve">For all residents of public housing, whether those residents are paying income-based or flat rents, </w:t>
      </w:r>
      <w:r w:rsidR="0019324C">
        <w:t>HHA</w:t>
      </w:r>
      <w:r w:rsidRPr="002965D3">
        <w:t xml:space="preserve"> conducts an annual review of community service requirement compliance (see </w:t>
      </w:r>
      <w:r w:rsidR="002C7E48" w:rsidRPr="0019324C">
        <w:rPr>
          <w:b/>
          <w:bCs/>
          <w:color w:val="0070C0"/>
        </w:rPr>
        <w:fldChar w:fldCharType="begin"/>
      </w:r>
      <w:r w:rsidR="002C7E48" w:rsidRPr="0019324C">
        <w:rPr>
          <w:b/>
          <w:bCs/>
          <w:color w:val="0070C0"/>
        </w:rPr>
        <w:instrText xml:space="preserve"> REF _Ref150424972 \h  \* MERGEFORMAT </w:instrText>
      </w:r>
      <w:r w:rsidR="002C7E48" w:rsidRPr="0019324C">
        <w:rPr>
          <w:b/>
          <w:bCs/>
          <w:color w:val="0070C0"/>
        </w:rPr>
      </w:r>
      <w:r w:rsidR="002C7E48" w:rsidRPr="0019324C">
        <w:rPr>
          <w:b/>
          <w:bCs/>
          <w:color w:val="0070C0"/>
        </w:rPr>
        <w:fldChar w:fldCharType="separate"/>
      </w:r>
      <w:r w:rsidR="002C7E48" w:rsidRPr="0019324C">
        <w:rPr>
          <w:b/>
          <w:bCs/>
          <w:color w:val="0070C0"/>
        </w:rPr>
        <w:t>COMMUNITY SERVICE</w:t>
      </w:r>
      <w:r w:rsidR="002C7E48" w:rsidRPr="0019324C">
        <w:rPr>
          <w:b/>
          <w:bCs/>
          <w:color w:val="0070C0"/>
        </w:rPr>
        <w:fldChar w:fldCharType="end"/>
      </w:r>
      <w:r w:rsidRPr="002965D3">
        <w:t>).</w:t>
      </w:r>
    </w:p>
    <w:p w14:paraId="2A27CD39" w14:textId="77777777" w:rsidR="00DB4396" w:rsidRPr="002965D3" w:rsidRDefault="00DB4396" w:rsidP="00677451">
      <w:pPr>
        <w:pStyle w:val="Heading3"/>
      </w:pPr>
      <w:bookmarkStart w:id="2412" w:name="_Ref103005476"/>
      <w:bookmarkStart w:id="2413" w:name="_Toc106037923"/>
      <w:bookmarkStart w:id="2414" w:name="_Toc106201562"/>
      <w:bookmarkStart w:id="2415" w:name="_Toc106202081"/>
      <w:bookmarkStart w:id="2416" w:name="_Toc106202607"/>
      <w:bookmarkStart w:id="2417" w:name="_Toc113345062"/>
      <w:bookmarkStart w:id="2418" w:name="_Toc137461806"/>
      <w:bookmarkStart w:id="2419" w:name="_Toc137471397"/>
      <w:bookmarkStart w:id="2420" w:name="_Toc137471906"/>
      <w:bookmarkStart w:id="2421" w:name="_Toc200375762"/>
      <w:bookmarkStart w:id="2422" w:name="_Ref102999148"/>
      <w:r w:rsidRPr="002965D3">
        <w:t>Scheduling Reexaminations and Annual Updates</w:t>
      </w:r>
      <w:bookmarkEnd w:id="2412"/>
      <w:bookmarkEnd w:id="2413"/>
      <w:bookmarkEnd w:id="2414"/>
      <w:bookmarkEnd w:id="2415"/>
      <w:bookmarkEnd w:id="2416"/>
      <w:bookmarkEnd w:id="2417"/>
      <w:bookmarkEnd w:id="2418"/>
      <w:bookmarkEnd w:id="2419"/>
      <w:bookmarkEnd w:id="2420"/>
      <w:bookmarkEnd w:id="2421"/>
    </w:p>
    <w:p w14:paraId="53F8C605" w14:textId="77777777" w:rsidR="00DB4396" w:rsidRPr="008D6B13" w:rsidRDefault="00DB4396" w:rsidP="00DB4396">
      <w:pPr>
        <w:rPr>
          <w:szCs w:val="24"/>
        </w:rPr>
      </w:pPr>
      <w:r w:rsidRPr="002965D3">
        <w:rPr>
          <w:szCs w:val="24"/>
        </w:rPr>
        <w:t xml:space="preserve">Generally, </w:t>
      </w:r>
      <w:r w:rsidR="0019324C">
        <w:rPr>
          <w:szCs w:val="24"/>
        </w:rPr>
        <w:t>HHA</w:t>
      </w:r>
      <w:r w:rsidRPr="002965D3">
        <w:rPr>
          <w:szCs w:val="24"/>
        </w:rPr>
        <w:t xml:space="preserve"> will schedule regular reexaminations and annual updates to coincide with the family’s anniversary date. </w:t>
      </w:r>
      <w:r w:rsidR="0019324C">
        <w:rPr>
          <w:szCs w:val="24"/>
        </w:rPr>
        <w:t>HHA</w:t>
      </w:r>
      <w:r w:rsidRPr="002965D3">
        <w:rPr>
          <w:szCs w:val="24"/>
        </w:rPr>
        <w:t xml:space="preserve"> will begin the regular reexamination/annual update process approximately 120 days in advance of the scheduled effective date.</w:t>
      </w:r>
    </w:p>
    <w:p w14:paraId="09D17E25" w14:textId="77777777" w:rsidR="00DB4396" w:rsidRPr="008D6B13" w:rsidRDefault="00DB4396" w:rsidP="00DB4396">
      <w:pPr>
        <w:rPr>
          <w:szCs w:val="24"/>
        </w:rPr>
      </w:pPr>
      <w:r w:rsidRPr="008D6B13">
        <w:rPr>
          <w:i/>
          <w:iCs/>
          <w:szCs w:val="24"/>
        </w:rPr>
        <w:t>Anniversary date</w:t>
      </w:r>
      <w:r w:rsidRPr="008D6B13">
        <w:rPr>
          <w:szCs w:val="24"/>
        </w:rPr>
        <w:t xml:space="preserve"> is defined as 12 months from the effective date of the family’s last annual reexamination</w:t>
      </w:r>
      <w:r>
        <w:rPr>
          <w:szCs w:val="24"/>
        </w:rPr>
        <w:t>/update</w:t>
      </w:r>
      <w:r w:rsidR="00B85A0D">
        <w:rPr>
          <w:szCs w:val="24"/>
        </w:rPr>
        <w:t xml:space="preserve"> (for families with annual recertifications</w:t>
      </w:r>
      <w:r w:rsidR="00A212EF">
        <w:rPr>
          <w:szCs w:val="24"/>
        </w:rPr>
        <w:t>), 36 months form the effective date of the family’s last annual reexamination/update (for families with triennial recertifications),</w:t>
      </w:r>
      <w:r w:rsidRPr="008D6B13">
        <w:rPr>
          <w:szCs w:val="24"/>
        </w:rPr>
        <w:t xml:space="preserve"> or during a family’s first year in the program, from the effective date of the family’s initial examination (admission).</w:t>
      </w:r>
    </w:p>
    <w:p w14:paraId="44E0FA21" w14:textId="77777777" w:rsidR="00DB4396" w:rsidRPr="00122C89" w:rsidRDefault="00DB4396" w:rsidP="00DB4396">
      <w:pPr>
        <w:rPr>
          <w:rFonts w:cs="Arial"/>
          <w:szCs w:val="20"/>
        </w:rPr>
      </w:pPr>
      <w:r w:rsidRPr="00122C89">
        <w:rPr>
          <w:rFonts w:cs="Arial"/>
          <w:szCs w:val="20"/>
        </w:rPr>
        <w:t xml:space="preserve">If the family moves to a new unit, </w:t>
      </w:r>
      <w:r w:rsidR="0019324C">
        <w:rPr>
          <w:rFonts w:cs="Arial"/>
          <w:szCs w:val="20"/>
        </w:rPr>
        <w:t>HHA</w:t>
      </w:r>
      <w:r w:rsidRPr="00122C89">
        <w:rPr>
          <w:rFonts w:cs="Arial"/>
          <w:szCs w:val="20"/>
        </w:rPr>
        <w:t xml:space="preserve"> will perform a new annual reexamination and establish an anniversary date consistent with the new lease effective date.</w:t>
      </w:r>
    </w:p>
    <w:p w14:paraId="05E88FAB" w14:textId="77777777" w:rsidR="00DB4396" w:rsidRDefault="0019324C" w:rsidP="00DB4396">
      <w:pPr>
        <w:rPr>
          <w:szCs w:val="24"/>
        </w:rPr>
      </w:pPr>
      <w:r>
        <w:rPr>
          <w:szCs w:val="24"/>
        </w:rPr>
        <w:t>HHA</w:t>
      </w:r>
      <w:r w:rsidR="00DB4396" w:rsidRPr="008D6B13">
        <w:rPr>
          <w:szCs w:val="24"/>
        </w:rPr>
        <w:t xml:space="preserve"> may also schedule </w:t>
      </w:r>
      <w:r w:rsidR="00D21773">
        <w:rPr>
          <w:szCs w:val="24"/>
        </w:rPr>
        <w:t xml:space="preserve">a regular </w:t>
      </w:r>
      <w:r w:rsidR="00DB4396" w:rsidRPr="008D6B13">
        <w:rPr>
          <w:szCs w:val="24"/>
        </w:rPr>
        <w:t>reexamination for completion prior to the anniversary date for administrative purposes.</w:t>
      </w:r>
    </w:p>
    <w:p w14:paraId="45DC5821" w14:textId="77777777" w:rsidR="00DB4396" w:rsidRPr="002965D3" w:rsidRDefault="00DB4396" w:rsidP="00677451">
      <w:pPr>
        <w:pStyle w:val="Heading3"/>
      </w:pPr>
      <w:bookmarkStart w:id="2423" w:name="_Ref103005495"/>
      <w:bookmarkStart w:id="2424" w:name="_Toc106037924"/>
      <w:bookmarkStart w:id="2425" w:name="_Toc106201563"/>
      <w:bookmarkStart w:id="2426" w:name="_Toc106202082"/>
      <w:bookmarkStart w:id="2427" w:name="_Toc106202608"/>
      <w:bookmarkStart w:id="2428" w:name="_Toc113345063"/>
      <w:bookmarkStart w:id="2429" w:name="_Toc137461807"/>
      <w:bookmarkStart w:id="2430" w:name="_Toc137471398"/>
      <w:bookmarkStart w:id="2431" w:name="_Toc137471907"/>
      <w:bookmarkStart w:id="2432" w:name="_Toc200375763"/>
      <w:r w:rsidRPr="002965D3">
        <w:t>Notification of the Regular Reexamination and Annual Update Process</w:t>
      </w:r>
      <w:bookmarkEnd w:id="2423"/>
      <w:bookmarkEnd w:id="2424"/>
      <w:bookmarkEnd w:id="2425"/>
      <w:bookmarkEnd w:id="2426"/>
      <w:bookmarkEnd w:id="2427"/>
      <w:bookmarkEnd w:id="2428"/>
      <w:bookmarkEnd w:id="2429"/>
      <w:bookmarkEnd w:id="2430"/>
      <w:bookmarkEnd w:id="2431"/>
      <w:bookmarkEnd w:id="2432"/>
    </w:p>
    <w:p w14:paraId="312DCEFE" w14:textId="77777777" w:rsidR="00DB4396" w:rsidRDefault="00DB4396" w:rsidP="00DB4396">
      <w:r w:rsidRPr="002965D3">
        <w:t>Notification of regular reexaminations and annual updates will be</w:t>
      </w:r>
      <w:r w:rsidR="0081587D">
        <w:t xml:space="preserve"> delivered by hand,</w:t>
      </w:r>
      <w:r w:rsidRPr="002965D3">
        <w:t xml:space="preserve"> sent by email</w:t>
      </w:r>
      <w:r w:rsidR="00534681">
        <w:t>,</w:t>
      </w:r>
      <w:r w:rsidRPr="002965D3">
        <w:t xml:space="preserve"> or </w:t>
      </w:r>
      <w:r w:rsidR="0081587D">
        <w:t>sent by</w:t>
      </w:r>
      <w:r w:rsidRPr="002965D3">
        <w:t xml:space="preserve"> first-class mail, and will contain information on documentation requirements and due dates. </w:t>
      </w:r>
    </w:p>
    <w:p w14:paraId="456ABA6B" w14:textId="77777777" w:rsidR="00DB4396" w:rsidRPr="002965D3" w:rsidRDefault="00DB4396" w:rsidP="00677451">
      <w:pPr>
        <w:pStyle w:val="Heading3"/>
      </w:pPr>
      <w:bookmarkStart w:id="2433" w:name="_Toc106037926"/>
      <w:bookmarkStart w:id="2434" w:name="_Toc106201565"/>
      <w:bookmarkStart w:id="2435" w:name="_Toc106202084"/>
      <w:bookmarkStart w:id="2436" w:name="_Toc106202610"/>
      <w:bookmarkStart w:id="2437" w:name="_Toc113345065"/>
      <w:bookmarkStart w:id="2438" w:name="_Toc137461809"/>
      <w:bookmarkStart w:id="2439" w:name="_Toc137471400"/>
      <w:bookmarkStart w:id="2440" w:name="_Toc137471909"/>
      <w:bookmarkStart w:id="2441" w:name="_Toc200375764"/>
      <w:r w:rsidRPr="002965D3">
        <w:t>Participation in the Regular Reexamination Process</w:t>
      </w:r>
      <w:bookmarkEnd w:id="2433"/>
      <w:bookmarkEnd w:id="2434"/>
      <w:bookmarkEnd w:id="2435"/>
      <w:bookmarkEnd w:id="2436"/>
      <w:bookmarkEnd w:id="2437"/>
      <w:bookmarkEnd w:id="2438"/>
      <w:bookmarkEnd w:id="2439"/>
      <w:bookmarkEnd w:id="2440"/>
      <w:bookmarkEnd w:id="2441"/>
    </w:p>
    <w:p w14:paraId="2A7E740A" w14:textId="77777777" w:rsidR="00DB4396" w:rsidRDefault="00DB4396" w:rsidP="00DB4396">
      <w:pPr>
        <w:rPr>
          <w:szCs w:val="24"/>
        </w:rPr>
      </w:pPr>
      <w:r w:rsidRPr="002965D3">
        <w:rPr>
          <w:szCs w:val="24"/>
        </w:rPr>
        <w:t xml:space="preserve">Families generally are required to participate in a regular reexamination interview, which must be attended by </w:t>
      </w:r>
      <w:r w:rsidR="0021517E">
        <w:rPr>
          <w:szCs w:val="24"/>
        </w:rPr>
        <w:t>all adult household members</w:t>
      </w:r>
      <w:r w:rsidRPr="002965D3">
        <w:rPr>
          <w:szCs w:val="24"/>
        </w:rPr>
        <w:t xml:space="preserve">. If participation in an in-person interview poses a hardship because of a family member’s disability, the family may contact </w:t>
      </w:r>
      <w:r w:rsidR="0019324C">
        <w:rPr>
          <w:szCs w:val="24"/>
        </w:rPr>
        <w:t>HHA</w:t>
      </w:r>
      <w:r w:rsidRPr="002965D3">
        <w:rPr>
          <w:szCs w:val="24"/>
        </w:rPr>
        <w:t xml:space="preserve"> to request a reasonable accommodation.</w:t>
      </w:r>
    </w:p>
    <w:p w14:paraId="50365CF4" w14:textId="77777777" w:rsidR="00DB4396" w:rsidRPr="00B90336" w:rsidRDefault="00DB4396" w:rsidP="00DB4396">
      <w:pPr>
        <w:rPr>
          <w:szCs w:val="24"/>
        </w:rPr>
      </w:pPr>
      <w:r w:rsidRPr="00B90336">
        <w:rPr>
          <w:szCs w:val="24"/>
        </w:rPr>
        <w:t xml:space="preserve">If the family is unable to attend a scheduled interview, the family should contact </w:t>
      </w:r>
      <w:r w:rsidR="0019324C">
        <w:rPr>
          <w:szCs w:val="24"/>
        </w:rPr>
        <w:t>HHA</w:t>
      </w:r>
      <w:r w:rsidRPr="00B90336">
        <w:rPr>
          <w:szCs w:val="24"/>
        </w:rPr>
        <w:t xml:space="preserve"> in advance of the interview to schedule a new appointment.</w:t>
      </w:r>
      <w:r>
        <w:rPr>
          <w:szCs w:val="24"/>
        </w:rPr>
        <w:t xml:space="preserve"> </w:t>
      </w:r>
      <w:r w:rsidRPr="00B90336">
        <w:rPr>
          <w:szCs w:val="24"/>
        </w:rPr>
        <w:t>In all circumstances, if a family does not attend the scheduled interview</w:t>
      </w:r>
      <w:r>
        <w:rPr>
          <w:szCs w:val="24"/>
        </w:rPr>
        <w:t>,</w:t>
      </w:r>
      <w:r w:rsidRPr="00B90336">
        <w:rPr>
          <w:szCs w:val="24"/>
        </w:rPr>
        <w:t xml:space="preserve"> </w:t>
      </w:r>
      <w:r w:rsidR="0019324C">
        <w:rPr>
          <w:szCs w:val="24"/>
        </w:rPr>
        <w:t>HHA</w:t>
      </w:r>
      <w:r w:rsidRPr="00B90336">
        <w:rPr>
          <w:szCs w:val="24"/>
        </w:rPr>
        <w:t xml:space="preserve"> will send a second notification with a new interview appointment time.</w:t>
      </w:r>
    </w:p>
    <w:p w14:paraId="5098D4C1" w14:textId="77777777" w:rsidR="00DB4396" w:rsidRDefault="00DB4396" w:rsidP="00DB4396">
      <w:pPr>
        <w:rPr>
          <w:szCs w:val="24"/>
        </w:rPr>
      </w:pPr>
      <w:r w:rsidRPr="00B90336">
        <w:rPr>
          <w:szCs w:val="24"/>
        </w:rPr>
        <w:t xml:space="preserve">If a family fails to attend two scheduled interviews without </w:t>
      </w:r>
      <w:r w:rsidR="0019324C">
        <w:rPr>
          <w:szCs w:val="24"/>
        </w:rPr>
        <w:t>HHA</w:t>
      </w:r>
      <w:r w:rsidRPr="00B90336">
        <w:rPr>
          <w:szCs w:val="24"/>
        </w:rPr>
        <w:t xml:space="preserve"> approval, the family will be in violation of their lease and may be terminated.</w:t>
      </w:r>
    </w:p>
    <w:p w14:paraId="1226E155" w14:textId="77777777" w:rsidR="00DB4396" w:rsidRPr="00B90336" w:rsidRDefault="00DB4396" w:rsidP="00DB4396">
      <w:pPr>
        <w:rPr>
          <w:szCs w:val="24"/>
        </w:rPr>
      </w:pPr>
      <w:r w:rsidRPr="00B90336">
        <w:rPr>
          <w:szCs w:val="24"/>
        </w:rPr>
        <w:t>An advocate, interpreter, or other assistant may assist the family in the interview process.</w:t>
      </w:r>
    </w:p>
    <w:p w14:paraId="789F3EF6" w14:textId="77777777" w:rsidR="00DB4396" w:rsidRPr="000A7C82" w:rsidRDefault="00DB4396" w:rsidP="00677451">
      <w:pPr>
        <w:pStyle w:val="Heading3"/>
      </w:pPr>
      <w:bookmarkStart w:id="2442" w:name="_Toc527019565"/>
      <w:bookmarkStart w:id="2443" w:name="_Toc534707103"/>
      <w:bookmarkStart w:id="2444" w:name="_Toc534707781"/>
      <w:bookmarkStart w:id="2445" w:name="_Toc534708589"/>
      <w:bookmarkStart w:id="2446" w:name="_Toc106037927"/>
      <w:bookmarkStart w:id="2447" w:name="_Toc106201566"/>
      <w:bookmarkStart w:id="2448" w:name="_Toc106202085"/>
      <w:bookmarkStart w:id="2449" w:name="_Toc106202611"/>
      <w:bookmarkStart w:id="2450" w:name="_Toc113345066"/>
      <w:bookmarkStart w:id="2451" w:name="_Toc137461810"/>
      <w:bookmarkStart w:id="2452" w:name="_Toc137471401"/>
      <w:bookmarkStart w:id="2453" w:name="_Toc137471910"/>
      <w:bookmarkStart w:id="2454" w:name="_Toc200375765"/>
      <w:r w:rsidRPr="000A7C82">
        <w:t xml:space="preserve">Conducting </w:t>
      </w:r>
      <w:r>
        <w:t>Regular</w:t>
      </w:r>
      <w:r w:rsidRPr="000A7C82">
        <w:t xml:space="preserve"> Reexaminations</w:t>
      </w:r>
      <w:bookmarkEnd w:id="2442"/>
      <w:bookmarkEnd w:id="2443"/>
      <w:bookmarkEnd w:id="2444"/>
      <w:bookmarkEnd w:id="2445"/>
      <w:bookmarkEnd w:id="2446"/>
      <w:bookmarkEnd w:id="2447"/>
      <w:bookmarkEnd w:id="2448"/>
      <w:bookmarkEnd w:id="2449"/>
      <w:bookmarkEnd w:id="2450"/>
      <w:bookmarkEnd w:id="2451"/>
      <w:bookmarkEnd w:id="2452"/>
      <w:bookmarkEnd w:id="2453"/>
      <w:bookmarkEnd w:id="2454"/>
    </w:p>
    <w:p w14:paraId="103F4F58" w14:textId="77777777" w:rsidR="00DB4396" w:rsidRPr="001E1809" w:rsidRDefault="00DB4396" w:rsidP="00DB4396">
      <w:r w:rsidRPr="00D0694F">
        <w:t xml:space="preserve">As part of the </w:t>
      </w:r>
      <w:r>
        <w:t xml:space="preserve">regular </w:t>
      </w:r>
      <w:r w:rsidRPr="00D0694F">
        <w:t xml:space="preserve">reexamination process, families are required to provide updated information to </w:t>
      </w:r>
      <w:r w:rsidR="0019324C">
        <w:t>HHA</w:t>
      </w:r>
      <w:r w:rsidRPr="00D0694F">
        <w:t xml:space="preserve"> </w:t>
      </w:r>
      <w:r w:rsidRPr="001E1809">
        <w:t>regarding the family’s income, expenses, and composition.</w:t>
      </w:r>
    </w:p>
    <w:p w14:paraId="67D38CB4" w14:textId="77777777" w:rsidR="00DB4396" w:rsidRPr="00122C89" w:rsidRDefault="00DB4396" w:rsidP="00DB4396">
      <w:pPr>
        <w:rPr>
          <w:rFonts w:cs="Arial"/>
          <w:szCs w:val="20"/>
        </w:rPr>
      </w:pPr>
      <w:r w:rsidRPr="00122C89">
        <w:rPr>
          <w:rFonts w:cs="Arial"/>
          <w:szCs w:val="20"/>
        </w:rPr>
        <w:t>If the family does not provide the required documents or information within the required time period (plus any extensions), the family will be sent a notice of termination.</w:t>
      </w:r>
    </w:p>
    <w:p w14:paraId="39C9B5E6" w14:textId="77777777" w:rsidR="00DB4396" w:rsidRDefault="00DB4396" w:rsidP="00677451">
      <w:pPr>
        <w:pStyle w:val="Heading3"/>
      </w:pPr>
      <w:bookmarkStart w:id="2455" w:name="_Ref103256983"/>
      <w:bookmarkStart w:id="2456" w:name="_Toc106037928"/>
      <w:bookmarkStart w:id="2457" w:name="_Toc106201567"/>
      <w:bookmarkStart w:id="2458" w:name="_Toc106202086"/>
      <w:bookmarkStart w:id="2459" w:name="_Toc106202612"/>
      <w:bookmarkStart w:id="2460" w:name="_Toc113345067"/>
      <w:bookmarkStart w:id="2461" w:name="_Toc137461811"/>
      <w:bookmarkStart w:id="2462" w:name="_Toc137471402"/>
      <w:bookmarkStart w:id="2463" w:name="_Toc137471911"/>
      <w:bookmarkStart w:id="2464" w:name="_Toc200375766"/>
      <w:bookmarkStart w:id="2465" w:name="_Toc527019566"/>
      <w:bookmarkStart w:id="2466" w:name="_Toc534707107"/>
      <w:bookmarkStart w:id="2467" w:name="_Toc534707785"/>
      <w:bookmarkStart w:id="2468" w:name="_Toc534708593"/>
      <w:bookmarkEnd w:id="2422"/>
      <w:r>
        <w:t>Change in Unit Size</w:t>
      </w:r>
      <w:bookmarkEnd w:id="2455"/>
      <w:bookmarkEnd w:id="2456"/>
      <w:bookmarkEnd w:id="2457"/>
      <w:bookmarkEnd w:id="2458"/>
      <w:bookmarkEnd w:id="2459"/>
      <w:bookmarkEnd w:id="2460"/>
      <w:bookmarkEnd w:id="2461"/>
      <w:bookmarkEnd w:id="2462"/>
      <w:bookmarkEnd w:id="2463"/>
      <w:bookmarkEnd w:id="2464"/>
    </w:p>
    <w:p w14:paraId="0A541099" w14:textId="77777777" w:rsidR="00DB4396" w:rsidRDefault="00DB4396" w:rsidP="00DB4396">
      <w:pPr>
        <w:rPr>
          <w:szCs w:val="24"/>
        </w:rPr>
      </w:pPr>
      <w:r w:rsidRPr="000879F6">
        <w:rPr>
          <w:szCs w:val="24"/>
        </w:rPr>
        <w:t xml:space="preserve">Changes in family or household composition may make it </w:t>
      </w:r>
      <w:r w:rsidRPr="002965D3">
        <w:rPr>
          <w:szCs w:val="24"/>
        </w:rPr>
        <w:t xml:space="preserve">appropriate to consider transferring the family to comply with occupancy standards. </w:t>
      </w:r>
      <w:r w:rsidR="0019324C">
        <w:rPr>
          <w:szCs w:val="24"/>
        </w:rPr>
        <w:t>HHA</w:t>
      </w:r>
      <w:r w:rsidRPr="002965D3">
        <w:rPr>
          <w:szCs w:val="24"/>
        </w:rPr>
        <w:t xml:space="preserve"> may use the results of the regular reexamination or annual update (as applicable) to require the family to move to an appropriate size unit (see </w:t>
      </w:r>
      <w:r w:rsidRPr="002965D3">
        <w:rPr>
          <w:b/>
          <w:bCs/>
          <w:color w:val="0070C0"/>
          <w:szCs w:val="24"/>
        </w:rPr>
        <w:fldChar w:fldCharType="begin"/>
      </w:r>
      <w:r w:rsidRPr="002965D3">
        <w:rPr>
          <w:b/>
          <w:bCs/>
          <w:color w:val="0070C0"/>
          <w:szCs w:val="24"/>
        </w:rPr>
        <w:instrText xml:space="preserve"> REF _Ref103001221 \h  \* MERGEFORMAT </w:instrText>
      </w:r>
      <w:r w:rsidRPr="002965D3">
        <w:rPr>
          <w:b/>
          <w:bCs/>
          <w:color w:val="0070C0"/>
          <w:szCs w:val="24"/>
        </w:rPr>
      </w:r>
      <w:r w:rsidRPr="002965D3">
        <w:rPr>
          <w:b/>
          <w:bCs/>
          <w:color w:val="0070C0"/>
          <w:szCs w:val="24"/>
        </w:rPr>
        <w:fldChar w:fldCharType="separate"/>
      </w:r>
      <w:r w:rsidRPr="007219AE">
        <w:rPr>
          <w:b/>
          <w:bCs/>
          <w:color w:val="0070C0"/>
        </w:rPr>
        <w:t>TRANSFER POLICY</w:t>
      </w:r>
      <w:r w:rsidRPr="002965D3">
        <w:rPr>
          <w:b/>
          <w:bCs/>
          <w:color w:val="0070C0"/>
          <w:szCs w:val="24"/>
        </w:rPr>
        <w:fldChar w:fldCharType="end"/>
      </w:r>
      <w:r w:rsidRPr="002965D3">
        <w:rPr>
          <w:szCs w:val="24"/>
        </w:rPr>
        <w:t>).</w:t>
      </w:r>
    </w:p>
    <w:p w14:paraId="560D8177" w14:textId="77777777" w:rsidR="00DB4396" w:rsidRPr="003C40E4" w:rsidRDefault="00DB4396" w:rsidP="00677451">
      <w:pPr>
        <w:pStyle w:val="Heading3"/>
      </w:pPr>
      <w:bookmarkStart w:id="2469" w:name="_Ref103256992"/>
      <w:bookmarkStart w:id="2470" w:name="_Toc106037929"/>
      <w:bookmarkStart w:id="2471" w:name="_Toc106201568"/>
      <w:bookmarkStart w:id="2472" w:name="_Toc106202087"/>
      <w:bookmarkStart w:id="2473" w:name="_Toc106202613"/>
      <w:bookmarkStart w:id="2474" w:name="_Toc113345068"/>
      <w:bookmarkStart w:id="2475" w:name="_Toc137461812"/>
      <w:bookmarkStart w:id="2476" w:name="_Toc137471403"/>
      <w:bookmarkStart w:id="2477" w:name="_Toc137471912"/>
      <w:bookmarkStart w:id="2478" w:name="_Ref160534546"/>
      <w:bookmarkStart w:id="2479" w:name="_Toc200375767"/>
      <w:r w:rsidRPr="003C40E4">
        <w:t>Criminal Backgro</w:t>
      </w:r>
      <w:r>
        <w:t>u</w:t>
      </w:r>
      <w:r w:rsidRPr="003C40E4">
        <w:t>nd Checks</w:t>
      </w:r>
      <w:bookmarkEnd w:id="2469"/>
      <w:bookmarkEnd w:id="2470"/>
      <w:bookmarkEnd w:id="2471"/>
      <w:bookmarkEnd w:id="2472"/>
      <w:bookmarkEnd w:id="2473"/>
      <w:bookmarkEnd w:id="2474"/>
      <w:bookmarkEnd w:id="2475"/>
      <w:bookmarkEnd w:id="2476"/>
      <w:bookmarkEnd w:id="2477"/>
      <w:bookmarkEnd w:id="2478"/>
      <w:bookmarkEnd w:id="2479"/>
    </w:p>
    <w:p w14:paraId="5F2CA1CC" w14:textId="77777777" w:rsidR="00DB4396" w:rsidRPr="002965D3" w:rsidRDefault="00DB4396" w:rsidP="00DB4396">
      <w:pPr>
        <w:rPr>
          <w:rFonts w:cs="Arial"/>
          <w:szCs w:val="20"/>
        </w:rPr>
      </w:pPr>
      <w:r w:rsidRPr="003C40E4">
        <w:rPr>
          <w:rFonts w:cs="Arial"/>
          <w:szCs w:val="20"/>
        </w:rPr>
        <w:t xml:space="preserve">Each household member age 18 and </w:t>
      </w:r>
      <w:r w:rsidRPr="002965D3">
        <w:rPr>
          <w:rFonts w:cs="Arial"/>
          <w:szCs w:val="20"/>
        </w:rPr>
        <w:t>over</w:t>
      </w:r>
      <w:r w:rsidR="00EE17BA">
        <w:rPr>
          <w:rFonts w:cs="Arial"/>
          <w:szCs w:val="20"/>
        </w:rPr>
        <w:t xml:space="preserve"> will</w:t>
      </w:r>
      <w:r w:rsidRPr="002965D3">
        <w:rPr>
          <w:rFonts w:cs="Arial"/>
          <w:szCs w:val="20"/>
        </w:rPr>
        <w:t xml:space="preserve"> be required to execute a consent form for a criminal background check as part of the annual reexamination/update process.</w:t>
      </w:r>
    </w:p>
    <w:p w14:paraId="4E47FAB5" w14:textId="77777777" w:rsidR="00DB4396" w:rsidRPr="002965D3" w:rsidRDefault="00DB4396" w:rsidP="00DB4396">
      <w:pPr>
        <w:rPr>
          <w:rFonts w:cs="Arial"/>
          <w:szCs w:val="20"/>
        </w:rPr>
      </w:pPr>
      <w:r w:rsidRPr="002965D3">
        <w:rPr>
          <w:bCs/>
        </w:rPr>
        <w:t xml:space="preserve">At the annual reexamination, </w:t>
      </w:r>
      <w:r w:rsidR="0019324C">
        <w:rPr>
          <w:bCs/>
        </w:rPr>
        <w:t>HHA</w:t>
      </w:r>
      <w:r w:rsidRPr="002965D3">
        <w:rPr>
          <w:bCs/>
        </w:rPr>
        <w:t xml:space="preserve"> will </w:t>
      </w:r>
      <w:r w:rsidRPr="002965D3">
        <w:t>ask whether the tenant, or any member of the tenant’s household, is subject to a lifetime sex offender registration requirement in any state</w:t>
      </w:r>
      <w:r w:rsidRPr="002965D3">
        <w:rPr>
          <w:bCs/>
        </w:rPr>
        <w:t xml:space="preserve">. </w:t>
      </w:r>
      <w:r w:rsidR="0019324C">
        <w:rPr>
          <w:bCs/>
        </w:rPr>
        <w:t>HHA</w:t>
      </w:r>
      <w:r w:rsidRPr="002965D3">
        <w:rPr>
          <w:bCs/>
        </w:rPr>
        <w:t xml:space="preserve"> will use the Dru Sjodin National Sex Offender database to verify the information provided by the tenant.</w:t>
      </w:r>
    </w:p>
    <w:p w14:paraId="3A69C54D" w14:textId="77777777" w:rsidR="00DB4396" w:rsidRPr="002965D3" w:rsidRDefault="00DB4396" w:rsidP="00677451">
      <w:pPr>
        <w:pStyle w:val="Heading3"/>
      </w:pPr>
      <w:bookmarkStart w:id="2480" w:name="_Toc527019571"/>
      <w:bookmarkStart w:id="2481" w:name="_Toc534707112"/>
      <w:bookmarkStart w:id="2482" w:name="_Toc534707790"/>
      <w:bookmarkStart w:id="2483" w:name="_Toc534708598"/>
      <w:bookmarkStart w:id="2484" w:name="_Toc106037931"/>
      <w:bookmarkStart w:id="2485" w:name="_Toc106201570"/>
      <w:bookmarkStart w:id="2486" w:name="_Toc106202089"/>
      <w:bookmarkStart w:id="2487" w:name="_Toc106202615"/>
      <w:bookmarkStart w:id="2488" w:name="_Toc113345070"/>
      <w:bookmarkStart w:id="2489" w:name="_Toc137461814"/>
      <w:bookmarkStart w:id="2490" w:name="_Toc137471405"/>
      <w:bookmarkStart w:id="2491" w:name="_Toc137471914"/>
      <w:bookmarkStart w:id="2492" w:name="_Toc200375768"/>
      <w:bookmarkEnd w:id="2465"/>
      <w:bookmarkEnd w:id="2466"/>
      <w:bookmarkEnd w:id="2467"/>
      <w:bookmarkEnd w:id="2468"/>
      <w:r w:rsidRPr="002965D3">
        <w:t>Effective Dates for Regular Reexamination or Annual Update Rent Changes</w:t>
      </w:r>
      <w:bookmarkEnd w:id="2480"/>
      <w:bookmarkEnd w:id="2481"/>
      <w:bookmarkEnd w:id="2482"/>
      <w:bookmarkEnd w:id="2483"/>
      <w:bookmarkEnd w:id="2484"/>
      <w:bookmarkEnd w:id="2485"/>
      <w:bookmarkEnd w:id="2486"/>
      <w:bookmarkEnd w:id="2487"/>
      <w:bookmarkEnd w:id="2488"/>
      <w:bookmarkEnd w:id="2489"/>
      <w:bookmarkEnd w:id="2490"/>
      <w:bookmarkEnd w:id="2491"/>
      <w:bookmarkEnd w:id="2492"/>
    </w:p>
    <w:p w14:paraId="06C2E2C2" w14:textId="77777777" w:rsidR="00DB4396" w:rsidRPr="00C40E36" w:rsidRDefault="00DB4396" w:rsidP="00483F7D">
      <w:pPr>
        <w:pStyle w:val="Heading4"/>
      </w:pPr>
      <w:bookmarkStart w:id="2493" w:name="_Toc527019572"/>
      <w:bookmarkStart w:id="2494" w:name="_Toc534707113"/>
      <w:bookmarkStart w:id="2495" w:name="_Toc534707791"/>
      <w:bookmarkStart w:id="2496" w:name="_Toc534708599"/>
      <w:r w:rsidRPr="002965D3">
        <w:t>Rent Increase</w:t>
      </w:r>
      <w:bookmarkEnd w:id="2493"/>
      <w:bookmarkEnd w:id="2494"/>
      <w:bookmarkEnd w:id="2495"/>
      <w:bookmarkEnd w:id="2496"/>
    </w:p>
    <w:p w14:paraId="7D81E066" w14:textId="77777777" w:rsidR="00DB4396" w:rsidRPr="00D0694F" w:rsidRDefault="00DB4396" w:rsidP="00DB4396">
      <w:r w:rsidRPr="00D0694F">
        <w:t xml:space="preserve">In general, an </w:t>
      </w:r>
      <w:r w:rsidRPr="00D0694F">
        <w:rPr>
          <w:i/>
        </w:rPr>
        <w:t>increase</w:t>
      </w:r>
      <w:r w:rsidRPr="00D0694F">
        <w:t xml:space="preserve"> in the tenant rent that results from a regular reexamination will take effect on the household</w:t>
      </w:r>
      <w:r>
        <w:t>’</w:t>
      </w:r>
      <w:r w:rsidRPr="00D0694F">
        <w:t>s anniversary date, and the household will be notified at least 30 days in advance. If less than 30 days remain before the scheduled reexamination effective date, the increase will take effect on the first of the month following the end of the 30-day notice period.</w:t>
      </w:r>
    </w:p>
    <w:p w14:paraId="7A8AA489" w14:textId="77777777" w:rsidR="00DB4396" w:rsidRPr="00D0694F" w:rsidRDefault="00DB4396" w:rsidP="00DB4396">
      <w:r w:rsidRPr="000879F6">
        <w:t xml:space="preserve">However, if the household causes a delay in processing the regular reexamination, increases in the </w:t>
      </w:r>
      <w:r>
        <w:t>tenant</w:t>
      </w:r>
      <w:r w:rsidRPr="000879F6">
        <w:t xml:space="preserve"> rent will be applied retroactively to the scheduled effective date of the reexamination. The household will be responsible for any underpaid rent and may be offered a repayment agreement at the discretion of </w:t>
      </w:r>
      <w:r w:rsidR="0019324C">
        <w:t>HHA</w:t>
      </w:r>
      <w:r w:rsidRPr="000879F6">
        <w:t xml:space="preserve">. When a household causes a delay in processing the reexamination, </w:t>
      </w:r>
      <w:r w:rsidR="0019324C">
        <w:t>HHA</w:t>
      </w:r>
      <w:r w:rsidRPr="000879F6">
        <w:t xml:space="preserve"> will not provide the household with 30-day advance notice of the rent increase.</w:t>
      </w:r>
    </w:p>
    <w:p w14:paraId="33D702CC" w14:textId="77777777" w:rsidR="00DB4396" w:rsidRPr="00122C89" w:rsidRDefault="00DB4396" w:rsidP="00DB4396">
      <w:pPr>
        <w:rPr>
          <w:rFonts w:cs="Arial"/>
          <w:szCs w:val="20"/>
        </w:rPr>
      </w:pPr>
      <w:r w:rsidRPr="00122C89">
        <w:rPr>
          <w:rFonts w:cs="Arial"/>
          <w:szCs w:val="20"/>
        </w:rPr>
        <w:t>If a family moves to a new unit, the increase will take effect on the effective date of the new lease, and no 30-day notice is required.</w:t>
      </w:r>
    </w:p>
    <w:p w14:paraId="5A931CA8" w14:textId="77777777" w:rsidR="00DB4396" w:rsidRPr="00122C89" w:rsidRDefault="00DB4396" w:rsidP="00DB4396">
      <w:pPr>
        <w:rPr>
          <w:rFonts w:cs="Arial"/>
          <w:szCs w:val="20"/>
        </w:rPr>
      </w:pPr>
      <w:r w:rsidRPr="00122C89">
        <w:rPr>
          <w:rFonts w:cs="Arial"/>
          <w:szCs w:val="20"/>
        </w:rPr>
        <w:t xml:space="preserve">If </w:t>
      </w:r>
      <w:r w:rsidR="0019324C">
        <w:rPr>
          <w:rFonts w:cs="Arial"/>
          <w:szCs w:val="20"/>
        </w:rPr>
        <w:t>HHA</w:t>
      </w:r>
      <w:r w:rsidRPr="00122C89">
        <w:rPr>
          <w:rFonts w:cs="Arial"/>
          <w:szCs w:val="20"/>
        </w:rPr>
        <w:t xml:space="preserve"> chooses to schedule </w:t>
      </w:r>
      <w:r w:rsidR="00BA2D50">
        <w:rPr>
          <w:rFonts w:cs="Arial"/>
          <w:szCs w:val="20"/>
        </w:rPr>
        <w:t>a regular</w:t>
      </w:r>
      <w:r w:rsidRPr="00122C89">
        <w:rPr>
          <w:rFonts w:cs="Arial"/>
          <w:szCs w:val="20"/>
        </w:rPr>
        <w:t xml:space="preserve"> reexamination for completion prior to the family</w:t>
      </w:r>
      <w:r>
        <w:rPr>
          <w:rFonts w:cs="Arial"/>
          <w:szCs w:val="20"/>
        </w:rPr>
        <w:t>’</w:t>
      </w:r>
      <w:r w:rsidRPr="00122C89">
        <w:rPr>
          <w:rFonts w:cs="Arial"/>
          <w:szCs w:val="20"/>
        </w:rPr>
        <w:t xml:space="preserve">s anniversary date for administrative purposes, the effective date will be determined by </w:t>
      </w:r>
      <w:r w:rsidR="0019324C">
        <w:rPr>
          <w:rFonts w:cs="Arial"/>
          <w:szCs w:val="20"/>
        </w:rPr>
        <w:t>HHA</w:t>
      </w:r>
      <w:r>
        <w:rPr>
          <w:rFonts w:cs="Arial"/>
          <w:szCs w:val="20"/>
        </w:rPr>
        <w:t>, but will always allow for</w:t>
      </w:r>
      <w:r>
        <w:t xml:space="preserve"> </w:t>
      </w:r>
      <w:r w:rsidRPr="00D0694F">
        <w:t>the 30-day notice period.</w:t>
      </w:r>
    </w:p>
    <w:p w14:paraId="58BF3CFC" w14:textId="77777777" w:rsidR="00DB4396" w:rsidRPr="00C40E36" w:rsidRDefault="00DB4396" w:rsidP="00483F7D">
      <w:pPr>
        <w:pStyle w:val="Heading4"/>
      </w:pPr>
      <w:bookmarkStart w:id="2497" w:name="_Toc527019573"/>
      <w:bookmarkStart w:id="2498" w:name="_Toc534707114"/>
      <w:bookmarkStart w:id="2499" w:name="_Toc534707792"/>
      <w:bookmarkStart w:id="2500" w:name="_Toc534708600"/>
      <w:r w:rsidRPr="00C40E36">
        <w:t>Rent Decrease</w:t>
      </w:r>
      <w:bookmarkEnd w:id="2497"/>
      <w:bookmarkEnd w:id="2498"/>
      <w:bookmarkEnd w:id="2499"/>
      <w:bookmarkEnd w:id="2500"/>
    </w:p>
    <w:p w14:paraId="3B93753A" w14:textId="77777777" w:rsidR="00DB4396" w:rsidRPr="00122C89" w:rsidRDefault="00DB4396" w:rsidP="00DB4396">
      <w:pPr>
        <w:rPr>
          <w:rFonts w:cs="Arial"/>
          <w:szCs w:val="20"/>
        </w:rPr>
      </w:pPr>
      <w:r w:rsidRPr="00122C89">
        <w:rPr>
          <w:rFonts w:cs="Arial"/>
          <w:szCs w:val="20"/>
        </w:rPr>
        <w:t xml:space="preserve">In general, a </w:t>
      </w:r>
      <w:r w:rsidRPr="00122C89">
        <w:rPr>
          <w:rFonts w:cs="Arial"/>
          <w:i/>
          <w:szCs w:val="20"/>
        </w:rPr>
        <w:t>decrease</w:t>
      </w:r>
      <w:r w:rsidRPr="00122C89">
        <w:rPr>
          <w:rFonts w:cs="Arial"/>
          <w:szCs w:val="20"/>
        </w:rPr>
        <w:t xml:space="preserve"> in the </w:t>
      </w:r>
      <w:r>
        <w:rPr>
          <w:rFonts w:cs="Arial"/>
          <w:szCs w:val="20"/>
        </w:rPr>
        <w:t>tenant</w:t>
      </w:r>
      <w:r w:rsidRPr="00122C89">
        <w:rPr>
          <w:rFonts w:cs="Arial"/>
          <w:szCs w:val="20"/>
        </w:rPr>
        <w:t xml:space="preserve"> rent that results from </w:t>
      </w:r>
      <w:r w:rsidR="00BA2D50">
        <w:rPr>
          <w:rFonts w:cs="Arial"/>
          <w:szCs w:val="20"/>
        </w:rPr>
        <w:t>a regular</w:t>
      </w:r>
      <w:r w:rsidRPr="00122C89">
        <w:rPr>
          <w:rFonts w:cs="Arial"/>
          <w:szCs w:val="20"/>
        </w:rPr>
        <w:t xml:space="preserve"> reexamination will take effect on the family</w:t>
      </w:r>
      <w:r>
        <w:rPr>
          <w:rFonts w:cs="Arial"/>
          <w:szCs w:val="20"/>
        </w:rPr>
        <w:t>’</w:t>
      </w:r>
      <w:r w:rsidRPr="00122C89">
        <w:rPr>
          <w:rFonts w:cs="Arial"/>
          <w:szCs w:val="20"/>
        </w:rPr>
        <w:t>s anniversary date.</w:t>
      </w:r>
    </w:p>
    <w:p w14:paraId="2304F835" w14:textId="77777777" w:rsidR="00DB4396" w:rsidRPr="00122C89" w:rsidRDefault="00DB4396" w:rsidP="00DB4396">
      <w:pPr>
        <w:rPr>
          <w:rFonts w:cs="Arial"/>
          <w:szCs w:val="20"/>
        </w:rPr>
      </w:pPr>
      <w:r w:rsidRPr="00122C89">
        <w:rPr>
          <w:rFonts w:cs="Arial"/>
          <w:szCs w:val="20"/>
        </w:rPr>
        <w:t xml:space="preserve">If </w:t>
      </w:r>
      <w:r w:rsidR="0019324C">
        <w:rPr>
          <w:rFonts w:cs="Arial"/>
          <w:szCs w:val="20"/>
        </w:rPr>
        <w:t>HHA</w:t>
      </w:r>
      <w:r w:rsidRPr="00122C89">
        <w:rPr>
          <w:rFonts w:cs="Arial"/>
          <w:szCs w:val="20"/>
        </w:rPr>
        <w:t xml:space="preserve"> chooses to schedule </w:t>
      </w:r>
      <w:r w:rsidR="00BA2D50">
        <w:rPr>
          <w:rFonts w:cs="Arial"/>
          <w:szCs w:val="20"/>
        </w:rPr>
        <w:t>a regular</w:t>
      </w:r>
      <w:r w:rsidRPr="00122C89">
        <w:rPr>
          <w:rFonts w:cs="Arial"/>
          <w:szCs w:val="20"/>
        </w:rPr>
        <w:t xml:space="preserve"> reexamination for completion prior to the family</w:t>
      </w:r>
      <w:r>
        <w:rPr>
          <w:rFonts w:cs="Arial"/>
          <w:szCs w:val="20"/>
        </w:rPr>
        <w:t>’</w:t>
      </w:r>
      <w:r w:rsidRPr="00122C89">
        <w:rPr>
          <w:rFonts w:cs="Arial"/>
          <w:szCs w:val="20"/>
        </w:rPr>
        <w:t xml:space="preserve">s anniversary date for administrative purposes, the effective date will be determined by </w:t>
      </w:r>
      <w:r w:rsidR="0019324C">
        <w:rPr>
          <w:rFonts w:cs="Arial"/>
          <w:szCs w:val="20"/>
        </w:rPr>
        <w:t>HHA</w:t>
      </w:r>
      <w:r w:rsidRPr="00122C89">
        <w:rPr>
          <w:rFonts w:cs="Arial"/>
          <w:szCs w:val="20"/>
        </w:rPr>
        <w:t xml:space="preserve">. </w:t>
      </w:r>
    </w:p>
    <w:p w14:paraId="10B2BD55" w14:textId="77777777" w:rsidR="00DB4396" w:rsidRPr="00D0694F" w:rsidRDefault="00DB4396" w:rsidP="00DB4396">
      <w:r w:rsidRPr="00122C89">
        <w:rPr>
          <w:rFonts w:cs="Arial"/>
          <w:szCs w:val="20"/>
        </w:rPr>
        <w:t xml:space="preserve">If the family causes a delay in processing the </w:t>
      </w:r>
      <w:r w:rsidR="00C6651E">
        <w:rPr>
          <w:rFonts w:cs="Arial"/>
          <w:szCs w:val="20"/>
        </w:rPr>
        <w:t>regular</w:t>
      </w:r>
      <w:r w:rsidRPr="00122C89">
        <w:rPr>
          <w:rFonts w:cs="Arial"/>
          <w:szCs w:val="20"/>
        </w:rPr>
        <w:t xml:space="preserve"> reexamination, </w:t>
      </w:r>
      <w:r w:rsidRPr="00122C89">
        <w:rPr>
          <w:rFonts w:cs="Arial"/>
          <w:i/>
          <w:szCs w:val="20"/>
        </w:rPr>
        <w:t>decreases</w:t>
      </w:r>
      <w:r w:rsidRPr="00122C89">
        <w:rPr>
          <w:rFonts w:cs="Arial"/>
          <w:szCs w:val="20"/>
        </w:rPr>
        <w:t xml:space="preserve"> in </w:t>
      </w:r>
      <w:r>
        <w:rPr>
          <w:rFonts w:cs="Arial"/>
          <w:szCs w:val="20"/>
        </w:rPr>
        <w:t>the tenant</w:t>
      </w:r>
      <w:r w:rsidRPr="00122C89">
        <w:rPr>
          <w:rFonts w:cs="Arial"/>
          <w:szCs w:val="20"/>
        </w:rPr>
        <w:t xml:space="preserve"> rent will be applied prospectively, from the first day of the month following completion of the reexamination processing.</w:t>
      </w:r>
      <w:r w:rsidRPr="00D0694F">
        <w:t xml:space="preserve"> </w:t>
      </w:r>
      <w:r w:rsidR="0019324C">
        <w:t>HHA</w:t>
      </w:r>
      <w:r w:rsidRPr="00D0694F">
        <w:t xml:space="preserve"> will not provide the household with 30-day advance notice of the rent decrease.</w:t>
      </w:r>
    </w:p>
    <w:p w14:paraId="34162292" w14:textId="77777777" w:rsidR="00756FA0" w:rsidRPr="00A2158C" w:rsidRDefault="00756FA0" w:rsidP="00756FA0">
      <w:pPr>
        <w:pStyle w:val="Heading2"/>
        <w:ind w:left="360"/>
      </w:pPr>
      <w:bookmarkStart w:id="2501" w:name="_Toc114067520"/>
      <w:bookmarkStart w:id="2502" w:name="_Toc119412734"/>
      <w:bookmarkStart w:id="2503" w:name="_Toc137809088"/>
      <w:bookmarkStart w:id="2504" w:name="_Toc137809630"/>
      <w:bookmarkStart w:id="2505" w:name="_Toc137809874"/>
      <w:bookmarkStart w:id="2506" w:name="_Toc137810186"/>
      <w:bookmarkStart w:id="2507" w:name="_Toc138429519"/>
      <w:bookmarkStart w:id="2508" w:name="_Toc138430354"/>
      <w:bookmarkStart w:id="2509" w:name="_Toc138856500"/>
      <w:bookmarkStart w:id="2510" w:name="_Toc138857794"/>
      <w:bookmarkStart w:id="2511" w:name="_Toc138860608"/>
      <w:bookmarkStart w:id="2512" w:name="_Toc147141907"/>
      <w:bookmarkStart w:id="2513" w:name="_Toc173222743"/>
      <w:bookmarkStart w:id="2514" w:name="_Toc200375769"/>
      <w:bookmarkStart w:id="2515" w:name="_Toc200377009"/>
      <w:r w:rsidRPr="00A2158C">
        <w:t>Reexamination and Pending Lease Termination</w:t>
      </w:r>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p>
    <w:p w14:paraId="503919D3" w14:textId="77777777" w:rsidR="00756FA0" w:rsidRPr="00A2158C" w:rsidRDefault="00756FA0" w:rsidP="00756FA0">
      <w:pPr>
        <w:tabs>
          <w:tab w:val="left" w:pos="881"/>
        </w:tabs>
      </w:pPr>
      <w:r w:rsidRPr="00A2158C">
        <w:t xml:space="preserve">If HHA is terminating the lease of a resident when the resident is scheduled for reexamination, the reexamination will be completed but </w:t>
      </w:r>
      <w:r w:rsidR="0013423B">
        <w:t>the lease will not be renewed</w:t>
      </w:r>
      <w:r w:rsidRPr="00A2158C">
        <w:t>.</w:t>
      </w:r>
    </w:p>
    <w:p w14:paraId="39A084E0" w14:textId="77777777" w:rsidR="00756FA0" w:rsidRPr="00A2158C" w:rsidRDefault="00756FA0" w:rsidP="007F177E">
      <w:pPr>
        <w:pStyle w:val="ListParagraph"/>
        <w:widowControl w:val="0"/>
        <w:numPr>
          <w:ilvl w:val="2"/>
          <w:numId w:val="100"/>
        </w:numPr>
        <w:tabs>
          <w:tab w:val="left" w:pos="1241"/>
        </w:tabs>
        <w:autoSpaceDE w:val="0"/>
        <w:autoSpaceDN w:val="0"/>
        <w:contextualSpacing w:val="0"/>
      </w:pPr>
      <w:r w:rsidRPr="00A2158C">
        <w:t xml:space="preserve">If HHA prevails in the lease termination action, </w:t>
      </w:r>
      <w:r w:rsidR="00C83919">
        <w:t>the lease</w:t>
      </w:r>
      <w:r w:rsidRPr="00A2158C">
        <w:t xml:space="preserve"> will not be </w:t>
      </w:r>
      <w:r w:rsidR="00C83919">
        <w:t>renewed</w:t>
      </w:r>
      <w:r w:rsidRPr="00A2158C">
        <w:t>, and the resident will be</w:t>
      </w:r>
      <w:r w:rsidRPr="00A2158C">
        <w:rPr>
          <w:spacing w:val="-4"/>
        </w:rPr>
        <w:t xml:space="preserve"> </w:t>
      </w:r>
      <w:r w:rsidRPr="00A2158C">
        <w:t>evicted;</w:t>
      </w:r>
    </w:p>
    <w:p w14:paraId="5E165B51" w14:textId="77777777" w:rsidR="00756FA0" w:rsidRPr="00A2158C" w:rsidRDefault="00756FA0" w:rsidP="007F177E">
      <w:pPr>
        <w:pStyle w:val="ListParagraph"/>
        <w:widowControl w:val="0"/>
        <w:numPr>
          <w:ilvl w:val="2"/>
          <w:numId w:val="100"/>
        </w:numPr>
        <w:tabs>
          <w:tab w:val="left" w:pos="1241"/>
        </w:tabs>
        <w:autoSpaceDE w:val="0"/>
        <w:autoSpaceDN w:val="0"/>
        <w:contextualSpacing w:val="0"/>
      </w:pPr>
      <w:r w:rsidRPr="00A2158C">
        <w:t xml:space="preserve">If the resident prevails in the lease termination action, </w:t>
      </w:r>
      <w:r w:rsidR="00C83919">
        <w:t>the lease will be renewed</w:t>
      </w:r>
      <w:r w:rsidRPr="00A2158C">
        <w:t>.</w:t>
      </w:r>
    </w:p>
    <w:p w14:paraId="1ABA1961" w14:textId="77777777" w:rsidR="00DB4396" w:rsidRPr="002965D3" w:rsidRDefault="00186D34" w:rsidP="00DB4396">
      <w:pPr>
        <w:pStyle w:val="Heading2"/>
      </w:pPr>
      <w:bookmarkStart w:id="2516" w:name="_Toc527019575"/>
      <w:bookmarkStart w:id="2517" w:name="_Toc534707116"/>
      <w:bookmarkStart w:id="2518" w:name="_Toc534707794"/>
      <w:bookmarkStart w:id="2519" w:name="_Toc534708602"/>
      <w:bookmarkStart w:id="2520" w:name="_Toc106037934"/>
      <w:bookmarkStart w:id="2521" w:name="_Toc106201573"/>
      <w:bookmarkStart w:id="2522" w:name="_Toc106202092"/>
      <w:bookmarkStart w:id="2523" w:name="_Toc106202618"/>
      <w:bookmarkStart w:id="2524" w:name="_Toc113345073"/>
      <w:bookmarkStart w:id="2525" w:name="_Toc137460414"/>
      <w:bookmarkStart w:id="2526" w:name="_Toc137460659"/>
      <w:bookmarkStart w:id="2527" w:name="_Toc137460904"/>
      <w:bookmarkStart w:id="2528" w:name="_Toc137461817"/>
      <w:bookmarkStart w:id="2529" w:name="_Toc137471408"/>
      <w:bookmarkStart w:id="2530" w:name="_Toc137471917"/>
      <w:bookmarkStart w:id="2531" w:name="_Ref160607547"/>
      <w:bookmarkStart w:id="2532" w:name="_Toc173222744"/>
      <w:bookmarkStart w:id="2533" w:name="_Toc200375770"/>
      <w:bookmarkStart w:id="2534" w:name="_Toc200377010"/>
      <w:r w:rsidRPr="002965D3">
        <w:t>Interim Reexaminations</w:t>
      </w:r>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p>
    <w:p w14:paraId="706C67BE" w14:textId="77777777" w:rsidR="00DB4396" w:rsidRPr="00D0694F" w:rsidRDefault="00DB4396" w:rsidP="00DB4396">
      <w:r w:rsidRPr="00D0694F">
        <w:t xml:space="preserve">Family circumstances may change between </w:t>
      </w:r>
      <w:r>
        <w:t>regular</w:t>
      </w:r>
      <w:r w:rsidRPr="00D0694F">
        <w:t xml:space="preserve"> reexaminations. HUD and </w:t>
      </w:r>
      <w:r w:rsidR="0019324C">
        <w:t>HHA</w:t>
      </w:r>
      <w:r w:rsidRPr="00D0694F">
        <w:t xml:space="preserve"> policies dictate what kinds of information about changes in family circumstances must be reported, and under what circumstances </w:t>
      </w:r>
      <w:r w:rsidR="0019324C">
        <w:t>HHA</w:t>
      </w:r>
      <w:r w:rsidRPr="00D0694F">
        <w:t xml:space="preserve"> must process interim reexaminations to reflect those changes. HUD regulations also permit </w:t>
      </w:r>
      <w:r w:rsidR="0019324C">
        <w:t>HHA</w:t>
      </w:r>
      <w:r w:rsidRPr="00D0694F">
        <w:t xml:space="preserve"> to conduct interim reexaminations of income or family composition at any time.</w:t>
      </w:r>
    </w:p>
    <w:p w14:paraId="09D4C522" w14:textId="77777777" w:rsidR="00DB4396" w:rsidRPr="00D0694F" w:rsidRDefault="00DB4396" w:rsidP="00DB4396">
      <w:r w:rsidRPr="00D0694F">
        <w:t>In addition to specifying what information the family must report, HUD regulations permit the family to request an interim determination if other aspects of the family</w:t>
      </w:r>
      <w:r>
        <w:t>’</w:t>
      </w:r>
      <w:r w:rsidRPr="00D0694F">
        <w:t xml:space="preserve">s income or composition changes. </w:t>
      </w:r>
      <w:r w:rsidR="0019324C">
        <w:t>HHA</w:t>
      </w:r>
      <w:r w:rsidRPr="00D0694F">
        <w:t xml:space="preserve"> must complete the interim reexamination within a reasonable time after the family</w:t>
      </w:r>
      <w:r>
        <w:t>’</w:t>
      </w:r>
      <w:r w:rsidRPr="00D0694F">
        <w:t xml:space="preserve">s request. </w:t>
      </w:r>
    </w:p>
    <w:p w14:paraId="429B6C6A" w14:textId="77777777" w:rsidR="00DB4396" w:rsidRPr="00D0694F" w:rsidRDefault="00DB4396" w:rsidP="00DB4396">
      <w:r w:rsidRPr="00D0694F">
        <w:t xml:space="preserve">Interim reexaminations can be scheduled either because </w:t>
      </w:r>
      <w:r w:rsidR="0019324C">
        <w:t>HHA</w:t>
      </w:r>
      <w:r w:rsidRPr="00D0694F">
        <w:t xml:space="preserve"> has reason to believe that changes in income or expenses may have occurred, or because the family reports a change. When a family reports a change, </w:t>
      </w:r>
      <w:r w:rsidR="0019324C">
        <w:t>HHA</w:t>
      </w:r>
      <w:r w:rsidRPr="00D0694F">
        <w:t xml:space="preserve"> may take different actions depending on whether the family reported the change voluntarily, or because it was required to do so. </w:t>
      </w:r>
    </w:p>
    <w:p w14:paraId="5F9AE7C9" w14:textId="77777777" w:rsidR="00DB4396" w:rsidRPr="002965D3" w:rsidRDefault="00DB4396" w:rsidP="00DB4396">
      <w:r w:rsidRPr="002965D3">
        <w:t xml:space="preserve">When a family reports a change in family income and/or composition that the family was required to make, </w:t>
      </w:r>
      <w:r w:rsidR="0019324C">
        <w:t>HHA</w:t>
      </w:r>
      <w:r w:rsidRPr="002965D3">
        <w:t xml:space="preserve"> will only verify the information for the family member(s) for whom the change was reported. </w:t>
      </w:r>
      <w:r w:rsidR="0019324C">
        <w:t>HHA</w:t>
      </w:r>
      <w:r w:rsidRPr="002965D3">
        <w:t xml:space="preserve"> will not reverify income/expense information for other family members.</w:t>
      </w:r>
    </w:p>
    <w:p w14:paraId="54BAFC95" w14:textId="77777777" w:rsidR="00DB4396" w:rsidRPr="002965D3" w:rsidRDefault="00DB4396" w:rsidP="00DB4396">
      <w:pPr>
        <w:contextualSpacing/>
        <w:rPr>
          <w:rFonts w:cs="Arial"/>
          <w:szCs w:val="20"/>
        </w:rPr>
      </w:pPr>
      <w:r w:rsidRPr="002965D3">
        <w:rPr>
          <w:rFonts w:cs="Arial"/>
          <w:szCs w:val="20"/>
        </w:rPr>
        <w:t xml:space="preserve">Generally, the family will not be required to attend an interview for an interim reexamination. However, if </w:t>
      </w:r>
      <w:r w:rsidR="0019324C">
        <w:rPr>
          <w:rFonts w:cs="Arial"/>
          <w:szCs w:val="20"/>
        </w:rPr>
        <w:t>HHA</w:t>
      </w:r>
      <w:r w:rsidRPr="002965D3">
        <w:rPr>
          <w:rFonts w:cs="Arial"/>
          <w:szCs w:val="20"/>
        </w:rPr>
        <w:t xml:space="preserve"> determines that an interview is warranted, the family may be required to attend.</w:t>
      </w:r>
    </w:p>
    <w:p w14:paraId="2478D5EB" w14:textId="77777777" w:rsidR="00DB4396" w:rsidRPr="002965D3" w:rsidRDefault="00DB4396" w:rsidP="00DB4396">
      <w:pPr>
        <w:contextualSpacing/>
        <w:rPr>
          <w:rFonts w:cs="Arial"/>
          <w:szCs w:val="20"/>
        </w:rPr>
      </w:pPr>
    </w:p>
    <w:p w14:paraId="4AB36087" w14:textId="77777777" w:rsidR="00DB4396" w:rsidRPr="002965D3" w:rsidRDefault="00DB4396" w:rsidP="00DB4396">
      <w:pPr>
        <w:contextualSpacing/>
        <w:rPr>
          <w:rFonts w:cs="Arial"/>
          <w:szCs w:val="20"/>
        </w:rPr>
      </w:pPr>
      <w:r w:rsidRPr="002965D3">
        <w:rPr>
          <w:rFonts w:cs="Arial"/>
          <w:szCs w:val="20"/>
        </w:rPr>
        <w:t xml:space="preserve">Based on the type of change reported, </w:t>
      </w:r>
      <w:r w:rsidR="0019324C">
        <w:rPr>
          <w:rFonts w:cs="Arial"/>
          <w:szCs w:val="20"/>
        </w:rPr>
        <w:t>HHA</w:t>
      </w:r>
      <w:r w:rsidRPr="002965D3">
        <w:rPr>
          <w:rFonts w:cs="Arial"/>
          <w:szCs w:val="20"/>
        </w:rPr>
        <w:t xml:space="preserve"> will determine the documentation the family will be required to submit. The family must submit any supporting documentation of the change within </w:t>
      </w:r>
      <w:r w:rsidR="009D7B15">
        <w:rPr>
          <w:rFonts w:cs="Arial"/>
          <w:szCs w:val="20"/>
        </w:rPr>
        <w:t>15 calendar</w:t>
      </w:r>
      <w:r w:rsidRPr="002965D3">
        <w:rPr>
          <w:rFonts w:cs="Arial"/>
          <w:szCs w:val="20"/>
        </w:rPr>
        <w:t xml:space="preserve"> days. This time frame may be extended for good cause with </w:t>
      </w:r>
      <w:r w:rsidR="0019324C">
        <w:rPr>
          <w:rFonts w:cs="Arial"/>
          <w:szCs w:val="20"/>
        </w:rPr>
        <w:t>HHA</w:t>
      </w:r>
      <w:r w:rsidRPr="002965D3">
        <w:rPr>
          <w:rFonts w:cs="Arial"/>
          <w:szCs w:val="20"/>
        </w:rPr>
        <w:t xml:space="preserve"> approval. Failure to submit the documentation when required may impact the interim effective date. </w:t>
      </w:r>
      <w:r w:rsidR="0019324C">
        <w:rPr>
          <w:rFonts w:cs="Arial"/>
          <w:szCs w:val="20"/>
        </w:rPr>
        <w:t>HHA</w:t>
      </w:r>
      <w:r w:rsidRPr="002965D3">
        <w:rPr>
          <w:rFonts w:cs="Arial"/>
          <w:szCs w:val="20"/>
        </w:rPr>
        <w:t xml:space="preserve"> will accept required documentation by mail, email, fax, or in-person. </w:t>
      </w:r>
    </w:p>
    <w:p w14:paraId="5E8AF1CF" w14:textId="77777777" w:rsidR="00DB4396" w:rsidRPr="00122C89" w:rsidRDefault="00DB4396" w:rsidP="00677451">
      <w:pPr>
        <w:pStyle w:val="Heading3"/>
      </w:pPr>
      <w:bookmarkStart w:id="2535" w:name="_Toc527019576"/>
      <w:bookmarkStart w:id="2536" w:name="_Toc534707117"/>
      <w:bookmarkStart w:id="2537" w:name="_Toc534707795"/>
      <w:bookmarkStart w:id="2538" w:name="_Toc534708603"/>
      <w:bookmarkStart w:id="2539" w:name="_Toc106037935"/>
      <w:bookmarkStart w:id="2540" w:name="_Ref106183016"/>
      <w:bookmarkStart w:id="2541" w:name="_Toc106201574"/>
      <w:bookmarkStart w:id="2542" w:name="_Toc106202093"/>
      <w:bookmarkStart w:id="2543" w:name="_Toc106202619"/>
      <w:bookmarkStart w:id="2544" w:name="_Ref109801417"/>
      <w:bookmarkStart w:id="2545" w:name="_Toc113345074"/>
      <w:bookmarkStart w:id="2546" w:name="_Toc137461818"/>
      <w:bookmarkStart w:id="2547" w:name="_Toc137471409"/>
      <w:bookmarkStart w:id="2548" w:name="_Toc137471918"/>
      <w:bookmarkStart w:id="2549" w:name="_Toc200375771"/>
      <w:r w:rsidRPr="00122C89">
        <w:t>Required Interim</w:t>
      </w:r>
      <w:bookmarkEnd w:id="2535"/>
      <w:bookmarkEnd w:id="2536"/>
      <w:bookmarkEnd w:id="2537"/>
      <w:bookmarkEnd w:id="2538"/>
      <w:bookmarkEnd w:id="2539"/>
      <w:bookmarkEnd w:id="2540"/>
      <w:bookmarkEnd w:id="2541"/>
      <w:bookmarkEnd w:id="2542"/>
      <w:bookmarkEnd w:id="2543"/>
      <w:r>
        <w:t xml:space="preserve"> Re</w:t>
      </w:r>
      <w:bookmarkEnd w:id="2544"/>
      <w:r>
        <w:t>examinations</w:t>
      </w:r>
      <w:bookmarkEnd w:id="2545"/>
      <w:bookmarkEnd w:id="2546"/>
      <w:bookmarkEnd w:id="2547"/>
      <w:bookmarkEnd w:id="2548"/>
      <w:bookmarkEnd w:id="2549"/>
    </w:p>
    <w:p w14:paraId="136B7914" w14:textId="77777777" w:rsidR="00DB4396" w:rsidRPr="002965D3" w:rsidRDefault="00DB4396" w:rsidP="002667AE">
      <w:r w:rsidRPr="00D0694F">
        <w:t xml:space="preserve">The following are interim changes which families are required to report and for which </w:t>
      </w:r>
      <w:r w:rsidR="0019324C">
        <w:t>HHA</w:t>
      </w:r>
      <w:r w:rsidRPr="00D0694F">
        <w:t xml:space="preserve"> will complete an interim reexamination and redetermine rent.</w:t>
      </w:r>
      <w:r>
        <w:t xml:space="preserve"> Families must report the change within </w:t>
      </w:r>
      <w:r w:rsidRPr="002D453E">
        <w:rPr>
          <w:b/>
          <w:bCs/>
          <w:color w:val="0070C0"/>
        </w:rPr>
        <w:fldChar w:fldCharType="begin"/>
      </w:r>
      <w:r w:rsidRPr="002D453E">
        <w:rPr>
          <w:b/>
          <w:bCs/>
          <w:color w:val="0070C0"/>
        </w:rPr>
        <w:instrText xml:space="preserve"> REF _Ref103006722 \h  \* MERGEFORMAT </w:instrText>
      </w:r>
      <w:r w:rsidRPr="002D453E">
        <w:rPr>
          <w:b/>
          <w:bCs/>
          <w:color w:val="0070C0"/>
        </w:rPr>
      </w:r>
      <w:r w:rsidRPr="002D453E">
        <w:rPr>
          <w:b/>
          <w:bCs/>
          <w:color w:val="0070C0"/>
        </w:rPr>
        <w:fldChar w:fldCharType="separate"/>
      </w:r>
      <w:r w:rsidRPr="007219AE">
        <w:rPr>
          <w:b/>
          <w:bCs/>
          <w:color w:val="0070C0"/>
        </w:rPr>
        <w:t>TIME FRAMES FOR REPORTING CHANGES REQUIRED BY FAMILY OBLIGATIONS</w:t>
      </w:r>
      <w:r w:rsidRPr="002D453E">
        <w:rPr>
          <w:b/>
          <w:bCs/>
          <w:color w:val="0070C0"/>
        </w:rPr>
        <w:fldChar w:fldCharType="end"/>
      </w:r>
      <w:r>
        <w:t xml:space="preserve">. </w:t>
      </w:r>
    </w:p>
    <w:p w14:paraId="1D10B6CE" w14:textId="77777777" w:rsidR="00FB2E74" w:rsidRDefault="00C8690C" w:rsidP="007F177E">
      <w:pPr>
        <w:pStyle w:val="ListParagraph"/>
        <w:numPr>
          <w:ilvl w:val="0"/>
          <w:numId w:val="97"/>
        </w:numPr>
        <w:tabs>
          <w:tab w:val="clear" w:pos="360"/>
        </w:tabs>
        <w:ind w:left="720"/>
        <w:contextualSpacing w:val="0"/>
      </w:pPr>
      <w:r>
        <w:t>Families in the Treatment, Control, and Excluded groups:</w:t>
      </w:r>
    </w:p>
    <w:p w14:paraId="2541BBB4" w14:textId="77777777" w:rsidR="00DB4396" w:rsidRDefault="00DB4396" w:rsidP="007F177E">
      <w:pPr>
        <w:pStyle w:val="ListParagraph"/>
        <w:numPr>
          <w:ilvl w:val="1"/>
          <w:numId w:val="97"/>
        </w:numPr>
        <w:contextualSpacing w:val="0"/>
      </w:pPr>
      <w:r w:rsidRPr="002965D3">
        <w:t xml:space="preserve">Changes in family composition; </w:t>
      </w:r>
    </w:p>
    <w:p w14:paraId="65CAAB13" w14:textId="77777777" w:rsidR="00546382" w:rsidRPr="002965D3" w:rsidRDefault="00546382" w:rsidP="007F177E">
      <w:pPr>
        <w:pStyle w:val="ListParagraph"/>
        <w:numPr>
          <w:ilvl w:val="1"/>
          <w:numId w:val="97"/>
        </w:numPr>
        <w:contextualSpacing w:val="0"/>
      </w:pPr>
      <w:r w:rsidRPr="002965D3">
        <w:t>Increase in any type of income for any family on minimum rent or on a financial hardship exemption from minimum rent.</w:t>
      </w:r>
    </w:p>
    <w:p w14:paraId="2B11EB12" w14:textId="77777777" w:rsidR="00C8690C" w:rsidRDefault="00C8690C" w:rsidP="007F177E">
      <w:pPr>
        <w:pStyle w:val="ListParagraph"/>
        <w:numPr>
          <w:ilvl w:val="0"/>
          <w:numId w:val="97"/>
        </w:numPr>
        <w:tabs>
          <w:tab w:val="clear" w:pos="360"/>
        </w:tabs>
        <w:ind w:left="720"/>
        <w:contextualSpacing w:val="0"/>
      </w:pPr>
      <w:r>
        <w:t>Families in the Control and Excluded groups only:</w:t>
      </w:r>
    </w:p>
    <w:p w14:paraId="6343D421" w14:textId="6E79D4E1" w:rsidR="00235431" w:rsidRDefault="00235431" w:rsidP="00235431">
      <w:pPr>
        <w:pStyle w:val="ListParagraph"/>
        <w:numPr>
          <w:ilvl w:val="1"/>
          <w:numId w:val="97"/>
        </w:numPr>
        <w:contextualSpacing w:val="0"/>
      </w:pPr>
      <w:r>
        <w:t>A</w:t>
      </w:r>
      <w:r w:rsidRPr="00FB453D">
        <w:t xml:space="preserve">ny increases </w:t>
      </w:r>
      <w:r>
        <w:t xml:space="preserve">in </w:t>
      </w:r>
      <w:r w:rsidRPr="005160BA">
        <w:t>unearned income</w:t>
      </w:r>
      <w:r>
        <w:t xml:space="preserve"> of 10 percent or more in adjusted income;</w:t>
      </w:r>
    </w:p>
    <w:p w14:paraId="2B34DCCD" w14:textId="7D07503F" w:rsidR="00235431" w:rsidRDefault="00235431" w:rsidP="002667AE">
      <w:pPr>
        <w:pStyle w:val="ListParagraph"/>
        <w:numPr>
          <w:ilvl w:val="1"/>
          <w:numId w:val="97"/>
        </w:numPr>
        <w:contextualSpacing w:val="0"/>
      </w:pPr>
      <w:r>
        <w:t>A</w:t>
      </w:r>
      <w:r w:rsidRPr="00F521E6">
        <w:t xml:space="preserve"> series of smaller reported increases in adjusted income </w:t>
      </w:r>
      <w:r w:rsidR="00DA084C">
        <w:t xml:space="preserve">that </w:t>
      </w:r>
      <w:r w:rsidRPr="00F521E6">
        <w:t>may cumulatively meet or exceed the 10</w:t>
      </w:r>
      <w:r>
        <w:t xml:space="preserve"> </w:t>
      </w:r>
      <w:r w:rsidRPr="00F521E6">
        <w:t>percent increase threshold</w:t>
      </w:r>
      <w:r>
        <w:t>; and/or</w:t>
      </w:r>
    </w:p>
    <w:p w14:paraId="528186C5" w14:textId="6F51ABB3" w:rsidR="00235431" w:rsidRDefault="00DB4396" w:rsidP="00235431">
      <w:pPr>
        <w:pStyle w:val="ListParagraph"/>
        <w:numPr>
          <w:ilvl w:val="1"/>
          <w:numId w:val="97"/>
        </w:numPr>
        <w:contextualSpacing w:val="0"/>
      </w:pPr>
      <w:r w:rsidRPr="002965D3">
        <w:t xml:space="preserve">Increase in any type of income for a family reporting zero income or reporting only </w:t>
      </w:r>
      <w:r w:rsidR="007E5B14">
        <w:t>nonrecurring</w:t>
      </w:r>
      <w:r w:rsidRPr="002965D3">
        <w:t xml:space="preserve"> </w:t>
      </w:r>
      <w:r w:rsidR="00546382">
        <w:t>income</w:t>
      </w:r>
      <w:r w:rsidR="00235431">
        <w:t>.</w:t>
      </w:r>
    </w:p>
    <w:p w14:paraId="1A65501A" w14:textId="422AF217" w:rsidR="002667AE" w:rsidRPr="002965D3" w:rsidRDefault="002667AE" w:rsidP="002667AE">
      <w:r>
        <w:t xml:space="preserve">Families </w:t>
      </w:r>
      <w:r w:rsidR="004D6D87">
        <w:t xml:space="preserve">in the Control and Excluded groups who are </w:t>
      </w:r>
      <w:r>
        <w:t xml:space="preserve">paying </w:t>
      </w:r>
      <w:r w:rsidR="00327B6C">
        <w:t xml:space="preserve">non-tiered </w:t>
      </w:r>
      <w:r>
        <w:t>flat rent</w:t>
      </w:r>
      <w:r w:rsidR="004D6D87">
        <w:t>s</w:t>
      </w:r>
      <w:r>
        <w:t xml:space="preserve"> are not required to report </w:t>
      </w:r>
      <w:r w:rsidRPr="002965D3">
        <w:t>changes in income or expenses</w:t>
      </w:r>
      <w:r w:rsidR="00B9222A">
        <w:t xml:space="preserve"> other than those described here</w:t>
      </w:r>
      <w:r w:rsidRPr="002965D3">
        <w:t>.</w:t>
      </w:r>
      <w:r w:rsidR="007C5031">
        <w:t xml:space="preserve"> Families in the Treatment group </w:t>
      </w:r>
      <w:r w:rsidR="009C1C90">
        <w:t>are not required to report increases in income between regular recertifications, nor will increases in income between regular recertifications result in an increase in rent.</w:t>
      </w:r>
    </w:p>
    <w:p w14:paraId="3BBEA8D9" w14:textId="77777777" w:rsidR="00DB4396" w:rsidRPr="002965D3" w:rsidRDefault="00DB4396" w:rsidP="00B51D8A">
      <w:pPr>
        <w:pStyle w:val="Heading4"/>
      </w:pPr>
      <w:bookmarkStart w:id="2550" w:name="_Toc527019577"/>
      <w:bookmarkStart w:id="2551" w:name="_Toc534707118"/>
      <w:bookmarkStart w:id="2552" w:name="_Toc534707796"/>
      <w:bookmarkStart w:id="2553" w:name="_Toc534708604"/>
      <w:bookmarkStart w:id="2554" w:name="_Toc113345075"/>
      <w:bookmarkStart w:id="2555" w:name="_Toc137461819"/>
      <w:bookmarkStart w:id="2556" w:name="_Toc137471410"/>
      <w:bookmarkStart w:id="2557" w:name="_Toc137471919"/>
      <w:bookmarkStart w:id="2558" w:name="_Ref151015731"/>
      <w:r w:rsidRPr="002965D3">
        <w:t>Changes in Family and Household Composition</w:t>
      </w:r>
      <w:bookmarkEnd w:id="2550"/>
      <w:bookmarkEnd w:id="2551"/>
      <w:bookmarkEnd w:id="2552"/>
      <w:bookmarkEnd w:id="2553"/>
      <w:bookmarkEnd w:id="2554"/>
      <w:bookmarkEnd w:id="2555"/>
      <w:bookmarkEnd w:id="2556"/>
      <w:bookmarkEnd w:id="2557"/>
      <w:bookmarkEnd w:id="2558"/>
    </w:p>
    <w:p w14:paraId="1C60578A" w14:textId="77777777" w:rsidR="00DB4396" w:rsidRDefault="00DB4396" w:rsidP="00DB4396">
      <w:pPr>
        <w:autoSpaceDE w:val="0"/>
        <w:autoSpaceDN w:val="0"/>
        <w:adjustRightInd w:val="0"/>
      </w:pPr>
      <w:r w:rsidRPr="00D0694F">
        <w:t xml:space="preserve">The family is required to report all changes in family composition within </w:t>
      </w:r>
      <w:r w:rsidR="00A94C97">
        <w:t>15 calendar</w:t>
      </w:r>
      <w:r w:rsidRPr="00D0694F">
        <w:t xml:space="preserve"> days from the date of the change. </w:t>
      </w:r>
      <w:r w:rsidR="0019324C">
        <w:t>HHA</w:t>
      </w:r>
      <w:r w:rsidRPr="00D0694F">
        <w:t xml:space="preserve"> will conduct interim reexaminations</w:t>
      </w:r>
      <w:r w:rsidR="007E5B14">
        <w:t xml:space="preserve"> (or non-interim reexamination transactions, as applicable)</w:t>
      </w:r>
      <w:r w:rsidRPr="00D0694F">
        <w:t xml:space="preserve"> to account for any changes in household composition that occur between annual reexaminations. </w:t>
      </w:r>
    </w:p>
    <w:p w14:paraId="370B0048" w14:textId="77777777" w:rsidR="00AF2E13" w:rsidRDefault="00AF2E13" w:rsidP="00AF2E13">
      <w:pPr>
        <w:tabs>
          <w:tab w:val="left" w:pos="881"/>
        </w:tabs>
      </w:pPr>
      <w:r w:rsidRPr="00A2158C">
        <w:t>A special reexamination will be conducted when there is a change in the head of household that requires a remaining household member to take on the responsibilities of a head of</w:t>
      </w:r>
      <w:r w:rsidRPr="00A2158C">
        <w:rPr>
          <w:spacing w:val="-20"/>
        </w:rPr>
        <w:t xml:space="preserve"> </w:t>
      </w:r>
      <w:r w:rsidRPr="00A2158C">
        <w:t>household.</w:t>
      </w:r>
    </w:p>
    <w:p w14:paraId="3C169802" w14:textId="77777777" w:rsidR="00DB4396" w:rsidRPr="006F6F0F" w:rsidRDefault="00DB4396" w:rsidP="006F6F0F">
      <w:pPr>
        <w:pStyle w:val="Heading5"/>
      </w:pPr>
      <w:r w:rsidRPr="006F6F0F">
        <w:t>New Family Members Not Requiring Approval</w:t>
      </w:r>
    </w:p>
    <w:p w14:paraId="49D25400" w14:textId="77777777" w:rsidR="00DB4396" w:rsidRPr="00D0694F" w:rsidRDefault="00DB4396" w:rsidP="00DB4396">
      <w:pPr>
        <w:autoSpaceDE w:val="0"/>
        <w:autoSpaceDN w:val="0"/>
        <w:adjustRightInd w:val="0"/>
      </w:pPr>
      <w:r w:rsidRPr="00D0694F">
        <w:t xml:space="preserve">The family must inform </w:t>
      </w:r>
      <w:r w:rsidR="0019324C">
        <w:t>HHA</w:t>
      </w:r>
      <w:r w:rsidRPr="00D0694F">
        <w:t xml:space="preserve"> of the birth, adoption, or court-awarded custody of a child within </w:t>
      </w:r>
      <w:r w:rsidR="00A94C97">
        <w:t>15 calendar</w:t>
      </w:r>
      <w:r w:rsidRPr="00D0694F">
        <w:t xml:space="preserve"> days</w:t>
      </w:r>
      <w:r>
        <w:t xml:space="preserve">; however, prior </w:t>
      </w:r>
      <w:r w:rsidR="0019324C">
        <w:t>HHA</w:t>
      </w:r>
      <w:r>
        <w:t xml:space="preserve"> approval is not required.</w:t>
      </w:r>
    </w:p>
    <w:p w14:paraId="24ED6496" w14:textId="77777777" w:rsidR="00DB4396" w:rsidRPr="006F6F0F" w:rsidRDefault="00DB4396" w:rsidP="006F6F0F">
      <w:pPr>
        <w:pStyle w:val="Heading5"/>
      </w:pPr>
      <w:r w:rsidRPr="00EB2345">
        <w:t>New Family and Household Members Requiring Approval</w:t>
      </w:r>
    </w:p>
    <w:p w14:paraId="42388723" w14:textId="77777777" w:rsidR="00DB4396" w:rsidRPr="00D0694F" w:rsidRDefault="00DB4396" w:rsidP="00DB4396">
      <w:pPr>
        <w:autoSpaceDE w:val="0"/>
        <w:autoSpaceDN w:val="0"/>
        <w:adjustRightInd w:val="0"/>
      </w:pPr>
      <w:r w:rsidRPr="00D0694F">
        <w:t xml:space="preserve">With the exception of children who join the family as a result of birth, adoption, or court-awarded custody, families must request </w:t>
      </w:r>
      <w:r w:rsidR="0019324C">
        <w:t>HHA</w:t>
      </w:r>
      <w:r w:rsidRPr="00D0694F">
        <w:t xml:space="preserve"> approval to add a new family member, live-in aide, foster child, or foster adult. This includes any person not on the lease who is expected to stay in the unit for more than</w:t>
      </w:r>
      <w:r>
        <w:t xml:space="preserve"> 14 consecutive days in a 12-month period or 30 cumulative days</w:t>
      </w:r>
      <w:r w:rsidRPr="00D0694F">
        <w:t xml:space="preserve"> within a 12-month period and therefore no longer qualifies as a </w:t>
      </w:r>
      <w:r w:rsidRPr="001544FE">
        <w:rPr>
          <w:i/>
          <w:iCs/>
        </w:rPr>
        <w:t>guest</w:t>
      </w:r>
      <w:r w:rsidRPr="00D0694F">
        <w:t xml:space="preserve">. Requests must be made in writing and approved by </w:t>
      </w:r>
      <w:r w:rsidR="0019324C">
        <w:t>HHA</w:t>
      </w:r>
      <w:r w:rsidRPr="00D0694F">
        <w:t xml:space="preserve"> prior to the individual moving into the unit.</w:t>
      </w:r>
    </w:p>
    <w:p w14:paraId="0DA52FD8" w14:textId="77777777" w:rsidR="00DB4396" w:rsidRPr="00D0694F" w:rsidRDefault="0019324C" w:rsidP="00DB4396">
      <w:pPr>
        <w:autoSpaceDE w:val="0"/>
        <w:autoSpaceDN w:val="0"/>
        <w:adjustRightInd w:val="0"/>
      </w:pPr>
      <w:r>
        <w:t>HHA</w:t>
      </w:r>
      <w:r w:rsidR="00DB4396" w:rsidRPr="00D0694F">
        <w:t xml:space="preserve"> will not approve the addition of a family member outside of birth, adoption, court-ordered custody, </w:t>
      </w:r>
      <w:r w:rsidR="00DB4396" w:rsidRPr="000F0508">
        <w:t>marriage, interdependent relationship and live-in aide if such addition results in the need for a change in unit size. Additionally</w:t>
      </w:r>
      <w:r w:rsidR="00DB4396" w:rsidRPr="00D0694F">
        <w:t xml:space="preserve">, </w:t>
      </w:r>
      <w:r>
        <w:t>HHA</w:t>
      </w:r>
      <w:r w:rsidR="00DB4396" w:rsidRPr="00D0694F">
        <w:t xml:space="preserve"> will not approve the addition of a new family or household member unless the individual meets </w:t>
      </w:r>
      <w:r>
        <w:t>HHA</w:t>
      </w:r>
      <w:r w:rsidR="00DB4396">
        <w:t>’</w:t>
      </w:r>
      <w:r w:rsidR="00DB4396" w:rsidRPr="00D0694F">
        <w:t xml:space="preserve">s eligibility criteria and documentation requirements. </w:t>
      </w:r>
    </w:p>
    <w:p w14:paraId="15293B0D" w14:textId="77777777" w:rsidR="00DB4396" w:rsidRPr="002965D3" w:rsidRDefault="0019324C" w:rsidP="00DB4396">
      <w:pPr>
        <w:autoSpaceDE w:val="0"/>
        <w:autoSpaceDN w:val="0"/>
        <w:adjustRightInd w:val="0"/>
      </w:pPr>
      <w:r>
        <w:t>HHA</w:t>
      </w:r>
      <w:r w:rsidR="00DB4396" w:rsidRPr="002965D3">
        <w:t xml:space="preserve"> will not approve the addition of a foster child or foster adult if it will result in a larger unit size per </w:t>
      </w:r>
      <w:r>
        <w:t>HHA</w:t>
      </w:r>
      <w:r w:rsidR="00DB4396" w:rsidRPr="002965D3">
        <w:t xml:space="preserve"> occupancy standards.</w:t>
      </w:r>
    </w:p>
    <w:p w14:paraId="69CB236F" w14:textId="77777777" w:rsidR="00DB4396" w:rsidRPr="00D0694F" w:rsidRDefault="00DB4396" w:rsidP="00DB4396">
      <w:pPr>
        <w:autoSpaceDE w:val="0"/>
        <w:autoSpaceDN w:val="0"/>
        <w:adjustRightInd w:val="0"/>
      </w:pPr>
      <w:r w:rsidRPr="002965D3">
        <w:t xml:space="preserve">If </w:t>
      </w:r>
      <w:r w:rsidR="0019324C">
        <w:t>HHA</w:t>
      </w:r>
      <w:r w:rsidRPr="002965D3">
        <w:t xml:space="preserve"> determines that an individual does not meet </w:t>
      </w:r>
      <w:r w:rsidR="0019324C">
        <w:t>HHA</w:t>
      </w:r>
      <w:r w:rsidRPr="002965D3">
        <w:t xml:space="preserve">’s eligibility criteria or documentation requirements, </w:t>
      </w:r>
      <w:r w:rsidR="0019324C">
        <w:t>HHA</w:t>
      </w:r>
      <w:r w:rsidRPr="002965D3">
        <w:t xml:space="preserve"> will timely notify the fa</w:t>
      </w:r>
      <w:r w:rsidRPr="00D0694F">
        <w:t>mily in writing of its decision to deny approval of the new family or household member and the reasons for the denial.</w:t>
      </w:r>
    </w:p>
    <w:p w14:paraId="311B3EA1" w14:textId="77777777" w:rsidR="00DB4396" w:rsidRDefault="00DB4396" w:rsidP="00DB4396">
      <w:pPr>
        <w:rPr>
          <w:rFonts w:cs="Arial"/>
          <w:bCs/>
          <w:szCs w:val="20"/>
        </w:rPr>
      </w:pPr>
      <w:r w:rsidRPr="00122C89">
        <w:rPr>
          <w:rFonts w:cs="Arial"/>
          <w:bCs/>
          <w:szCs w:val="20"/>
        </w:rPr>
        <w:t>A household member is not a member of the family, nor is an original member who has been designated as permanently absent.</w:t>
      </w:r>
    </w:p>
    <w:p w14:paraId="7D3E7024" w14:textId="77777777" w:rsidR="00DB4396" w:rsidRPr="00EB2345" w:rsidRDefault="00DB4396" w:rsidP="003F40D9">
      <w:pPr>
        <w:pStyle w:val="Heading5"/>
      </w:pPr>
      <w:r w:rsidRPr="00EB2345">
        <w:t>Departure of a Family or Household Member</w:t>
      </w:r>
    </w:p>
    <w:p w14:paraId="5F61041F" w14:textId="77777777" w:rsidR="00DB4396" w:rsidRPr="00D0694F" w:rsidRDefault="00DB4396" w:rsidP="00DB4396">
      <w:pPr>
        <w:autoSpaceDE w:val="0"/>
        <w:autoSpaceDN w:val="0"/>
        <w:adjustRightInd w:val="0"/>
        <w:rPr>
          <w:b/>
          <w:i/>
        </w:rPr>
      </w:pPr>
      <w:r w:rsidRPr="00D0694F">
        <w:t xml:space="preserve">Families must promptly notify </w:t>
      </w:r>
      <w:r w:rsidR="0019324C">
        <w:t>HHA</w:t>
      </w:r>
      <w:r w:rsidRPr="00D0694F">
        <w:t xml:space="preserve"> if any family </w:t>
      </w:r>
      <w:r>
        <w:t xml:space="preserve">or household </w:t>
      </w:r>
      <w:r w:rsidRPr="00D0694F">
        <w:t xml:space="preserve">member no longer lives in the unit. </w:t>
      </w:r>
      <w:r>
        <w:t>This requirement also applies to family/household members who had been considered temporarily absent, who are now permanently absent.</w:t>
      </w:r>
    </w:p>
    <w:p w14:paraId="27E7FA98" w14:textId="77777777" w:rsidR="00DB4396" w:rsidRPr="00D0694F" w:rsidRDefault="00DB4396" w:rsidP="00DB4396">
      <w:pPr>
        <w:autoSpaceDE w:val="0"/>
        <w:autoSpaceDN w:val="0"/>
        <w:adjustRightInd w:val="0"/>
      </w:pPr>
      <w:r w:rsidRPr="00D0694F">
        <w:t xml:space="preserve">If a family member or household member ceases to reside in the unit, the family must inform </w:t>
      </w:r>
      <w:r w:rsidR="0019324C">
        <w:t>HHA</w:t>
      </w:r>
      <w:r w:rsidRPr="00D0694F">
        <w:t xml:space="preserve"> within </w:t>
      </w:r>
      <w:r w:rsidR="003B6D3F">
        <w:t>15 calendar</w:t>
      </w:r>
      <w:r w:rsidRPr="00D0694F">
        <w:t xml:space="preserve"> days. </w:t>
      </w:r>
    </w:p>
    <w:p w14:paraId="09857130" w14:textId="77777777" w:rsidR="00DB4396" w:rsidRPr="00EB2345" w:rsidRDefault="00DB4396" w:rsidP="003F40D9">
      <w:pPr>
        <w:pStyle w:val="Heading5"/>
      </w:pPr>
      <w:r w:rsidRPr="00EB2345">
        <w:t>Return of Permanently Absent Family Member</w:t>
      </w:r>
    </w:p>
    <w:p w14:paraId="5F53FB5A" w14:textId="77777777" w:rsidR="00DB4396" w:rsidRDefault="00DB4396" w:rsidP="00DB4396">
      <w:r w:rsidRPr="002965D3">
        <w:t xml:space="preserve">The family must request </w:t>
      </w:r>
      <w:r w:rsidR="0019324C">
        <w:t>HHA</w:t>
      </w:r>
      <w:r w:rsidRPr="002965D3">
        <w:t xml:space="preserve"> approval for the return of any adult family members that </w:t>
      </w:r>
      <w:r w:rsidR="0019324C">
        <w:t>HHA</w:t>
      </w:r>
      <w:r w:rsidRPr="002965D3">
        <w:t xml:space="preserve"> previously determined to be permanently absent. The individual is subject to </w:t>
      </w:r>
      <w:r w:rsidR="0019324C">
        <w:t>HHA</w:t>
      </w:r>
      <w:r w:rsidRPr="002965D3">
        <w:t xml:space="preserve">’s eligibility and screening requirements and </w:t>
      </w:r>
      <w:r w:rsidR="0019324C">
        <w:t>HHA</w:t>
      </w:r>
      <w:r w:rsidRPr="002965D3">
        <w:t xml:space="preserve"> policies on changes in household composition.</w:t>
      </w:r>
    </w:p>
    <w:p w14:paraId="33DE9F63" w14:textId="77777777" w:rsidR="00AD25A9" w:rsidRPr="002965D3" w:rsidRDefault="00AD25A9" w:rsidP="00AD25A9">
      <w:pPr>
        <w:pStyle w:val="Heading4"/>
      </w:pPr>
      <w:r w:rsidRPr="002965D3">
        <w:t>Minimum Rent/Financial Hardship Interim Reexamination</w:t>
      </w:r>
    </w:p>
    <w:p w14:paraId="7E955DD2" w14:textId="77777777" w:rsidR="00AD25A9" w:rsidRPr="002965D3" w:rsidRDefault="00AD25A9" w:rsidP="00AD25A9">
      <w:r w:rsidRPr="002965D3">
        <w:t xml:space="preserve">For families with </w:t>
      </w:r>
      <w:r w:rsidRPr="002965D3">
        <w:rPr>
          <w:b/>
          <w:bCs/>
        </w:rPr>
        <w:t xml:space="preserve">income-based rents </w:t>
      </w:r>
      <w:r w:rsidRPr="002965D3">
        <w:t xml:space="preserve">(not applicable to families on </w:t>
      </w:r>
      <w:r w:rsidR="003F40D9">
        <w:t xml:space="preserve">non-tiered </w:t>
      </w:r>
      <w:r w:rsidRPr="002965D3">
        <w:t xml:space="preserve">flat rents): when an entire family is at minimum rent or is on an approved financial hardship from minimum rent, any family member who obtains any type of income is required to report the change between regular reexaminations. Once income is reported, the family is not required to report additional increases in income until the next regular reexamination.  </w:t>
      </w:r>
    </w:p>
    <w:p w14:paraId="433D3EB8" w14:textId="77777777" w:rsidR="00AD25A9" w:rsidRPr="002965D3" w:rsidRDefault="00AD25A9" w:rsidP="00AD25A9">
      <w:r w:rsidRPr="002965D3">
        <w:t xml:space="preserve">Increases in income for minimum rent/financial hardship families must be reported to </w:t>
      </w:r>
      <w:r>
        <w:t>HHA</w:t>
      </w:r>
      <w:r w:rsidRPr="002965D3">
        <w:t xml:space="preserve"> within </w:t>
      </w:r>
      <w:r w:rsidR="003B6D3F" w:rsidRPr="003B6D3F">
        <w:t>15 calendar</w:t>
      </w:r>
      <w:r w:rsidRPr="003B6D3F">
        <w:t xml:space="preserve"> days</w:t>
      </w:r>
      <w:r w:rsidRPr="002965D3">
        <w:t xml:space="preserve"> of the change. </w:t>
      </w:r>
      <w:r>
        <w:t>HHA</w:t>
      </w:r>
      <w:r w:rsidRPr="002965D3">
        <w:t xml:space="preserve"> will process an interim reexamination and adjust rent when income is reported. </w:t>
      </w:r>
    </w:p>
    <w:p w14:paraId="1F9BF562" w14:textId="77777777" w:rsidR="00DB4396" w:rsidRPr="002965D3" w:rsidRDefault="00DB4396" w:rsidP="00507AB0">
      <w:pPr>
        <w:pStyle w:val="Heading4"/>
      </w:pPr>
      <w:bookmarkStart w:id="2559" w:name="_Toc527019578"/>
      <w:bookmarkStart w:id="2560" w:name="_Toc534707119"/>
      <w:bookmarkStart w:id="2561" w:name="_Toc534707797"/>
      <w:bookmarkStart w:id="2562" w:name="_Toc534708605"/>
      <w:bookmarkStart w:id="2563" w:name="_Ref1569068"/>
      <w:bookmarkStart w:id="2564" w:name="_Toc113345076"/>
      <w:bookmarkStart w:id="2565" w:name="_Toc137461820"/>
      <w:bookmarkStart w:id="2566" w:name="_Toc137471411"/>
      <w:bookmarkStart w:id="2567" w:name="_Toc137471920"/>
      <w:r w:rsidRPr="002965D3">
        <w:t>Zero Income Interim Reexamination</w:t>
      </w:r>
      <w:bookmarkEnd w:id="2559"/>
      <w:bookmarkEnd w:id="2560"/>
      <w:bookmarkEnd w:id="2561"/>
      <w:bookmarkEnd w:id="2562"/>
      <w:bookmarkEnd w:id="2563"/>
      <w:bookmarkEnd w:id="2564"/>
      <w:bookmarkEnd w:id="2565"/>
      <w:bookmarkEnd w:id="2566"/>
      <w:bookmarkEnd w:id="2567"/>
    </w:p>
    <w:p w14:paraId="3D217097" w14:textId="77777777" w:rsidR="00DB4396" w:rsidRPr="002965D3" w:rsidRDefault="00DB4396" w:rsidP="00DB4396">
      <w:r w:rsidRPr="002965D3">
        <w:t xml:space="preserve">For families </w:t>
      </w:r>
      <w:r w:rsidR="000E0A0E">
        <w:t xml:space="preserve">in the Control and Excluded groups </w:t>
      </w:r>
      <w:r w:rsidRPr="002965D3">
        <w:t xml:space="preserve">with </w:t>
      </w:r>
      <w:r w:rsidRPr="002965D3">
        <w:rPr>
          <w:b/>
          <w:bCs/>
        </w:rPr>
        <w:t xml:space="preserve">income-based rents </w:t>
      </w:r>
      <w:r w:rsidRPr="002965D3">
        <w:t>(not applicable to families on</w:t>
      </w:r>
      <w:r w:rsidR="00EA7A66">
        <w:t xml:space="preserve"> non-tiered</w:t>
      </w:r>
      <w:r w:rsidRPr="002965D3">
        <w:t xml:space="preserve"> flat rents): when an entire family reports zero income, any family member who obtains any type of income is required to report the change between regular reexaminations. Once income is reported, the family is not required to report additional increases in income until the next regular reexamination.  </w:t>
      </w:r>
    </w:p>
    <w:p w14:paraId="46E92F57" w14:textId="38354177" w:rsidR="00DB4396" w:rsidRPr="002965D3" w:rsidRDefault="00DB4396" w:rsidP="00DB4396">
      <w:r w:rsidRPr="002965D3">
        <w:t xml:space="preserve">Increases in income for zero income families must be reported to </w:t>
      </w:r>
      <w:r w:rsidR="0019324C">
        <w:t>HHA</w:t>
      </w:r>
      <w:r w:rsidRPr="002965D3">
        <w:t xml:space="preserve"> </w:t>
      </w:r>
      <w:r w:rsidRPr="003B6D3F">
        <w:t xml:space="preserve">within </w:t>
      </w:r>
      <w:r w:rsidR="003B6D3F" w:rsidRPr="003B6D3F">
        <w:t>15 calendar</w:t>
      </w:r>
      <w:r w:rsidRPr="003B6D3F">
        <w:t xml:space="preserve"> days</w:t>
      </w:r>
      <w:r w:rsidRPr="002965D3">
        <w:t xml:space="preserve"> of the change. </w:t>
      </w:r>
      <w:r w:rsidR="0019324C">
        <w:t>HHA</w:t>
      </w:r>
      <w:r w:rsidRPr="002965D3">
        <w:t xml:space="preserve"> will process an interim reexamination and adjust rent when income is reported. As applicable, see the policies on verification for </w:t>
      </w:r>
      <w:r w:rsidRPr="002965D3">
        <w:rPr>
          <w:b/>
          <w:bCs/>
          <w:color w:val="0070C0"/>
        </w:rPr>
        <w:fldChar w:fldCharType="begin"/>
      </w:r>
      <w:r w:rsidRPr="002965D3">
        <w:rPr>
          <w:b/>
          <w:bCs/>
          <w:color w:val="0070C0"/>
        </w:rPr>
        <w:instrText xml:space="preserve"> REF _Ref103258554 \h  \* MERGEFORMAT </w:instrText>
      </w:r>
      <w:r w:rsidRPr="002965D3">
        <w:rPr>
          <w:b/>
          <w:bCs/>
          <w:color w:val="0070C0"/>
        </w:rPr>
      </w:r>
      <w:r w:rsidRPr="002965D3">
        <w:rPr>
          <w:b/>
          <w:bCs/>
          <w:color w:val="0070C0"/>
        </w:rPr>
        <w:fldChar w:fldCharType="separate"/>
      </w:r>
      <w:r w:rsidRPr="007219AE">
        <w:rPr>
          <w:b/>
          <w:bCs/>
          <w:color w:val="0070C0"/>
        </w:rPr>
        <w:t>Zero Income Household</w:t>
      </w:r>
      <w:r w:rsidRPr="002965D3">
        <w:rPr>
          <w:b/>
          <w:bCs/>
          <w:color w:val="0070C0"/>
        </w:rPr>
        <w:fldChar w:fldCharType="end"/>
      </w:r>
      <w:r w:rsidRPr="002965D3">
        <w:rPr>
          <w:b/>
          <w:bCs/>
          <w:color w:val="0070C0"/>
        </w:rPr>
        <w:t>s</w:t>
      </w:r>
      <w:r w:rsidRPr="002965D3">
        <w:t xml:space="preserve"> in the </w:t>
      </w:r>
      <w:r w:rsidR="004F557D" w:rsidRPr="004F557D">
        <w:rPr>
          <w:b/>
          <w:bCs/>
          <w:color w:val="0070C0"/>
        </w:rPr>
        <w:fldChar w:fldCharType="begin"/>
      </w:r>
      <w:r w:rsidR="004F557D" w:rsidRPr="004F557D">
        <w:rPr>
          <w:b/>
          <w:bCs/>
          <w:color w:val="0070C0"/>
        </w:rPr>
        <w:instrText xml:space="preserve"> REF _Ref150438144 \h  \* MERGEFORMAT </w:instrText>
      </w:r>
      <w:r w:rsidR="004F557D" w:rsidRPr="004F557D">
        <w:rPr>
          <w:b/>
          <w:bCs/>
          <w:color w:val="0070C0"/>
        </w:rPr>
      </w:r>
      <w:r w:rsidR="004F557D" w:rsidRPr="004F557D">
        <w:rPr>
          <w:b/>
          <w:bCs/>
          <w:color w:val="0070C0"/>
        </w:rPr>
        <w:fldChar w:fldCharType="separate"/>
      </w:r>
      <w:r w:rsidR="004F557D" w:rsidRPr="004F557D">
        <w:rPr>
          <w:b/>
          <w:bCs/>
          <w:color w:val="0070C0"/>
        </w:rPr>
        <w:t>VERIFICATION</w:t>
      </w:r>
      <w:r w:rsidR="004F557D" w:rsidRPr="004F557D">
        <w:rPr>
          <w:b/>
          <w:bCs/>
          <w:color w:val="0070C0"/>
        </w:rPr>
        <w:fldChar w:fldCharType="end"/>
      </w:r>
      <w:r w:rsidR="004F557D">
        <w:t xml:space="preserve"> </w:t>
      </w:r>
      <w:r w:rsidRPr="002965D3">
        <w:t xml:space="preserve">chapter. </w:t>
      </w:r>
    </w:p>
    <w:p w14:paraId="7AC9F850" w14:textId="77777777" w:rsidR="00DB4396" w:rsidRPr="002965D3" w:rsidRDefault="00DB4396" w:rsidP="00DB4396">
      <w:r w:rsidRPr="002965D3">
        <w:t xml:space="preserve">Households where only SNAP benefits are reported will be considered zero income households.  </w:t>
      </w:r>
    </w:p>
    <w:p w14:paraId="314821DB" w14:textId="77777777" w:rsidR="00DB4396" w:rsidRDefault="00DB4396" w:rsidP="00DB4396">
      <w:r w:rsidRPr="002965D3">
        <w:t xml:space="preserve">Where an adult family member receives zero income, but other family members report income, </w:t>
      </w:r>
      <w:r w:rsidR="0019324C">
        <w:t>HHA</w:t>
      </w:r>
      <w:r w:rsidRPr="002965D3">
        <w:t xml:space="preserve"> does not require the zero income family member to report increases in income between regular reexaminations.</w:t>
      </w:r>
    </w:p>
    <w:p w14:paraId="37478DB9" w14:textId="77777777" w:rsidR="00DB4396" w:rsidRPr="002965D3" w:rsidRDefault="0019324C" w:rsidP="00677451">
      <w:pPr>
        <w:pStyle w:val="Heading3"/>
      </w:pPr>
      <w:bookmarkStart w:id="2568" w:name="_Toc106037936"/>
      <w:bookmarkStart w:id="2569" w:name="_Toc106201575"/>
      <w:bookmarkStart w:id="2570" w:name="_Toc106202094"/>
      <w:bookmarkStart w:id="2571" w:name="_Toc106202620"/>
      <w:bookmarkStart w:id="2572" w:name="_Toc113345077"/>
      <w:bookmarkStart w:id="2573" w:name="_Toc137461821"/>
      <w:bookmarkStart w:id="2574" w:name="_Toc137471412"/>
      <w:bookmarkStart w:id="2575" w:name="_Toc137471921"/>
      <w:bookmarkStart w:id="2576" w:name="_Toc200375772"/>
      <w:r>
        <w:t>HHA</w:t>
      </w:r>
      <w:r w:rsidR="00DB4396" w:rsidRPr="002965D3">
        <w:t>-Initiated Interim</w:t>
      </w:r>
      <w:bookmarkEnd w:id="2568"/>
      <w:bookmarkEnd w:id="2569"/>
      <w:bookmarkEnd w:id="2570"/>
      <w:bookmarkEnd w:id="2571"/>
      <w:r w:rsidR="00DB4396" w:rsidRPr="002965D3">
        <w:t xml:space="preserve"> Reexaminations</w:t>
      </w:r>
      <w:bookmarkEnd w:id="2572"/>
      <w:bookmarkEnd w:id="2573"/>
      <w:bookmarkEnd w:id="2574"/>
      <w:bookmarkEnd w:id="2575"/>
      <w:bookmarkEnd w:id="2576"/>
    </w:p>
    <w:p w14:paraId="4F14D0C4" w14:textId="77777777" w:rsidR="00DB4396" w:rsidRPr="00EC5BA3" w:rsidRDefault="0019324C" w:rsidP="00406414">
      <w:pPr>
        <w:rPr>
          <w:strike/>
          <w:color w:val="FF0000"/>
        </w:rPr>
      </w:pPr>
      <w:r>
        <w:t>HHA</w:t>
      </w:r>
      <w:r w:rsidR="00DB4396" w:rsidRPr="002965D3">
        <w:t>-initiated interim reexaminations are those that are scheduled based on circumstances or</w:t>
      </w:r>
      <w:r w:rsidR="00DB4396">
        <w:t xml:space="preserve"> criteria</w:t>
      </w:r>
      <w:r w:rsidR="00DB4396">
        <w:rPr>
          <w:spacing w:val="-2"/>
        </w:rPr>
        <w:t xml:space="preserve"> </w:t>
      </w:r>
      <w:r w:rsidR="00DB4396">
        <w:t>defined</w:t>
      </w:r>
      <w:r w:rsidR="00DB4396">
        <w:rPr>
          <w:spacing w:val="-2"/>
        </w:rPr>
        <w:t xml:space="preserve"> </w:t>
      </w:r>
      <w:r w:rsidR="00DB4396">
        <w:t>by</w:t>
      </w:r>
      <w:r w:rsidR="00DB4396">
        <w:rPr>
          <w:spacing w:val="-7"/>
        </w:rPr>
        <w:t xml:space="preserve"> </w:t>
      </w:r>
      <w:r>
        <w:t>HHA</w:t>
      </w:r>
      <w:r w:rsidR="00DB4396">
        <w:t>.</w:t>
      </w:r>
      <w:r w:rsidR="00DB4396">
        <w:rPr>
          <w:spacing w:val="-2"/>
        </w:rPr>
        <w:t xml:space="preserve"> </w:t>
      </w:r>
      <w:r w:rsidR="00DB4396">
        <w:t>They</w:t>
      </w:r>
      <w:r w:rsidR="00DB4396">
        <w:rPr>
          <w:spacing w:val="-7"/>
        </w:rPr>
        <w:t xml:space="preserve"> </w:t>
      </w:r>
      <w:r w:rsidR="00DB4396">
        <w:t>are</w:t>
      </w:r>
      <w:r w:rsidR="00DB4396">
        <w:rPr>
          <w:spacing w:val="-4"/>
        </w:rPr>
        <w:t xml:space="preserve"> </w:t>
      </w:r>
      <w:r w:rsidR="00DB4396">
        <w:t>not</w:t>
      </w:r>
      <w:r w:rsidR="00DB4396">
        <w:rPr>
          <w:spacing w:val="-2"/>
        </w:rPr>
        <w:t xml:space="preserve"> </w:t>
      </w:r>
      <w:r w:rsidR="00DB4396">
        <w:t>scheduled</w:t>
      </w:r>
      <w:r w:rsidR="00DB4396">
        <w:rPr>
          <w:spacing w:val="-2"/>
        </w:rPr>
        <w:t xml:space="preserve"> </w:t>
      </w:r>
      <w:r w:rsidR="00DB4396">
        <w:t>because</w:t>
      </w:r>
      <w:r w:rsidR="00DB4396">
        <w:rPr>
          <w:spacing w:val="-3"/>
        </w:rPr>
        <w:t xml:space="preserve"> </w:t>
      </w:r>
      <w:r w:rsidR="00DB4396">
        <w:t>of</w:t>
      </w:r>
      <w:r w:rsidR="00DB4396">
        <w:rPr>
          <w:spacing w:val="-2"/>
        </w:rPr>
        <w:t xml:space="preserve"> </w:t>
      </w:r>
      <w:r w:rsidR="00DB4396">
        <w:t>changes</w:t>
      </w:r>
      <w:r w:rsidR="00DB4396">
        <w:rPr>
          <w:spacing w:val="-2"/>
        </w:rPr>
        <w:t xml:space="preserve"> </w:t>
      </w:r>
      <w:r w:rsidR="00DB4396">
        <w:t>reported</w:t>
      </w:r>
      <w:r w:rsidR="00DB4396">
        <w:rPr>
          <w:spacing w:val="-2"/>
        </w:rPr>
        <w:t xml:space="preserve"> </w:t>
      </w:r>
      <w:r w:rsidR="00DB4396">
        <w:t>by</w:t>
      </w:r>
      <w:r w:rsidR="00DB4396">
        <w:rPr>
          <w:spacing w:val="-7"/>
        </w:rPr>
        <w:t xml:space="preserve"> </w:t>
      </w:r>
      <w:r w:rsidR="00DB4396">
        <w:t>the</w:t>
      </w:r>
      <w:r w:rsidR="00DB4396">
        <w:rPr>
          <w:spacing w:val="-3"/>
        </w:rPr>
        <w:t xml:space="preserve"> </w:t>
      </w:r>
      <w:r w:rsidR="00DB4396">
        <w:t xml:space="preserve">family. </w:t>
      </w:r>
    </w:p>
    <w:p w14:paraId="6C99D1E2" w14:textId="77777777" w:rsidR="00DB4396" w:rsidRDefault="0019324C" w:rsidP="00EC5BA3">
      <w:r>
        <w:t>HHA</w:t>
      </w:r>
      <w:r w:rsidR="00DB4396" w:rsidRPr="00F45030">
        <w:t xml:space="preserve"> </w:t>
      </w:r>
      <w:r w:rsidR="00DB4396">
        <w:t>may</w:t>
      </w:r>
      <w:r w:rsidR="00DB4396" w:rsidRPr="00F45030">
        <w:t xml:space="preserve"> </w:t>
      </w:r>
      <w:r w:rsidR="00DB4396">
        <w:t>conduct</w:t>
      </w:r>
      <w:r w:rsidR="00DB4396" w:rsidRPr="00F45030">
        <w:t xml:space="preserve"> </w:t>
      </w:r>
      <w:r w:rsidR="00DB4396">
        <w:t>an</w:t>
      </w:r>
      <w:r w:rsidR="00DB4396" w:rsidRPr="00F45030">
        <w:t xml:space="preserve"> </w:t>
      </w:r>
      <w:r w:rsidR="00DB4396">
        <w:t>interim</w:t>
      </w:r>
      <w:r w:rsidR="00DB4396" w:rsidRPr="00F45030">
        <w:t xml:space="preserve"> </w:t>
      </w:r>
      <w:r w:rsidR="00DB4396">
        <w:t>reexamination</w:t>
      </w:r>
      <w:r w:rsidR="00DB4396" w:rsidRPr="00F45030">
        <w:t xml:space="preserve"> </w:t>
      </w:r>
      <w:r w:rsidR="00DB4396">
        <w:t>at</w:t>
      </w:r>
      <w:r w:rsidR="00DB4396" w:rsidRPr="00F45030">
        <w:t xml:space="preserve"> </w:t>
      </w:r>
      <w:r w:rsidR="00DB4396">
        <w:t>any</w:t>
      </w:r>
      <w:r w:rsidR="00DB4396" w:rsidRPr="00F45030">
        <w:t xml:space="preserve"> </w:t>
      </w:r>
      <w:r w:rsidR="00DB4396">
        <w:t>time</w:t>
      </w:r>
      <w:r w:rsidR="00DB4396" w:rsidRPr="00F45030">
        <w:t xml:space="preserve"> </w:t>
      </w:r>
      <w:r w:rsidR="00DB4396">
        <w:t>in</w:t>
      </w:r>
      <w:r w:rsidR="00DB4396" w:rsidRPr="00F45030">
        <w:t xml:space="preserve"> </w:t>
      </w:r>
      <w:r w:rsidR="00DB4396">
        <w:t>order</w:t>
      </w:r>
      <w:r w:rsidR="00DB4396" w:rsidRPr="00F45030">
        <w:t xml:space="preserve"> </w:t>
      </w:r>
      <w:r w:rsidR="00DB4396">
        <w:t>to</w:t>
      </w:r>
      <w:r w:rsidR="00DB4396" w:rsidRPr="00F45030">
        <w:t xml:space="preserve"> </w:t>
      </w:r>
      <w:r w:rsidR="00DB4396">
        <w:t>correct an error in a previous reexamination, or to investigate a tenant fraud complaint.</w:t>
      </w:r>
    </w:p>
    <w:p w14:paraId="6415AD68" w14:textId="77777777" w:rsidR="00DB4396" w:rsidRPr="00CF6813" w:rsidRDefault="00DB4396" w:rsidP="00677451">
      <w:pPr>
        <w:pStyle w:val="Heading3"/>
      </w:pPr>
      <w:bookmarkStart w:id="2577" w:name="_Toc527019579"/>
      <w:bookmarkStart w:id="2578" w:name="_Toc534707120"/>
      <w:bookmarkStart w:id="2579" w:name="_Toc534707798"/>
      <w:bookmarkStart w:id="2580" w:name="_Toc534708606"/>
      <w:bookmarkStart w:id="2581" w:name="_Toc106037937"/>
      <w:bookmarkStart w:id="2582" w:name="_Toc106201576"/>
      <w:bookmarkStart w:id="2583" w:name="_Toc106202095"/>
      <w:bookmarkStart w:id="2584" w:name="_Toc106202621"/>
      <w:bookmarkStart w:id="2585" w:name="_Toc113345078"/>
      <w:bookmarkStart w:id="2586" w:name="_Toc137461822"/>
      <w:bookmarkStart w:id="2587" w:name="_Toc137471413"/>
      <w:bookmarkStart w:id="2588" w:name="_Toc137471922"/>
      <w:bookmarkStart w:id="2589" w:name="_Toc200375773"/>
      <w:r w:rsidRPr="00CF6813">
        <w:t>Optional Interims</w:t>
      </w:r>
      <w:bookmarkEnd w:id="2577"/>
      <w:bookmarkEnd w:id="2578"/>
      <w:bookmarkEnd w:id="2579"/>
      <w:bookmarkEnd w:id="2580"/>
      <w:bookmarkEnd w:id="2581"/>
      <w:bookmarkEnd w:id="2582"/>
      <w:bookmarkEnd w:id="2583"/>
      <w:bookmarkEnd w:id="2584"/>
      <w:bookmarkEnd w:id="2585"/>
      <w:bookmarkEnd w:id="2586"/>
      <w:bookmarkEnd w:id="2587"/>
      <w:bookmarkEnd w:id="2588"/>
      <w:bookmarkEnd w:id="2589"/>
    </w:p>
    <w:p w14:paraId="2EAA549C" w14:textId="77777777" w:rsidR="00DB4396" w:rsidRPr="002965D3" w:rsidRDefault="00DB4396" w:rsidP="00DB4396">
      <w:r>
        <w:t>Families</w:t>
      </w:r>
      <w:r w:rsidR="003F3609">
        <w:t xml:space="preserve"> </w:t>
      </w:r>
      <w:r>
        <w:t>with income-based rent</w:t>
      </w:r>
      <w:r w:rsidRPr="00D0694F">
        <w:t xml:space="preserve"> may request </w:t>
      </w:r>
      <w:r w:rsidRPr="002965D3">
        <w:t xml:space="preserve">an interim reexamination any time the family has experienced a change in circumstances since the last determination. Families </w:t>
      </w:r>
      <w:r w:rsidR="006939CF">
        <w:t xml:space="preserve">in the Control and Excluded groups </w:t>
      </w:r>
      <w:r w:rsidRPr="002965D3">
        <w:t>on</w:t>
      </w:r>
      <w:r w:rsidR="002D1FDD">
        <w:t xml:space="preserve"> non-tiered</w:t>
      </w:r>
      <w:r w:rsidRPr="002965D3">
        <w:t xml:space="preserve"> flat rents may also request to change back to income-based rent due to changes in their circumstances (see </w:t>
      </w:r>
      <w:r w:rsidR="006C5D4F" w:rsidRPr="006C5D4F">
        <w:rPr>
          <w:b/>
          <w:bCs/>
          <w:color w:val="0070C0"/>
        </w:rPr>
        <w:fldChar w:fldCharType="begin"/>
      </w:r>
      <w:r w:rsidR="006C5D4F" w:rsidRPr="006C5D4F">
        <w:rPr>
          <w:b/>
          <w:bCs/>
          <w:color w:val="0070C0"/>
        </w:rPr>
        <w:instrText xml:space="preserve"> REF _Ref160536800 \h  \* MERGEFORMAT </w:instrText>
      </w:r>
      <w:r w:rsidR="006C5D4F" w:rsidRPr="006C5D4F">
        <w:rPr>
          <w:b/>
          <w:bCs/>
          <w:color w:val="0070C0"/>
        </w:rPr>
      </w:r>
      <w:r w:rsidR="006C5D4F" w:rsidRPr="006C5D4F">
        <w:rPr>
          <w:b/>
          <w:bCs/>
          <w:color w:val="0070C0"/>
        </w:rPr>
        <w:fldChar w:fldCharType="separate"/>
      </w:r>
      <w:r w:rsidR="006C5D4F" w:rsidRPr="006C5D4F">
        <w:rPr>
          <w:b/>
          <w:bCs/>
          <w:color w:val="0070C0"/>
        </w:rPr>
        <w:t>Changing from Non-Tiered Flat Rent to Income-Based Rent Due to Hardship</w:t>
      </w:r>
      <w:r w:rsidR="006C5D4F" w:rsidRPr="006C5D4F">
        <w:rPr>
          <w:b/>
          <w:bCs/>
          <w:color w:val="0070C0"/>
        </w:rPr>
        <w:fldChar w:fldCharType="end"/>
      </w:r>
      <w:r w:rsidRPr="002965D3">
        <w:t xml:space="preserve">). </w:t>
      </w:r>
      <w:r w:rsidR="0019324C">
        <w:t>HHA</w:t>
      </w:r>
      <w:r w:rsidRPr="002965D3">
        <w:t xml:space="preserve"> will process the request if the family reports a change that will result in a reduced family income.</w:t>
      </w:r>
      <w:r w:rsidR="006939CF">
        <w:t xml:space="preserve"> </w:t>
      </w:r>
      <w:r w:rsidR="00C54F62">
        <w:t xml:space="preserve"> </w:t>
      </w:r>
      <w:r w:rsidR="005E004B">
        <w:t xml:space="preserve"> </w:t>
      </w:r>
    </w:p>
    <w:p w14:paraId="577CB8BE" w14:textId="77777777" w:rsidR="00DB4396" w:rsidRPr="002965D3" w:rsidRDefault="00DB4396" w:rsidP="00DB4396">
      <w:r w:rsidRPr="002965D3">
        <w:t xml:space="preserve">If a family reports a change that it was not required to report and that would result in an </w:t>
      </w:r>
      <w:r w:rsidRPr="002965D3">
        <w:rPr>
          <w:i/>
          <w:iCs/>
        </w:rPr>
        <w:t>increase</w:t>
      </w:r>
      <w:r w:rsidRPr="002965D3">
        <w:t xml:space="preserve"> in the family share of the rent, </w:t>
      </w:r>
      <w:r w:rsidR="0019324C">
        <w:t>HHA</w:t>
      </w:r>
      <w:r w:rsidRPr="002965D3">
        <w:t xml:space="preserve"> will not conduct an interim reexamination.</w:t>
      </w:r>
    </w:p>
    <w:p w14:paraId="66C82338" w14:textId="77777777" w:rsidR="00DB4396" w:rsidRPr="002965D3" w:rsidRDefault="00DB4396" w:rsidP="00DB4396">
      <w:r w:rsidRPr="002965D3">
        <w:t xml:space="preserve">If a family reports a change that it was not required to report and that would result in a </w:t>
      </w:r>
      <w:r w:rsidRPr="002965D3">
        <w:rPr>
          <w:i/>
          <w:iCs/>
        </w:rPr>
        <w:t>decrease</w:t>
      </w:r>
      <w:r w:rsidRPr="002965D3">
        <w:t xml:space="preserve"> in the family share of rent, </w:t>
      </w:r>
      <w:r w:rsidR="0019324C">
        <w:t>HHA</w:t>
      </w:r>
      <w:r w:rsidRPr="002965D3">
        <w:t xml:space="preserve"> will conduct an interim reexamination.</w:t>
      </w:r>
    </w:p>
    <w:p w14:paraId="26FBFF26" w14:textId="77777777" w:rsidR="00DB4396" w:rsidRPr="002965D3" w:rsidRDefault="00DB4396" w:rsidP="009010F0">
      <w:pPr>
        <w:pStyle w:val="Heading4"/>
      </w:pPr>
      <w:bookmarkStart w:id="2590" w:name="_Toc527019580"/>
      <w:bookmarkStart w:id="2591" w:name="_Toc534707121"/>
      <w:bookmarkStart w:id="2592" w:name="_Toc534707799"/>
      <w:bookmarkStart w:id="2593" w:name="_Toc534708607"/>
      <w:r w:rsidRPr="002965D3">
        <w:t>Decrease in Income</w:t>
      </w:r>
      <w:bookmarkEnd w:id="2590"/>
      <w:bookmarkEnd w:id="2591"/>
      <w:bookmarkEnd w:id="2592"/>
      <w:bookmarkEnd w:id="2593"/>
      <w:r w:rsidRPr="002965D3">
        <w:t>/Increase in Expenses</w:t>
      </w:r>
    </w:p>
    <w:p w14:paraId="2C782C8C" w14:textId="77777777" w:rsidR="00DB4396" w:rsidRPr="006C5D4F" w:rsidRDefault="00DB4396" w:rsidP="00DB4396">
      <w:pPr>
        <w:pStyle w:val="CommentText"/>
        <w:rPr>
          <w:sz w:val="22"/>
          <w:szCs w:val="22"/>
        </w:rPr>
      </w:pPr>
      <w:r w:rsidRPr="006C5D4F">
        <w:rPr>
          <w:sz w:val="22"/>
          <w:szCs w:val="22"/>
        </w:rPr>
        <w:t xml:space="preserve">The family may request an interim reexamination any time they have experienced a change in circumstances since their last regular recertification. </w:t>
      </w:r>
    </w:p>
    <w:p w14:paraId="1951C53D" w14:textId="77777777" w:rsidR="00DB4396" w:rsidRPr="009010F0" w:rsidRDefault="00DB4396" w:rsidP="009010F0">
      <w:r w:rsidRPr="006C5D4F">
        <w:t xml:space="preserve">A </w:t>
      </w:r>
      <w:r w:rsidRPr="006C5D4F">
        <w:rPr>
          <w:i/>
          <w:iCs/>
        </w:rPr>
        <w:t>decrease in income</w:t>
      </w:r>
      <w:r w:rsidRPr="006C5D4F">
        <w:t xml:space="preserve"> is any reduction in household income that is expected to last 30 days or longer. An </w:t>
      </w:r>
      <w:r w:rsidRPr="006C5D4F">
        <w:rPr>
          <w:i/>
          <w:iCs/>
        </w:rPr>
        <w:t>increase</w:t>
      </w:r>
      <w:r w:rsidRPr="009010F0">
        <w:rPr>
          <w:i/>
          <w:iCs/>
        </w:rPr>
        <w:t xml:space="preserve"> in expenses</w:t>
      </w:r>
      <w:r w:rsidRPr="009010F0">
        <w:t xml:space="preserve"> is any increase in allowable expense deductions that is expected to last 30 days or longer.</w:t>
      </w:r>
    </w:p>
    <w:p w14:paraId="7108687C" w14:textId="77777777" w:rsidR="00DB4396" w:rsidRPr="009010F0" w:rsidRDefault="00DB4396" w:rsidP="009010F0">
      <w:pPr>
        <w:pStyle w:val="CommentText"/>
        <w:spacing w:line="259" w:lineRule="auto"/>
        <w:rPr>
          <w:sz w:val="22"/>
          <w:szCs w:val="22"/>
        </w:rPr>
      </w:pPr>
      <w:r w:rsidRPr="009010F0">
        <w:rPr>
          <w:sz w:val="22"/>
          <w:szCs w:val="22"/>
        </w:rPr>
        <w:t xml:space="preserve">If a family reports a decrease in income from the loss of welfare benefits due to fraud or noncompliance with a welfare agency requirement to participate in an economic self-sufficiency program, the family’s share of the rent will not be reduced. For more information regarding the requirement to impute welfare income see </w:t>
      </w:r>
      <w:r w:rsidRPr="009010F0">
        <w:rPr>
          <w:b/>
          <w:color w:val="0070C0"/>
          <w:sz w:val="22"/>
          <w:szCs w:val="22"/>
        </w:rPr>
        <w:fldChar w:fldCharType="begin"/>
      </w:r>
      <w:r w:rsidRPr="009010F0">
        <w:rPr>
          <w:b/>
          <w:color w:val="0070C0"/>
          <w:sz w:val="22"/>
          <w:szCs w:val="22"/>
        </w:rPr>
        <w:instrText xml:space="preserve"> REF _Ref524354478 \h  \* MERGEFORMAT </w:instrText>
      </w:r>
      <w:r w:rsidRPr="009010F0">
        <w:rPr>
          <w:b/>
          <w:color w:val="0070C0"/>
          <w:sz w:val="22"/>
          <w:szCs w:val="22"/>
        </w:rPr>
      </w:r>
      <w:r w:rsidRPr="009010F0">
        <w:rPr>
          <w:b/>
          <w:color w:val="0070C0"/>
          <w:sz w:val="22"/>
          <w:szCs w:val="22"/>
        </w:rPr>
        <w:fldChar w:fldCharType="separate"/>
      </w:r>
      <w:r w:rsidRPr="009010F0">
        <w:rPr>
          <w:b/>
          <w:color w:val="0070C0"/>
          <w:sz w:val="22"/>
          <w:szCs w:val="22"/>
        </w:rPr>
        <w:t>ANNUAL INCOME</w:t>
      </w:r>
      <w:r w:rsidRPr="009010F0">
        <w:rPr>
          <w:b/>
          <w:color w:val="0070C0"/>
          <w:sz w:val="22"/>
          <w:szCs w:val="22"/>
        </w:rPr>
        <w:fldChar w:fldCharType="end"/>
      </w:r>
      <w:r w:rsidRPr="009010F0">
        <w:rPr>
          <w:sz w:val="22"/>
          <w:szCs w:val="22"/>
        </w:rPr>
        <w:t xml:space="preserve">. </w:t>
      </w:r>
    </w:p>
    <w:p w14:paraId="6A9D4725" w14:textId="77777777" w:rsidR="00DB4396" w:rsidRPr="002965D3" w:rsidRDefault="00DB4396" w:rsidP="00677451">
      <w:pPr>
        <w:pStyle w:val="Heading3"/>
      </w:pPr>
      <w:bookmarkStart w:id="2594" w:name="_Toc527019582"/>
      <w:bookmarkStart w:id="2595" w:name="_Toc534707123"/>
      <w:bookmarkStart w:id="2596" w:name="_Toc534707801"/>
      <w:bookmarkStart w:id="2597" w:name="_Toc534708609"/>
      <w:bookmarkStart w:id="2598" w:name="_Toc106037939"/>
      <w:bookmarkStart w:id="2599" w:name="_Toc106201578"/>
      <w:bookmarkStart w:id="2600" w:name="_Toc106202097"/>
      <w:bookmarkStart w:id="2601" w:name="_Toc106202623"/>
      <w:bookmarkStart w:id="2602" w:name="_Toc113345079"/>
      <w:bookmarkStart w:id="2603" w:name="_Toc137461823"/>
      <w:bookmarkStart w:id="2604" w:name="_Toc137471414"/>
      <w:bookmarkStart w:id="2605" w:name="_Toc137471923"/>
      <w:bookmarkStart w:id="2606" w:name="_Toc200375774"/>
      <w:r w:rsidRPr="002965D3">
        <w:t>Effective Dates for Interim Rent Changes</w:t>
      </w:r>
      <w:bookmarkEnd w:id="2594"/>
      <w:bookmarkEnd w:id="2595"/>
      <w:bookmarkEnd w:id="2596"/>
      <w:bookmarkEnd w:id="2597"/>
      <w:bookmarkEnd w:id="2598"/>
      <w:bookmarkEnd w:id="2599"/>
      <w:bookmarkEnd w:id="2600"/>
      <w:bookmarkEnd w:id="2601"/>
      <w:bookmarkEnd w:id="2602"/>
      <w:bookmarkEnd w:id="2603"/>
      <w:bookmarkEnd w:id="2604"/>
      <w:bookmarkEnd w:id="2605"/>
      <w:bookmarkEnd w:id="2606"/>
    </w:p>
    <w:p w14:paraId="2EBF3813" w14:textId="77777777" w:rsidR="00DB4396" w:rsidRPr="002965D3" w:rsidRDefault="00DB4396" w:rsidP="00113BCF">
      <w:pPr>
        <w:pStyle w:val="Heading4"/>
      </w:pPr>
      <w:bookmarkStart w:id="2607" w:name="_Toc527019583"/>
      <w:bookmarkStart w:id="2608" w:name="_Toc534707124"/>
      <w:bookmarkStart w:id="2609" w:name="_Toc534707802"/>
      <w:bookmarkStart w:id="2610" w:name="_Toc534708610"/>
      <w:r w:rsidRPr="002965D3">
        <w:t>Interim Rent Increases</w:t>
      </w:r>
      <w:bookmarkEnd w:id="2607"/>
      <w:bookmarkEnd w:id="2608"/>
      <w:bookmarkEnd w:id="2609"/>
      <w:bookmarkEnd w:id="2610"/>
    </w:p>
    <w:p w14:paraId="78D6FE60" w14:textId="77777777" w:rsidR="00DB4396" w:rsidRPr="002965D3" w:rsidRDefault="00DB4396" w:rsidP="00DB4396">
      <w:r w:rsidRPr="002965D3">
        <w:t xml:space="preserve">An increase in tenant rent at the time of an interim reexamination will generally be effective on the first of the month following 30 days’ notice to the household. </w:t>
      </w:r>
    </w:p>
    <w:p w14:paraId="6AE9A208" w14:textId="77777777" w:rsidR="00DB4396" w:rsidRPr="002965D3" w:rsidRDefault="00DB4396" w:rsidP="00DB4396">
      <w:r w:rsidRPr="002965D3">
        <w:t>If a family fails to report a change within the required time frames,</w:t>
      </w:r>
      <w:r w:rsidRPr="00D0694F">
        <w:t xml:space="preserve"> or </w:t>
      </w:r>
      <w:r w:rsidRPr="002965D3">
        <w:t xml:space="preserve">fails to provide all required information within the required time frames, the increase will be applied retroactively, to the first of the month following the date the increase occurred. The family will be responsible for any overpaid subsidy and may be offered a repayment agreement (see </w:t>
      </w:r>
      <w:r w:rsidRPr="002965D3">
        <w:rPr>
          <w:b/>
          <w:color w:val="0070C0"/>
        </w:rPr>
        <w:fldChar w:fldCharType="begin"/>
      </w:r>
      <w:r w:rsidRPr="002965D3">
        <w:rPr>
          <w:b/>
          <w:color w:val="0070C0"/>
        </w:rPr>
        <w:instrText xml:space="preserve"> REF _Ref1569658 \h  \* MERGEFORMAT </w:instrText>
      </w:r>
      <w:r w:rsidRPr="002965D3">
        <w:rPr>
          <w:b/>
          <w:color w:val="0070C0"/>
        </w:rPr>
      </w:r>
      <w:r w:rsidRPr="002965D3">
        <w:rPr>
          <w:b/>
          <w:color w:val="0070C0"/>
        </w:rPr>
        <w:fldChar w:fldCharType="separate"/>
      </w:r>
      <w:r w:rsidRPr="007219AE">
        <w:rPr>
          <w:b/>
          <w:caps/>
          <w:color w:val="0070C0"/>
        </w:rPr>
        <w:t>REPAYMENT AGREEMENTS</w:t>
      </w:r>
      <w:r w:rsidRPr="002965D3">
        <w:rPr>
          <w:b/>
          <w:color w:val="0070C0"/>
        </w:rPr>
        <w:fldChar w:fldCharType="end"/>
      </w:r>
      <w:r w:rsidRPr="002965D3">
        <w:t>).</w:t>
      </w:r>
    </w:p>
    <w:p w14:paraId="1FFA022C" w14:textId="77777777" w:rsidR="00DB4396" w:rsidRPr="002965D3" w:rsidRDefault="00DB4396" w:rsidP="00113BCF">
      <w:pPr>
        <w:pStyle w:val="Heading4"/>
      </w:pPr>
      <w:bookmarkStart w:id="2611" w:name="_Toc527019584"/>
      <w:bookmarkStart w:id="2612" w:name="_Toc534707125"/>
      <w:bookmarkStart w:id="2613" w:name="_Toc534707803"/>
      <w:bookmarkStart w:id="2614" w:name="_Toc534708611"/>
      <w:r w:rsidRPr="002965D3">
        <w:t>Interim Rent Decreases</w:t>
      </w:r>
      <w:bookmarkEnd w:id="2611"/>
      <w:bookmarkEnd w:id="2612"/>
      <w:bookmarkEnd w:id="2613"/>
      <w:bookmarkEnd w:id="2614"/>
    </w:p>
    <w:p w14:paraId="55320FCD" w14:textId="77777777" w:rsidR="00DB4396" w:rsidRDefault="00DB4396" w:rsidP="00DB4396">
      <w:r w:rsidRPr="002965D3">
        <w:t>A decrease in tenant rent at the time of an interim reexamination will be effective on the first day of the month following the month in which the change was reported and all required documentation was submitted. In cases where the change cannot be verified, through no fault of the tenant, until after the date the change would have become effective, the change will be made retroactively</w:t>
      </w:r>
      <w:r w:rsidR="00ED6597">
        <w:t xml:space="preserve"> to the first of the month following the month in which the change was reported</w:t>
      </w:r>
      <w:r w:rsidRPr="002965D3">
        <w:t xml:space="preserve">. If a household fails to report a decrease in income timely, </w:t>
      </w:r>
      <w:r w:rsidR="0019324C">
        <w:t>HHA</w:t>
      </w:r>
      <w:r w:rsidRPr="002965D3">
        <w:t xml:space="preserve"> will not apply the decrease in rent retroactively.</w:t>
      </w:r>
    </w:p>
    <w:p w14:paraId="7C94FFB0" w14:textId="77777777" w:rsidR="00762859" w:rsidRPr="00A44C21" w:rsidRDefault="00762859" w:rsidP="00762859">
      <w:pPr>
        <w:pStyle w:val="Heading2"/>
      </w:pPr>
      <w:bookmarkStart w:id="2615" w:name="_Toc173222745"/>
      <w:bookmarkStart w:id="2616" w:name="_Toc200375775"/>
      <w:bookmarkStart w:id="2617" w:name="_Toc200377011"/>
      <w:r>
        <w:t>Non-Interim Reexamination Transactions</w:t>
      </w:r>
      <w:bookmarkEnd w:id="2615"/>
      <w:bookmarkEnd w:id="2616"/>
      <w:bookmarkEnd w:id="2617"/>
    </w:p>
    <w:p w14:paraId="5618CE8F" w14:textId="77777777" w:rsidR="00D60377" w:rsidRPr="0018067A" w:rsidRDefault="00D60377" w:rsidP="00D60377">
      <w:pPr>
        <w:pStyle w:val="ListParagraph"/>
        <w:pBdr>
          <w:top w:val="single" w:sz="4" w:space="1" w:color="auto"/>
          <w:left w:val="single" w:sz="4" w:space="4" w:color="auto"/>
          <w:bottom w:val="single" w:sz="4" w:space="1" w:color="auto"/>
          <w:right w:val="single" w:sz="4" w:space="4" w:color="auto"/>
        </w:pBdr>
        <w:ind w:left="0"/>
        <w:rPr>
          <w:b/>
          <w:bCs/>
          <w:i/>
          <w:iCs/>
          <w:u w:val="single"/>
        </w:rPr>
      </w:pPr>
      <w:r w:rsidRPr="0018067A">
        <w:rPr>
          <w:b/>
          <w:bCs/>
          <w:i/>
          <w:iCs/>
        </w:rPr>
        <w:t xml:space="preserve">Note: the following </w:t>
      </w:r>
      <w:r>
        <w:rPr>
          <w:b/>
          <w:bCs/>
          <w:i/>
          <w:iCs/>
        </w:rPr>
        <w:t>section is</w:t>
      </w:r>
      <w:r w:rsidRPr="0018067A">
        <w:rPr>
          <w:b/>
          <w:bCs/>
          <w:i/>
          <w:iCs/>
        </w:rPr>
        <w:t xml:space="preserve"> only applicable upon implementation of the HOTMA Final Rule (Sections 102 and 104)</w:t>
      </w:r>
      <w:r>
        <w:rPr>
          <w:b/>
          <w:bCs/>
          <w:i/>
          <w:iCs/>
        </w:rPr>
        <w:t xml:space="preserve"> and implementation of the HIP system</w:t>
      </w:r>
      <w:r w:rsidRPr="0018067A">
        <w:rPr>
          <w:b/>
          <w:bCs/>
          <w:i/>
          <w:iCs/>
        </w:rPr>
        <w:t xml:space="preserve">. Prior to implementation, the following </w:t>
      </w:r>
      <w:r>
        <w:rPr>
          <w:b/>
          <w:bCs/>
          <w:i/>
          <w:iCs/>
        </w:rPr>
        <w:t>does not apply.</w:t>
      </w:r>
    </w:p>
    <w:p w14:paraId="7B22096E" w14:textId="77777777" w:rsidR="00762859" w:rsidRDefault="00762859" w:rsidP="00762859">
      <w:r>
        <w:t xml:space="preserve">Families may experience changes within the household that do not trigger an interim reexamination under HHA policy and HUD regulations but which HHA must still report to HUD via form HUD-50058. These are known as non-interim reexamination transactions. In these cases, </w:t>
      </w:r>
      <w:r w:rsidR="00AF2E69">
        <w:t xml:space="preserve">upon implementation of HOTMA, </w:t>
      </w:r>
      <w:r>
        <w:t xml:space="preserve">HHA will submit a separate, new action code on form HUD-50058. The following is a list of non-interim reexamination transactions: </w:t>
      </w:r>
    </w:p>
    <w:p w14:paraId="63D0C2F6" w14:textId="77777777" w:rsidR="00762859" w:rsidRPr="00762859" w:rsidRDefault="00762859" w:rsidP="007F177E">
      <w:pPr>
        <w:pStyle w:val="ListParagraph"/>
        <w:numPr>
          <w:ilvl w:val="0"/>
          <w:numId w:val="194"/>
        </w:numPr>
        <w:contextualSpacing w:val="0"/>
      </w:pPr>
      <w:r w:rsidRPr="00762859">
        <w:t>Adding or removing a hardship exemption for the child care expense deduction;</w:t>
      </w:r>
    </w:p>
    <w:p w14:paraId="5AD436E6" w14:textId="77777777" w:rsidR="00762859" w:rsidRPr="00762859" w:rsidRDefault="00762859" w:rsidP="007F177E">
      <w:pPr>
        <w:pStyle w:val="ListParagraph"/>
        <w:numPr>
          <w:ilvl w:val="0"/>
          <w:numId w:val="194"/>
        </w:numPr>
        <w:contextualSpacing w:val="0"/>
      </w:pPr>
      <w:r w:rsidRPr="00762859">
        <w:t>Updating or removing the phased-in hardship relief for the health and medical care expense deduction and/or reasonable attendant care and auxiliary apparatus expense deduction (families will begin receiving a 24-month phased-in relief at their next annual or interim reexamination, whichever occurs first)(the phased-in relief will begin at an eligible family’s first annual or interim reexamination, whichever is sooner, after implementation of HOTMA);</w:t>
      </w:r>
    </w:p>
    <w:p w14:paraId="1A4B0619" w14:textId="77777777" w:rsidR="006F435A" w:rsidRDefault="00762859" w:rsidP="007F177E">
      <w:pPr>
        <w:pStyle w:val="ListParagraph"/>
        <w:numPr>
          <w:ilvl w:val="0"/>
          <w:numId w:val="194"/>
        </w:numPr>
        <w:contextualSpacing w:val="0"/>
      </w:pPr>
      <w:r w:rsidRPr="00762859">
        <w:t>Adding or removing general hardship relief for the health and medical care expense deduction and/or reasonable attendant care and auxiliary apparatus expense deduction</w:t>
      </w:r>
    </w:p>
    <w:p w14:paraId="4B35C02D" w14:textId="77777777" w:rsidR="00762859" w:rsidRPr="00762859" w:rsidRDefault="00762859" w:rsidP="007F177E">
      <w:pPr>
        <w:pStyle w:val="ListParagraph"/>
        <w:numPr>
          <w:ilvl w:val="0"/>
          <w:numId w:val="194"/>
        </w:numPr>
        <w:contextualSpacing w:val="0"/>
      </w:pPr>
      <w:r w:rsidRPr="00762859">
        <w:t xml:space="preserve">Adding or removing a minimum rent hardship; </w:t>
      </w:r>
    </w:p>
    <w:p w14:paraId="681A690B" w14:textId="77777777" w:rsidR="006F435A" w:rsidRDefault="00762859" w:rsidP="007F177E">
      <w:pPr>
        <w:pStyle w:val="ListParagraph"/>
        <w:numPr>
          <w:ilvl w:val="0"/>
          <w:numId w:val="194"/>
        </w:numPr>
        <w:contextualSpacing w:val="0"/>
      </w:pPr>
      <w:r w:rsidRPr="00762859">
        <w:t>Adding or removing a non-family member (i.e., live-in aide, foster child, foster adult);</w:t>
      </w:r>
    </w:p>
    <w:p w14:paraId="583CBE03" w14:textId="77777777" w:rsidR="006F435A" w:rsidRDefault="00762859" w:rsidP="007F177E">
      <w:pPr>
        <w:pStyle w:val="ListParagraph"/>
        <w:numPr>
          <w:ilvl w:val="0"/>
          <w:numId w:val="194"/>
        </w:numPr>
        <w:contextualSpacing w:val="0"/>
      </w:pPr>
      <w:r w:rsidRPr="00762859">
        <w:t>Ending a family’s EID or excluding 50 percent (decreased from 100 percent) of a family member’s increase in employment income at the start of the second 12- month EID period.</w:t>
      </w:r>
    </w:p>
    <w:p w14:paraId="2D524BF6" w14:textId="77777777" w:rsidR="006F435A" w:rsidRDefault="00762859" w:rsidP="007F177E">
      <w:pPr>
        <w:pStyle w:val="ListParagraph"/>
        <w:numPr>
          <w:ilvl w:val="0"/>
          <w:numId w:val="194"/>
        </w:numPr>
        <w:contextualSpacing w:val="0"/>
      </w:pPr>
      <w:r w:rsidRPr="00762859">
        <w:t>Adding a family member and the increase in adjusted income does not trigger an interim reexamination under the final rule;</w:t>
      </w:r>
    </w:p>
    <w:p w14:paraId="4938F229" w14:textId="77777777" w:rsidR="00762859" w:rsidRPr="00762859" w:rsidRDefault="00762859" w:rsidP="007F177E">
      <w:pPr>
        <w:pStyle w:val="ListParagraph"/>
        <w:numPr>
          <w:ilvl w:val="0"/>
          <w:numId w:val="194"/>
        </w:numPr>
        <w:contextualSpacing w:val="0"/>
      </w:pPr>
      <w:r w:rsidRPr="00762859">
        <w:t xml:space="preserve">Removing a family member and the increase in adjusted income does not trigger an interim reexamination under the final rule; </w:t>
      </w:r>
    </w:p>
    <w:p w14:paraId="28AEE7E9" w14:textId="77777777" w:rsidR="006F435A" w:rsidRDefault="00762859" w:rsidP="007F177E">
      <w:pPr>
        <w:pStyle w:val="ListParagraph"/>
        <w:numPr>
          <w:ilvl w:val="0"/>
          <w:numId w:val="194"/>
        </w:numPr>
        <w:contextualSpacing w:val="0"/>
      </w:pPr>
      <w:r w:rsidRPr="00762859">
        <w:t>Adding/updating a family or household member’s Social Security number; and</w:t>
      </w:r>
    </w:p>
    <w:p w14:paraId="5903A764" w14:textId="77777777" w:rsidR="00762859" w:rsidRPr="00762859" w:rsidRDefault="00762859" w:rsidP="007F177E">
      <w:pPr>
        <w:pStyle w:val="ListParagraph"/>
        <w:numPr>
          <w:ilvl w:val="0"/>
          <w:numId w:val="194"/>
        </w:numPr>
        <w:contextualSpacing w:val="0"/>
      </w:pPr>
      <w:r w:rsidRPr="00762859">
        <w:t>Updating a family member’s citizenship status from eligible to ineligible or vice versa, resulting in a change to the family’s rent and/or utility reimbursement, if applicable (i.e., family begins receiving prorated assistance or previously prorated assistance becomes full assistance), or updating the prorated rent calculation due to the addition or removal of family members in household with an ineligible noncitizen(s).</w:t>
      </w:r>
    </w:p>
    <w:p w14:paraId="7C3987AF" w14:textId="77777777" w:rsidR="00762859" w:rsidRDefault="00762859" w:rsidP="00762859">
      <w:r>
        <w:t>HHA will make all other changes to assets, income, and deductions at the next regular or interim reexamination, as applicable.</w:t>
      </w:r>
    </w:p>
    <w:p w14:paraId="4617350B" w14:textId="77777777" w:rsidR="00DB4396" w:rsidRPr="002965D3" w:rsidRDefault="00113BCF" w:rsidP="00DB4396">
      <w:pPr>
        <w:pStyle w:val="Heading2"/>
      </w:pPr>
      <w:bookmarkStart w:id="2618" w:name="_Toc527019585"/>
      <w:bookmarkStart w:id="2619" w:name="_Toc534707126"/>
      <w:bookmarkStart w:id="2620" w:name="_Toc534707804"/>
      <w:bookmarkStart w:id="2621" w:name="_Toc534708612"/>
      <w:bookmarkStart w:id="2622" w:name="_Toc106037940"/>
      <w:bookmarkStart w:id="2623" w:name="_Toc106201579"/>
      <w:bookmarkStart w:id="2624" w:name="_Toc106202098"/>
      <w:bookmarkStart w:id="2625" w:name="_Toc106202624"/>
      <w:bookmarkStart w:id="2626" w:name="_Toc113345080"/>
      <w:bookmarkStart w:id="2627" w:name="_Toc137460415"/>
      <w:bookmarkStart w:id="2628" w:name="_Toc137460660"/>
      <w:bookmarkStart w:id="2629" w:name="_Toc137460905"/>
      <w:bookmarkStart w:id="2630" w:name="_Toc137461824"/>
      <w:bookmarkStart w:id="2631" w:name="_Toc137471415"/>
      <w:bookmarkStart w:id="2632" w:name="_Toc137471924"/>
      <w:bookmarkStart w:id="2633" w:name="_Toc173222746"/>
      <w:bookmarkStart w:id="2634" w:name="_Toc200375776"/>
      <w:bookmarkStart w:id="2635" w:name="_Toc200377012"/>
      <w:r w:rsidRPr="002965D3">
        <w:t xml:space="preserve">Recalculating </w:t>
      </w:r>
      <w:bookmarkEnd w:id="2618"/>
      <w:bookmarkEnd w:id="2619"/>
      <w:bookmarkEnd w:id="2620"/>
      <w:bookmarkEnd w:id="2621"/>
      <w:r w:rsidRPr="002965D3">
        <w:t>Tenant Rent</w:t>
      </w:r>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p>
    <w:p w14:paraId="035AB334" w14:textId="77777777" w:rsidR="00DB4396" w:rsidRPr="00142EB0" w:rsidRDefault="00DB4396" w:rsidP="00DB4396">
      <w:pPr>
        <w:contextualSpacing/>
        <w:rPr>
          <w:rFonts w:cs="Arial"/>
          <w:bCs/>
          <w:iCs/>
          <w:strike/>
          <w:szCs w:val="20"/>
        </w:rPr>
      </w:pPr>
      <w:r>
        <w:rPr>
          <w:rFonts w:cs="Arial"/>
          <w:bCs/>
          <w:iCs/>
          <w:szCs w:val="20"/>
        </w:rPr>
        <w:t xml:space="preserve">For families paying income-based rent, </w:t>
      </w:r>
      <w:r w:rsidR="0019324C">
        <w:rPr>
          <w:rFonts w:cs="Arial"/>
          <w:bCs/>
          <w:iCs/>
          <w:szCs w:val="20"/>
        </w:rPr>
        <w:t>HHA</w:t>
      </w:r>
      <w:r>
        <w:rPr>
          <w:rFonts w:cs="Arial"/>
          <w:bCs/>
          <w:iCs/>
          <w:szCs w:val="20"/>
        </w:rPr>
        <w:t xml:space="preserve"> will recalculate the rent based on the income information received during the reexamination </w:t>
      </w:r>
      <w:r w:rsidRPr="00F4424D">
        <w:rPr>
          <w:rFonts w:cs="Arial"/>
          <w:bCs/>
          <w:iCs/>
          <w:szCs w:val="20"/>
        </w:rPr>
        <w:t>process</w:t>
      </w:r>
      <w:r w:rsidR="00142EB0" w:rsidRPr="00F4424D">
        <w:rPr>
          <w:rFonts w:cs="Arial"/>
          <w:bCs/>
          <w:iCs/>
          <w:szCs w:val="20"/>
        </w:rPr>
        <w:t xml:space="preserve"> (see </w:t>
      </w:r>
      <w:r w:rsidR="00142EB0" w:rsidRPr="00F4424D">
        <w:rPr>
          <w:rFonts w:cs="Arial"/>
          <w:b/>
          <w:iCs/>
          <w:color w:val="0070C0"/>
          <w:szCs w:val="20"/>
        </w:rPr>
        <w:fldChar w:fldCharType="begin"/>
      </w:r>
      <w:r w:rsidR="00142EB0" w:rsidRPr="00F4424D">
        <w:rPr>
          <w:rFonts w:cs="Arial"/>
          <w:b/>
          <w:iCs/>
          <w:color w:val="0070C0"/>
          <w:szCs w:val="20"/>
        </w:rPr>
        <w:instrText xml:space="preserve"> REF _Ref160538693 \h  \* MERGEFORMAT </w:instrText>
      </w:r>
      <w:r w:rsidR="00142EB0" w:rsidRPr="00F4424D">
        <w:rPr>
          <w:rFonts w:cs="Arial"/>
          <w:b/>
          <w:iCs/>
          <w:color w:val="0070C0"/>
          <w:szCs w:val="20"/>
        </w:rPr>
      </w:r>
      <w:r w:rsidR="00142EB0" w:rsidRPr="00F4424D">
        <w:rPr>
          <w:rFonts w:cs="Arial"/>
          <w:b/>
          <w:iCs/>
          <w:color w:val="0070C0"/>
          <w:szCs w:val="20"/>
        </w:rPr>
        <w:fldChar w:fldCharType="separate"/>
      </w:r>
      <w:r w:rsidR="00142EB0" w:rsidRPr="00F4424D">
        <w:rPr>
          <w:b/>
          <w:color w:val="0070C0"/>
        </w:rPr>
        <w:t>RENT</w:t>
      </w:r>
      <w:r w:rsidR="00142EB0" w:rsidRPr="00F4424D">
        <w:rPr>
          <w:rFonts w:cs="Arial"/>
          <w:b/>
          <w:iCs/>
          <w:color w:val="0070C0"/>
          <w:szCs w:val="20"/>
        </w:rPr>
        <w:fldChar w:fldCharType="end"/>
      </w:r>
      <w:r w:rsidR="00142EB0" w:rsidRPr="00F4424D">
        <w:rPr>
          <w:rFonts w:cs="Arial"/>
          <w:bCs/>
          <w:iCs/>
          <w:szCs w:val="20"/>
        </w:rPr>
        <w:t>)</w:t>
      </w:r>
      <w:r w:rsidRPr="00F4424D">
        <w:rPr>
          <w:rFonts w:cs="Arial"/>
          <w:bCs/>
          <w:iCs/>
          <w:szCs w:val="20"/>
        </w:rPr>
        <w:t xml:space="preserve"> and notify the family of the changes.</w:t>
      </w:r>
      <w:r w:rsidRPr="00142EB0">
        <w:rPr>
          <w:rFonts w:cs="Arial"/>
          <w:bCs/>
          <w:iCs/>
          <w:szCs w:val="20"/>
        </w:rPr>
        <w:t xml:space="preserve"> </w:t>
      </w:r>
    </w:p>
    <w:p w14:paraId="49997AF3" w14:textId="77777777" w:rsidR="00DB4396" w:rsidRPr="00122C89" w:rsidRDefault="00DB4396" w:rsidP="00677451">
      <w:pPr>
        <w:pStyle w:val="Heading3"/>
      </w:pPr>
      <w:bookmarkStart w:id="2636" w:name="_Toc527019588"/>
      <w:bookmarkStart w:id="2637" w:name="_Toc534707129"/>
      <w:bookmarkStart w:id="2638" w:name="_Toc534707807"/>
      <w:bookmarkStart w:id="2639" w:name="_Toc534708615"/>
      <w:bookmarkStart w:id="2640" w:name="_Toc106037941"/>
      <w:bookmarkStart w:id="2641" w:name="_Toc106201580"/>
      <w:bookmarkStart w:id="2642" w:name="_Toc106202099"/>
      <w:bookmarkStart w:id="2643" w:name="_Toc106202625"/>
      <w:bookmarkStart w:id="2644" w:name="_Toc113345081"/>
      <w:bookmarkStart w:id="2645" w:name="_Toc137461825"/>
      <w:bookmarkStart w:id="2646" w:name="_Toc137471416"/>
      <w:bookmarkStart w:id="2647" w:name="_Toc137471925"/>
      <w:bookmarkStart w:id="2648" w:name="_Toc200375777"/>
      <w:r w:rsidRPr="00122C89">
        <w:t xml:space="preserve">Applying Utility Allowances </w:t>
      </w:r>
      <w:r>
        <w:t>a</w:t>
      </w:r>
      <w:r w:rsidRPr="00122C89">
        <w:t>t Reexamination</w:t>
      </w:r>
      <w:bookmarkEnd w:id="2636"/>
      <w:bookmarkEnd w:id="2637"/>
      <w:bookmarkEnd w:id="2638"/>
      <w:bookmarkEnd w:id="2639"/>
      <w:bookmarkEnd w:id="2640"/>
      <w:bookmarkEnd w:id="2641"/>
      <w:bookmarkEnd w:id="2642"/>
      <w:bookmarkEnd w:id="2643"/>
      <w:bookmarkEnd w:id="2644"/>
      <w:bookmarkEnd w:id="2645"/>
      <w:bookmarkEnd w:id="2646"/>
      <w:bookmarkEnd w:id="2647"/>
      <w:bookmarkEnd w:id="2648"/>
    </w:p>
    <w:p w14:paraId="200EAACD" w14:textId="77777777" w:rsidR="00DB4396" w:rsidRPr="002965D3" w:rsidRDefault="00DB4396" w:rsidP="00DB4396">
      <w:pPr>
        <w:contextualSpacing/>
        <w:rPr>
          <w:rFonts w:cs="Arial"/>
          <w:bCs/>
          <w:iCs/>
          <w:szCs w:val="20"/>
        </w:rPr>
      </w:pPr>
      <w:r w:rsidRPr="002965D3">
        <w:rPr>
          <w:rFonts w:cs="Arial"/>
          <w:bCs/>
          <w:iCs/>
          <w:szCs w:val="20"/>
        </w:rPr>
        <w:t xml:space="preserve">At annual reexamination, </w:t>
      </w:r>
      <w:r w:rsidR="0019324C">
        <w:rPr>
          <w:rFonts w:cs="Arial"/>
          <w:bCs/>
          <w:iCs/>
          <w:szCs w:val="20"/>
        </w:rPr>
        <w:t>HHA</w:t>
      </w:r>
      <w:r w:rsidRPr="002965D3">
        <w:rPr>
          <w:rFonts w:cs="Arial"/>
          <w:bCs/>
          <w:iCs/>
          <w:szCs w:val="20"/>
        </w:rPr>
        <w:t xml:space="preserve"> will use the current </w:t>
      </w:r>
      <w:r w:rsidR="0019324C">
        <w:rPr>
          <w:rFonts w:cs="Arial"/>
          <w:bCs/>
          <w:iCs/>
          <w:szCs w:val="20"/>
        </w:rPr>
        <w:t>HHA</w:t>
      </w:r>
      <w:r w:rsidRPr="002965D3">
        <w:rPr>
          <w:rFonts w:cs="Arial"/>
          <w:bCs/>
          <w:iCs/>
          <w:szCs w:val="20"/>
        </w:rPr>
        <w:t xml:space="preserve"> utility allowance schedule.</w:t>
      </w:r>
    </w:p>
    <w:p w14:paraId="6DBB2AE0" w14:textId="77777777" w:rsidR="00DB4396" w:rsidRPr="002965D3" w:rsidRDefault="00DB4396" w:rsidP="00DB4396">
      <w:pPr>
        <w:contextualSpacing/>
        <w:rPr>
          <w:rFonts w:cs="Arial"/>
          <w:bCs/>
          <w:iCs/>
          <w:szCs w:val="20"/>
        </w:rPr>
      </w:pPr>
    </w:p>
    <w:p w14:paraId="4068BA40" w14:textId="77777777" w:rsidR="00DB4396" w:rsidRPr="002965D3" w:rsidRDefault="00DB4396" w:rsidP="00DB4396">
      <w:r w:rsidRPr="002965D3">
        <w:t xml:space="preserve">For an interim reexamination, </w:t>
      </w:r>
      <w:r w:rsidR="0019324C">
        <w:t>HHA</w:t>
      </w:r>
      <w:r w:rsidRPr="002965D3">
        <w:t xml:space="preserve"> will apply the utility allowance in effect at the last regular reexamination. </w:t>
      </w:r>
    </w:p>
    <w:p w14:paraId="0CBE123A" w14:textId="77777777" w:rsidR="00DB4396" w:rsidRPr="002965D3" w:rsidRDefault="00DB4396" w:rsidP="00DB4396">
      <w:r w:rsidRPr="002965D3">
        <w:t xml:space="preserve">Unless </w:t>
      </w:r>
      <w:r w:rsidR="0019324C">
        <w:t>HHA</w:t>
      </w:r>
      <w:r w:rsidRPr="002965D3">
        <w:t xml:space="preserve"> </w:t>
      </w:r>
      <w:r w:rsidRPr="00F4424D">
        <w:t>is required to revise utility allowances retroactively, revised utility allowances will be applied to a family’s rent calculation at the first regular reexamination after the allowance is adopted. See policies on</w:t>
      </w:r>
      <w:r w:rsidRPr="00F4424D">
        <w:rPr>
          <w:b/>
        </w:rPr>
        <w:t xml:space="preserve"> </w:t>
      </w:r>
      <w:r w:rsidR="007F7CBE" w:rsidRPr="00F4424D">
        <w:rPr>
          <w:b/>
          <w:color w:val="0070C0"/>
        </w:rPr>
        <w:fldChar w:fldCharType="begin"/>
      </w:r>
      <w:r w:rsidR="007F7CBE" w:rsidRPr="00F4424D">
        <w:rPr>
          <w:b/>
          <w:color w:val="0070C0"/>
        </w:rPr>
        <w:instrText xml:space="preserve"> REF _Ref160539475 \h  \* MERGEFORMAT </w:instrText>
      </w:r>
      <w:r w:rsidR="007F7CBE" w:rsidRPr="00F4424D">
        <w:rPr>
          <w:b/>
          <w:color w:val="0070C0"/>
        </w:rPr>
      </w:r>
      <w:r w:rsidR="007F7CBE" w:rsidRPr="00F4424D">
        <w:rPr>
          <w:b/>
          <w:color w:val="0070C0"/>
        </w:rPr>
        <w:fldChar w:fldCharType="separate"/>
      </w:r>
      <w:r w:rsidR="007F7CBE" w:rsidRPr="00F4424D">
        <w:rPr>
          <w:b/>
          <w:color w:val="0070C0"/>
        </w:rPr>
        <w:t>UTILITIES</w:t>
      </w:r>
      <w:r w:rsidR="007F7CBE" w:rsidRPr="00F4424D">
        <w:rPr>
          <w:b/>
          <w:color w:val="0070C0"/>
        </w:rPr>
        <w:fldChar w:fldCharType="end"/>
      </w:r>
      <w:r w:rsidRPr="00944A92">
        <w:rPr>
          <w:bCs/>
        </w:rPr>
        <w:t>.</w:t>
      </w:r>
    </w:p>
    <w:p w14:paraId="72CE00E7" w14:textId="77777777" w:rsidR="00DB4396" w:rsidRPr="002965D3" w:rsidRDefault="00DB4396" w:rsidP="00677451">
      <w:pPr>
        <w:pStyle w:val="Heading3"/>
      </w:pPr>
      <w:bookmarkStart w:id="2649" w:name="_Toc527019589"/>
      <w:bookmarkStart w:id="2650" w:name="_Toc534707130"/>
      <w:bookmarkStart w:id="2651" w:name="_Toc534707808"/>
      <w:bookmarkStart w:id="2652" w:name="_Toc534708616"/>
      <w:bookmarkStart w:id="2653" w:name="_Toc106037942"/>
      <w:bookmarkStart w:id="2654" w:name="_Toc106201581"/>
      <w:bookmarkStart w:id="2655" w:name="_Toc106202100"/>
      <w:bookmarkStart w:id="2656" w:name="_Toc106202626"/>
      <w:bookmarkStart w:id="2657" w:name="_Toc113345082"/>
      <w:bookmarkStart w:id="2658" w:name="_Toc137461826"/>
      <w:bookmarkStart w:id="2659" w:name="_Toc137471417"/>
      <w:bookmarkStart w:id="2660" w:name="_Toc137471926"/>
      <w:bookmarkStart w:id="2661" w:name="_Toc200375778"/>
      <w:r w:rsidRPr="002965D3">
        <w:t xml:space="preserve">Notification of New </w:t>
      </w:r>
      <w:bookmarkEnd w:id="2649"/>
      <w:bookmarkEnd w:id="2650"/>
      <w:bookmarkEnd w:id="2651"/>
      <w:bookmarkEnd w:id="2652"/>
      <w:r w:rsidRPr="002965D3">
        <w:t>Tenant Rent</w:t>
      </w:r>
      <w:bookmarkEnd w:id="2653"/>
      <w:bookmarkEnd w:id="2654"/>
      <w:bookmarkEnd w:id="2655"/>
      <w:bookmarkEnd w:id="2656"/>
      <w:bookmarkEnd w:id="2657"/>
      <w:bookmarkEnd w:id="2658"/>
      <w:bookmarkEnd w:id="2659"/>
      <w:bookmarkEnd w:id="2660"/>
      <w:bookmarkEnd w:id="2661"/>
    </w:p>
    <w:p w14:paraId="640582D8" w14:textId="77777777" w:rsidR="00DB4396" w:rsidRDefault="0019324C" w:rsidP="00DB4396">
      <w:r>
        <w:t>HHA</w:t>
      </w:r>
      <w:r w:rsidR="00DB4396" w:rsidRPr="00740D83">
        <w:t xml:space="preserve"> will notify the family of any changes in the amount of tenant rent. </w:t>
      </w:r>
      <w:r w:rsidR="00DB4396">
        <w:t>The</w:t>
      </w:r>
      <w:r w:rsidR="00DB4396" w:rsidRPr="00740D83">
        <w:t xml:space="preserve"> </w:t>
      </w:r>
      <w:r w:rsidR="00DB4396">
        <w:t>notice</w:t>
      </w:r>
      <w:r w:rsidR="00DB4396" w:rsidRPr="00740D83">
        <w:t xml:space="preserve"> </w:t>
      </w:r>
      <w:r w:rsidR="00DB4396">
        <w:t>to</w:t>
      </w:r>
      <w:r w:rsidR="00DB4396" w:rsidRPr="00740D83">
        <w:t xml:space="preserve"> </w:t>
      </w:r>
      <w:r w:rsidR="00DB4396">
        <w:t>the</w:t>
      </w:r>
      <w:r w:rsidR="00DB4396" w:rsidRPr="00740D83">
        <w:t xml:space="preserve"> </w:t>
      </w:r>
      <w:r w:rsidR="00DB4396">
        <w:t>family</w:t>
      </w:r>
      <w:r w:rsidR="00DB4396" w:rsidRPr="00740D83">
        <w:t xml:space="preserve"> </w:t>
      </w:r>
      <w:r w:rsidR="00DB4396">
        <w:t>will</w:t>
      </w:r>
      <w:r w:rsidR="00DB4396" w:rsidRPr="00740D83">
        <w:t xml:space="preserve"> </w:t>
      </w:r>
      <w:r w:rsidR="00DB4396">
        <w:t>include</w:t>
      </w:r>
      <w:r w:rsidR="00DB4396" w:rsidRPr="00740D83">
        <w:t xml:space="preserve"> </w:t>
      </w:r>
      <w:r w:rsidR="00DB4396">
        <w:t>the</w:t>
      </w:r>
      <w:r w:rsidR="00DB4396" w:rsidRPr="00740D83">
        <w:t xml:space="preserve"> </w:t>
      </w:r>
      <w:r w:rsidR="00DB4396">
        <w:t>annual</w:t>
      </w:r>
      <w:r w:rsidR="00DB4396" w:rsidRPr="00740D83">
        <w:t xml:space="preserve"> </w:t>
      </w:r>
      <w:r w:rsidR="00DB4396">
        <w:t>and</w:t>
      </w:r>
      <w:r w:rsidR="00DB4396" w:rsidRPr="00740D83">
        <w:t xml:space="preserve"> </w:t>
      </w:r>
      <w:r w:rsidR="00DB4396">
        <w:t>adjusted</w:t>
      </w:r>
      <w:r w:rsidR="00DB4396" w:rsidRPr="00740D83">
        <w:t xml:space="preserve"> </w:t>
      </w:r>
      <w:r w:rsidR="00DB4396">
        <w:t>income</w:t>
      </w:r>
      <w:r w:rsidR="00DB4396" w:rsidRPr="00740D83">
        <w:t xml:space="preserve"> </w:t>
      </w:r>
      <w:r w:rsidR="00DB4396">
        <w:t>amounts</w:t>
      </w:r>
      <w:r w:rsidR="00DB4396" w:rsidRPr="00740D83">
        <w:t xml:space="preserve"> </w:t>
      </w:r>
      <w:r w:rsidR="00DB4396">
        <w:t>that</w:t>
      </w:r>
      <w:r w:rsidR="00DB4396" w:rsidRPr="00740D83">
        <w:t xml:space="preserve"> </w:t>
      </w:r>
      <w:r w:rsidR="00DB4396">
        <w:t>were used to calculate the tenant rent.</w:t>
      </w:r>
    </w:p>
    <w:p w14:paraId="42798C15" w14:textId="77777777" w:rsidR="00DB4396" w:rsidRDefault="00DB4396" w:rsidP="00677451">
      <w:pPr>
        <w:pStyle w:val="Heading3"/>
      </w:pPr>
      <w:bookmarkStart w:id="2662" w:name="_Toc106037943"/>
      <w:bookmarkStart w:id="2663" w:name="_Toc106201582"/>
      <w:bookmarkStart w:id="2664" w:name="_Toc106202101"/>
      <w:bookmarkStart w:id="2665" w:name="_Toc106202627"/>
      <w:bookmarkStart w:id="2666" w:name="_Toc113345083"/>
      <w:bookmarkStart w:id="2667" w:name="_Toc137461827"/>
      <w:bookmarkStart w:id="2668" w:name="_Toc137471418"/>
      <w:bookmarkStart w:id="2669" w:name="_Toc137471927"/>
      <w:bookmarkStart w:id="2670" w:name="_Ref160534319"/>
      <w:bookmarkStart w:id="2671" w:name="_Toc200375779"/>
      <w:r>
        <w:t>Choice of Rent</w:t>
      </w:r>
      <w:bookmarkEnd w:id="2662"/>
      <w:bookmarkEnd w:id="2663"/>
      <w:bookmarkEnd w:id="2664"/>
      <w:bookmarkEnd w:id="2665"/>
      <w:bookmarkEnd w:id="2666"/>
      <w:bookmarkEnd w:id="2667"/>
      <w:bookmarkEnd w:id="2668"/>
      <w:bookmarkEnd w:id="2669"/>
      <w:bookmarkEnd w:id="2670"/>
      <w:bookmarkEnd w:id="2671"/>
    </w:p>
    <w:p w14:paraId="4BFFE5E2" w14:textId="77777777" w:rsidR="00DB4396" w:rsidRPr="002965D3" w:rsidRDefault="00944A92" w:rsidP="00DB4396">
      <w:r>
        <w:t xml:space="preserve">For families in the </w:t>
      </w:r>
      <w:r w:rsidR="00251108">
        <w:t>Excluded</w:t>
      </w:r>
      <w:r w:rsidR="004D0557">
        <w:t xml:space="preserve"> group</w:t>
      </w:r>
      <w:r w:rsidR="00EA45C7">
        <w:t xml:space="preserve"> only</w:t>
      </w:r>
      <w:r w:rsidR="004D0557">
        <w:t>,</w:t>
      </w:r>
      <w:r w:rsidR="00DB4396" w:rsidRPr="002965D3">
        <w:t xml:space="preserve"> each annual recertification, </w:t>
      </w:r>
      <w:r w:rsidR="0019324C">
        <w:t>HHA</w:t>
      </w:r>
      <w:r w:rsidR="00DB4396" w:rsidRPr="002965D3">
        <w:t xml:space="preserve"> will give each family the opportunity to choose between income-based rent and</w:t>
      </w:r>
      <w:r w:rsidR="00D929A9">
        <w:t xml:space="preserve"> non-tiered flat rents (see</w:t>
      </w:r>
      <w:r w:rsidR="00DB4396" w:rsidRPr="002965D3">
        <w:t xml:space="preserve"> </w:t>
      </w:r>
      <w:r w:rsidR="00D929A9" w:rsidRPr="00D929A9">
        <w:rPr>
          <w:b/>
          <w:bCs/>
          <w:color w:val="0070C0"/>
        </w:rPr>
        <w:fldChar w:fldCharType="begin"/>
      </w:r>
      <w:r w:rsidR="00D929A9" w:rsidRPr="00D929A9">
        <w:rPr>
          <w:b/>
          <w:bCs/>
          <w:color w:val="0070C0"/>
        </w:rPr>
        <w:instrText xml:space="preserve"> REF _Ref160540577 \h  \* MERGEFORMAT </w:instrText>
      </w:r>
      <w:r w:rsidR="00D929A9" w:rsidRPr="00D929A9">
        <w:rPr>
          <w:b/>
          <w:bCs/>
          <w:color w:val="0070C0"/>
        </w:rPr>
      </w:r>
      <w:r w:rsidR="00D929A9" w:rsidRPr="00D929A9">
        <w:rPr>
          <w:b/>
          <w:bCs/>
          <w:color w:val="0070C0"/>
        </w:rPr>
        <w:fldChar w:fldCharType="separate"/>
      </w:r>
      <w:r w:rsidR="00D929A9" w:rsidRPr="00D929A9">
        <w:rPr>
          <w:b/>
          <w:bCs/>
          <w:color w:val="0070C0"/>
        </w:rPr>
        <w:t>Non-Tiered Flat Rents – Excluded Group Only</w:t>
      </w:r>
      <w:r w:rsidR="00D929A9" w:rsidRPr="00D929A9">
        <w:rPr>
          <w:b/>
          <w:bCs/>
          <w:color w:val="0070C0"/>
        </w:rPr>
        <w:fldChar w:fldCharType="end"/>
      </w:r>
      <w:r w:rsidR="00D929A9">
        <w:t>).</w:t>
      </w:r>
      <w:r w:rsidR="00DB4396" w:rsidRPr="002965D3">
        <w:t xml:space="preserve"> Families on </w:t>
      </w:r>
      <w:r w:rsidR="00E2575B">
        <w:t xml:space="preserve">non-tiered </w:t>
      </w:r>
      <w:r w:rsidR="00DB4396" w:rsidRPr="002965D3">
        <w:t>flat rents may choose to switch to income-based rents in between regular recertifications, but</w:t>
      </w:r>
      <w:r w:rsidR="00777A2E">
        <w:t xml:space="preserve"> families on</w:t>
      </w:r>
      <w:r w:rsidR="00DB4396" w:rsidRPr="002965D3">
        <w:t xml:space="preserve"> income-based rents may not choose to switch to </w:t>
      </w:r>
      <w:r w:rsidR="00777A2E">
        <w:t xml:space="preserve">non-tiered </w:t>
      </w:r>
      <w:r w:rsidR="00DB4396" w:rsidRPr="002965D3">
        <w:t>flat rents in between regular recertifications.</w:t>
      </w:r>
    </w:p>
    <w:p w14:paraId="3322EA4A" w14:textId="77777777" w:rsidR="00DB4396" w:rsidRPr="002965D3" w:rsidRDefault="004D0557" w:rsidP="00DB4396">
      <w:pPr>
        <w:pStyle w:val="Heading2"/>
      </w:pPr>
      <w:bookmarkStart w:id="2672" w:name="_Toc527019591"/>
      <w:bookmarkStart w:id="2673" w:name="_Toc534707132"/>
      <w:bookmarkStart w:id="2674" w:name="_Toc534707810"/>
      <w:bookmarkStart w:id="2675" w:name="_Toc534708618"/>
      <w:bookmarkStart w:id="2676" w:name="_Toc106037944"/>
      <w:bookmarkStart w:id="2677" w:name="_Toc106201583"/>
      <w:bookmarkStart w:id="2678" w:name="_Toc106202102"/>
      <w:bookmarkStart w:id="2679" w:name="_Toc106202628"/>
      <w:bookmarkStart w:id="2680" w:name="_Toc113345084"/>
      <w:bookmarkStart w:id="2681" w:name="_Toc137460416"/>
      <w:bookmarkStart w:id="2682" w:name="_Toc137460661"/>
      <w:bookmarkStart w:id="2683" w:name="_Toc137460906"/>
      <w:bookmarkStart w:id="2684" w:name="_Toc137461828"/>
      <w:bookmarkStart w:id="2685" w:name="_Toc137471419"/>
      <w:bookmarkStart w:id="2686" w:name="_Toc137471928"/>
      <w:bookmarkStart w:id="2687" w:name="_Toc173222747"/>
      <w:bookmarkStart w:id="2688" w:name="_Toc200375780"/>
      <w:bookmarkStart w:id="2689" w:name="_Toc200377013"/>
      <w:r w:rsidRPr="002965D3">
        <w:t>Discrepancies</w:t>
      </w:r>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p>
    <w:p w14:paraId="5D82F4E5" w14:textId="77777777" w:rsidR="00DB4396" w:rsidRPr="002965D3" w:rsidRDefault="00DB4396" w:rsidP="00DB4396">
      <w:pPr>
        <w:contextualSpacing/>
        <w:rPr>
          <w:rFonts w:cs="Arial"/>
          <w:bCs/>
          <w:iCs/>
          <w:szCs w:val="20"/>
        </w:rPr>
      </w:pPr>
      <w:r w:rsidRPr="002965D3">
        <w:rPr>
          <w:rFonts w:cs="Arial"/>
          <w:bCs/>
          <w:iCs/>
          <w:szCs w:val="20"/>
        </w:rPr>
        <w:t xml:space="preserve">During a regular or interim reexamination, </w:t>
      </w:r>
      <w:r w:rsidR="0019324C">
        <w:rPr>
          <w:rFonts w:cs="Arial"/>
          <w:bCs/>
          <w:iCs/>
          <w:szCs w:val="20"/>
        </w:rPr>
        <w:t>HHA</w:t>
      </w:r>
      <w:r w:rsidRPr="002965D3">
        <w:rPr>
          <w:rFonts w:cs="Arial"/>
          <w:bCs/>
          <w:iCs/>
          <w:szCs w:val="20"/>
        </w:rPr>
        <w:t xml:space="preserve"> may discover that information previously reported by the family was in error, or that the family intentionally misrepresented information. </w:t>
      </w:r>
      <w:r w:rsidRPr="002965D3">
        <w:t xml:space="preserve">In addition, </w:t>
      </w:r>
      <w:r w:rsidR="0019324C">
        <w:t>HHA</w:t>
      </w:r>
      <w:r w:rsidRPr="002965D3">
        <w:t xml:space="preserve"> may discover errors made by </w:t>
      </w:r>
      <w:r w:rsidR="0019324C">
        <w:t>HHA</w:t>
      </w:r>
      <w:r w:rsidRPr="002965D3">
        <w:t xml:space="preserve">. When errors resulting in the overpayment or underpayment of rent are discovered, </w:t>
      </w:r>
      <w:r w:rsidR="0019324C">
        <w:rPr>
          <w:rFonts w:cs="Arial"/>
          <w:bCs/>
          <w:iCs/>
          <w:szCs w:val="20"/>
        </w:rPr>
        <w:t>HHA</w:t>
      </w:r>
      <w:r w:rsidRPr="002965D3">
        <w:rPr>
          <w:rFonts w:cs="Arial"/>
          <w:bCs/>
          <w:iCs/>
          <w:szCs w:val="20"/>
        </w:rPr>
        <w:t xml:space="preserve"> will make corrections to the rent.</w:t>
      </w:r>
    </w:p>
    <w:p w14:paraId="03F9D122" w14:textId="77777777" w:rsidR="00ED4A5D" w:rsidRDefault="00ED4A5D" w:rsidP="00DB4396">
      <w:pPr>
        <w:pStyle w:val="Heading2"/>
      </w:pPr>
      <w:bookmarkStart w:id="2690" w:name="_Toc173222748"/>
      <w:bookmarkStart w:id="2691" w:name="_Toc200375781"/>
      <w:bookmarkStart w:id="2692" w:name="_Toc200377014"/>
      <w:bookmarkStart w:id="2693" w:name="_Ref526756444"/>
      <w:bookmarkStart w:id="2694" w:name="_Toc527019592"/>
      <w:bookmarkStart w:id="2695" w:name="_Toc534707133"/>
      <w:bookmarkStart w:id="2696" w:name="_Toc534707811"/>
      <w:bookmarkStart w:id="2697" w:name="_Toc534708619"/>
      <w:bookmarkStart w:id="2698" w:name="_Ref103676505"/>
      <w:bookmarkStart w:id="2699" w:name="_Toc106037945"/>
      <w:bookmarkStart w:id="2700" w:name="_Toc106201584"/>
      <w:bookmarkStart w:id="2701" w:name="_Toc106202103"/>
      <w:bookmarkStart w:id="2702" w:name="_Toc106202629"/>
      <w:bookmarkStart w:id="2703" w:name="_Toc113345085"/>
      <w:bookmarkStart w:id="2704" w:name="_Toc137460417"/>
      <w:bookmarkStart w:id="2705" w:name="_Toc137460662"/>
      <w:bookmarkStart w:id="2706" w:name="_Toc137460907"/>
      <w:bookmarkStart w:id="2707" w:name="_Toc137461829"/>
      <w:bookmarkStart w:id="2708" w:name="_Toc137471420"/>
      <w:bookmarkStart w:id="2709" w:name="_Toc137471929"/>
      <w:bookmarkStart w:id="2710" w:name="_Hlk110318032"/>
      <w:r>
        <w:t>Other Continued Occupancy Policies</w:t>
      </w:r>
      <w:bookmarkEnd w:id="2690"/>
      <w:bookmarkEnd w:id="2691"/>
      <w:bookmarkEnd w:id="2692"/>
    </w:p>
    <w:p w14:paraId="21D8B3F6" w14:textId="77777777" w:rsidR="00DB4396" w:rsidRPr="002965D3" w:rsidRDefault="004D0557" w:rsidP="00ED4A5D">
      <w:pPr>
        <w:pStyle w:val="Heading3"/>
      </w:pPr>
      <w:bookmarkStart w:id="2711" w:name="_Toc200375782"/>
      <w:r w:rsidRPr="002965D3">
        <w:t xml:space="preserve">Absence </w:t>
      </w:r>
      <w:r>
        <w:t>f</w:t>
      </w:r>
      <w:r w:rsidRPr="002965D3">
        <w:t xml:space="preserve">rom </w:t>
      </w:r>
      <w:r>
        <w:t>t</w:t>
      </w:r>
      <w:r w:rsidRPr="002965D3">
        <w:t>he Unit</w:t>
      </w:r>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1"/>
    </w:p>
    <w:p w14:paraId="117C9719" w14:textId="77777777" w:rsidR="00DB4396" w:rsidRPr="002965D3" w:rsidRDefault="00DB4396" w:rsidP="00DB4396">
      <w:pPr>
        <w:rPr>
          <w:rFonts w:cs="Arial"/>
          <w:szCs w:val="20"/>
        </w:rPr>
      </w:pPr>
      <w:r w:rsidRPr="002965D3">
        <w:rPr>
          <w:rFonts w:cs="Arial"/>
          <w:szCs w:val="20"/>
        </w:rPr>
        <w:t xml:space="preserve">The family must supply any information or certification requested by </w:t>
      </w:r>
      <w:r w:rsidR="0019324C">
        <w:rPr>
          <w:rFonts w:cs="Arial"/>
          <w:szCs w:val="20"/>
        </w:rPr>
        <w:t>HHA</w:t>
      </w:r>
      <w:r w:rsidRPr="002965D3">
        <w:rPr>
          <w:rFonts w:cs="Arial"/>
          <w:szCs w:val="20"/>
        </w:rPr>
        <w:t xml:space="preserve"> to verify that the family is living in the unit, or relating to family absence from the unit, including any </w:t>
      </w:r>
      <w:r w:rsidR="0019324C">
        <w:rPr>
          <w:rFonts w:cs="Arial"/>
          <w:szCs w:val="20"/>
        </w:rPr>
        <w:t>HHA</w:t>
      </w:r>
      <w:r w:rsidRPr="002965D3">
        <w:rPr>
          <w:rFonts w:cs="Arial"/>
          <w:szCs w:val="20"/>
        </w:rPr>
        <w:t xml:space="preserve">-requested information or certification on the purposes of family absences. The family must cooperate with </w:t>
      </w:r>
      <w:r w:rsidR="0019324C">
        <w:rPr>
          <w:rFonts w:cs="Arial"/>
          <w:szCs w:val="20"/>
        </w:rPr>
        <w:t>HHA</w:t>
      </w:r>
      <w:r w:rsidRPr="002965D3">
        <w:rPr>
          <w:rFonts w:cs="Arial"/>
          <w:szCs w:val="20"/>
        </w:rPr>
        <w:t xml:space="preserve"> for this purpose. </w:t>
      </w:r>
    </w:p>
    <w:p w14:paraId="73BD4C6E" w14:textId="77777777" w:rsidR="00DB4396" w:rsidRPr="002965D3" w:rsidRDefault="00DB4396" w:rsidP="00DB4396">
      <w:pPr>
        <w:contextualSpacing/>
        <w:rPr>
          <w:rFonts w:cs="Arial"/>
          <w:bCs/>
          <w:iCs/>
          <w:szCs w:val="20"/>
        </w:rPr>
      </w:pPr>
      <w:r w:rsidRPr="002965D3">
        <w:rPr>
          <w:rFonts w:cs="Arial"/>
          <w:bCs/>
          <w:iCs/>
          <w:szCs w:val="20"/>
        </w:rPr>
        <w:t xml:space="preserve">The family must promptly notify </w:t>
      </w:r>
      <w:r w:rsidR="0019324C">
        <w:rPr>
          <w:rFonts w:cs="Arial"/>
          <w:bCs/>
          <w:iCs/>
          <w:szCs w:val="20"/>
        </w:rPr>
        <w:t>HHA</w:t>
      </w:r>
      <w:r w:rsidRPr="002965D3">
        <w:rPr>
          <w:rFonts w:cs="Arial"/>
          <w:bCs/>
          <w:iCs/>
          <w:szCs w:val="20"/>
        </w:rPr>
        <w:t xml:space="preserve"> when all family members will be absent from the unit for an extended period. An </w:t>
      </w:r>
      <w:r w:rsidRPr="002965D3">
        <w:rPr>
          <w:rFonts w:cs="Arial"/>
          <w:bCs/>
          <w:i/>
          <w:szCs w:val="20"/>
        </w:rPr>
        <w:t>extended period</w:t>
      </w:r>
      <w:r w:rsidRPr="002965D3">
        <w:rPr>
          <w:rFonts w:cs="Arial"/>
          <w:bCs/>
          <w:iCs/>
          <w:szCs w:val="20"/>
        </w:rPr>
        <w:t xml:space="preserve"> is defined as any period greater than 30 calendar days. In such a case, promptly means within </w:t>
      </w:r>
      <w:r w:rsidR="00E87D23">
        <w:rPr>
          <w:rFonts w:cs="Arial"/>
          <w:bCs/>
          <w:iCs/>
          <w:szCs w:val="20"/>
        </w:rPr>
        <w:t>15 calendar</w:t>
      </w:r>
      <w:r w:rsidRPr="002965D3">
        <w:rPr>
          <w:rFonts w:cs="Arial"/>
          <w:bCs/>
          <w:iCs/>
          <w:szCs w:val="20"/>
        </w:rPr>
        <w:t xml:space="preserve"> days of the start of the extended absence.</w:t>
      </w:r>
    </w:p>
    <w:p w14:paraId="402A1A90" w14:textId="77777777" w:rsidR="00DB4396" w:rsidRPr="002965D3" w:rsidRDefault="00DB4396" w:rsidP="00DB4396">
      <w:pPr>
        <w:contextualSpacing/>
        <w:rPr>
          <w:rFonts w:cs="Arial"/>
          <w:bCs/>
          <w:iCs/>
          <w:szCs w:val="20"/>
        </w:rPr>
      </w:pPr>
    </w:p>
    <w:p w14:paraId="2A49D0DE" w14:textId="77777777" w:rsidR="00DB4396" w:rsidRPr="002965D3" w:rsidRDefault="00DB4396" w:rsidP="00DB4396">
      <w:pPr>
        <w:contextualSpacing/>
        <w:rPr>
          <w:rFonts w:cs="Arial"/>
          <w:bCs/>
          <w:iCs/>
          <w:szCs w:val="20"/>
        </w:rPr>
      </w:pPr>
      <w:r w:rsidRPr="002965D3">
        <w:rPr>
          <w:rFonts w:cs="Arial"/>
          <w:bCs/>
          <w:iCs/>
          <w:szCs w:val="20"/>
        </w:rPr>
        <w:t xml:space="preserve">If a family is absent from the public housing unit for more than 180 consecutive days, and the family does not adequately verify that they are living in the unit, </w:t>
      </w:r>
      <w:r w:rsidR="0019324C">
        <w:rPr>
          <w:rFonts w:cs="Arial"/>
          <w:bCs/>
          <w:iCs/>
          <w:szCs w:val="20"/>
        </w:rPr>
        <w:t>HHA</w:t>
      </w:r>
      <w:r w:rsidRPr="002965D3">
        <w:rPr>
          <w:rFonts w:cs="Arial"/>
          <w:bCs/>
          <w:iCs/>
          <w:szCs w:val="20"/>
        </w:rPr>
        <w:t xml:space="preserve"> will terminate the lease for other good cause.</w:t>
      </w:r>
    </w:p>
    <w:p w14:paraId="6CDEA438" w14:textId="77777777" w:rsidR="00DB4396" w:rsidRPr="002965D3" w:rsidRDefault="00DB4396" w:rsidP="00DB4396">
      <w:pPr>
        <w:contextualSpacing/>
        <w:rPr>
          <w:rFonts w:cs="Arial"/>
          <w:bCs/>
          <w:iCs/>
          <w:szCs w:val="20"/>
        </w:rPr>
      </w:pPr>
    </w:p>
    <w:p w14:paraId="344EF4CD" w14:textId="77777777" w:rsidR="00DB4396" w:rsidRPr="002965D3" w:rsidRDefault="0019324C" w:rsidP="00C56497">
      <w:pPr>
        <w:rPr>
          <w:rFonts w:cs="Arial"/>
          <w:bCs/>
          <w:iCs/>
          <w:szCs w:val="20"/>
        </w:rPr>
      </w:pPr>
      <w:r>
        <w:rPr>
          <w:rFonts w:cs="Arial"/>
          <w:szCs w:val="20"/>
        </w:rPr>
        <w:t>HHA</w:t>
      </w:r>
      <w:r w:rsidR="00DB4396" w:rsidRPr="002965D3">
        <w:rPr>
          <w:rFonts w:cs="Arial"/>
          <w:szCs w:val="20"/>
        </w:rPr>
        <w:t xml:space="preserve"> may review on a case-by-case basis, circumstances which dictate a household’s absence from the unit. </w:t>
      </w:r>
      <w:r w:rsidR="00DB4396" w:rsidRPr="002965D3">
        <w:rPr>
          <w:rFonts w:cs="Arial"/>
          <w:bCs/>
          <w:iCs/>
          <w:szCs w:val="20"/>
        </w:rPr>
        <w:t>E</w:t>
      </w:r>
      <w:r w:rsidR="00DB4396" w:rsidRPr="002965D3">
        <w:rPr>
          <w:rFonts w:cs="Arial"/>
          <w:color w:val="000000"/>
          <w:szCs w:val="20"/>
        </w:rPr>
        <w:t xml:space="preserve">ach household member must physically occupy the unit as their sole place of residence, and not be absent for 180 consecutive days during any 12-month period unless good cause is shown for a longer absence. Good cause for extended absences include, but is not limited to: </w:t>
      </w:r>
    </w:p>
    <w:p w14:paraId="54122B12" w14:textId="77777777" w:rsidR="00DB4396" w:rsidRPr="002965D3" w:rsidRDefault="00DB4396" w:rsidP="007F177E">
      <w:pPr>
        <w:pStyle w:val="ListParagraph"/>
        <w:numPr>
          <w:ilvl w:val="0"/>
          <w:numId w:val="98"/>
        </w:numPr>
        <w:tabs>
          <w:tab w:val="clear" w:pos="360"/>
        </w:tabs>
        <w:ind w:left="720"/>
        <w:contextualSpacing w:val="0"/>
        <w:rPr>
          <w:rFonts w:cs="Arial"/>
          <w:szCs w:val="20"/>
        </w:rPr>
      </w:pPr>
      <w:r w:rsidRPr="002965D3">
        <w:rPr>
          <w:rFonts w:cs="Arial"/>
          <w:color w:val="000000"/>
          <w:szCs w:val="20"/>
        </w:rPr>
        <w:t xml:space="preserve">Involuntary absence due to illness; </w:t>
      </w:r>
    </w:p>
    <w:p w14:paraId="580B4022" w14:textId="77777777" w:rsidR="00DB4396" w:rsidRPr="002965D3" w:rsidRDefault="00DB4396" w:rsidP="007F177E">
      <w:pPr>
        <w:pStyle w:val="ListParagraph"/>
        <w:numPr>
          <w:ilvl w:val="0"/>
          <w:numId w:val="98"/>
        </w:numPr>
        <w:tabs>
          <w:tab w:val="clear" w:pos="360"/>
        </w:tabs>
        <w:ind w:left="720"/>
        <w:contextualSpacing w:val="0"/>
        <w:rPr>
          <w:rFonts w:cs="Arial"/>
          <w:szCs w:val="20"/>
        </w:rPr>
      </w:pPr>
      <w:r w:rsidRPr="002965D3">
        <w:rPr>
          <w:rFonts w:cs="Arial"/>
          <w:color w:val="000000"/>
          <w:szCs w:val="20"/>
        </w:rPr>
        <w:t xml:space="preserve">Absence of a household member who is a full-time student; </w:t>
      </w:r>
    </w:p>
    <w:p w14:paraId="42A83616" w14:textId="77777777" w:rsidR="00DB4396" w:rsidRPr="002965D3" w:rsidRDefault="00DB4396" w:rsidP="007F177E">
      <w:pPr>
        <w:pStyle w:val="ListParagraph"/>
        <w:numPr>
          <w:ilvl w:val="0"/>
          <w:numId w:val="98"/>
        </w:numPr>
        <w:tabs>
          <w:tab w:val="clear" w:pos="360"/>
        </w:tabs>
        <w:ind w:left="720"/>
        <w:contextualSpacing w:val="0"/>
        <w:rPr>
          <w:rFonts w:cs="Arial"/>
          <w:szCs w:val="20"/>
        </w:rPr>
      </w:pPr>
      <w:r w:rsidRPr="002965D3">
        <w:rPr>
          <w:rFonts w:cs="Arial"/>
          <w:color w:val="000000"/>
          <w:szCs w:val="20"/>
        </w:rPr>
        <w:t xml:space="preserve">Children temporarily away due to placement in foster care; or </w:t>
      </w:r>
    </w:p>
    <w:p w14:paraId="4A2FCCBF" w14:textId="77777777" w:rsidR="00DB4396" w:rsidRPr="002965D3" w:rsidRDefault="00DB4396" w:rsidP="007F177E">
      <w:pPr>
        <w:pStyle w:val="ListParagraph"/>
        <w:numPr>
          <w:ilvl w:val="0"/>
          <w:numId w:val="98"/>
        </w:numPr>
        <w:tabs>
          <w:tab w:val="clear" w:pos="360"/>
        </w:tabs>
        <w:ind w:left="720"/>
        <w:contextualSpacing w:val="0"/>
        <w:rPr>
          <w:rFonts w:cs="Arial"/>
          <w:szCs w:val="20"/>
        </w:rPr>
      </w:pPr>
      <w:r w:rsidRPr="002965D3">
        <w:rPr>
          <w:rFonts w:cs="Arial"/>
          <w:color w:val="000000"/>
          <w:szCs w:val="20"/>
        </w:rPr>
        <w:t xml:space="preserve">Military service (see policy on </w:t>
      </w:r>
      <w:r w:rsidRPr="002965D3">
        <w:rPr>
          <w:rFonts w:cs="Arial"/>
          <w:color w:val="0070C0"/>
          <w:szCs w:val="20"/>
        </w:rPr>
        <w:fldChar w:fldCharType="begin"/>
      </w:r>
      <w:r w:rsidRPr="002965D3">
        <w:rPr>
          <w:rFonts w:cs="Arial"/>
          <w:color w:val="0070C0"/>
          <w:szCs w:val="20"/>
        </w:rPr>
        <w:instrText xml:space="preserve"> REF _Ref404672064 \h  \* MERGEFORMAT </w:instrText>
      </w:r>
      <w:r w:rsidRPr="002965D3">
        <w:rPr>
          <w:rFonts w:cs="Arial"/>
          <w:color w:val="0070C0"/>
          <w:szCs w:val="20"/>
        </w:rPr>
      </w:r>
      <w:r w:rsidRPr="002965D3">
        <w:rPr>
          <w:rFonts w:cs="Arial"/>
          <w:color w:val="0070C0"/>
          <w:szCs w:val="20"/>
        </w:rPr>
        <w:fldChar w:fldCharType="separate"/>
      </w:r>
      <w:r w:rsidRPr="007219AE">
        <w:rPr>
          <w:rFonts w:cs="Arial"/>
          <w:b/>
          <w:color w:val="0070C0"/>
          <w:szCs w:val="20"/>
        </w:rPr>
        <w:t>Military Families – Absence from the Unit and Continued Occupancy</w:t>
      </w:r>
      <w:r w:rsidRPr="002965D3">
        <w:rPr>
          <w:rFonts w:cs="Arial"/>
          <w:color w:val="0070C0"/>
          <w:szCs w:val="20"/>
        </w:rPr>
        <w:fldChar w:fldCharType="end"/>
      </w:r>
      <w:r w:rsidRPr="002965D3">
        <w:rPr>
          <w:rFonts w:cs="Arial"/>
          <w:color w:val="000000"/>
          <w:szCs w:val="20"/>
        </w:rPr>
        <w:t xml:space="preserve">).   </w:t>
      </w:r>
    </w:p>
    <w:p w14:paraId="26CEA4AA" w14:textId="77777777" w:rsidR="00DB4396" w:rsidRPr="002965D3" w:rsidRDefault="00DB4396" w:rsidP="00C56497">
      <w:pPr>
        <w:rPr>
          <w:rFonts w:cs="Arial"/>
          <w:szCs w:val="20"/>
        </w:rPr>
      </w:pPr>
      <w:r w:rsidRPr="002965D3">
        <w:rPr>
          <w:rFonts w:cs="Arial"/>
          <w:szCs w:val="20"/>
        </w:rPr>
        <w:t xml:space="preserve">The head of household must notify </w:t>
      </w:r>
      <w:r w:rsidR="0019324C">
        <w:rPr>
          <w:rFonts w:cs="Arial"/>
          <w:szCs w:val="20"/>
        </w:rPr>
        <w:t>HHA</w:t>
      </w:r>
      <w:r w:rsidRPr="002965D3">
        <w:rPr>
          <w:rFonts w:cs="Arial"/>
          <w:szCs w:val="20"/>
        </w:rPr>
        <w:t xml:space="preserve"> and remove any household member from the lease who is absent from the unit without cause for more than 180 consecutive days.</w:t>
      </w:r>
    </w:p>
    <w:p w14:paraId="608FC919" w14:textId="77777777" w:rsidR="00DB4396" w:rsidRPr="002965D3" w:rsidRDefault="00DB4396" w:rsidP="007F177E">
      <w:pPr>
        <w:pStyle w:val="ListParagraph"/>
        <w:numPr>
          <w:ilvl w:val="0"/>
          <w:numId w:val="267"/>
        </w:numPr>
        <w:tabs>
          <w:tab w:val="clear" w:pos="360"/>
        </w:tabs>
        <w:ind w:left="720"/>
        <w:contextualSpacing w:val="0"/>
        <w:rPr>
          <w:rFonts w:cs="Arial"/>
          <w:szCs w:val="20"/>
        </w:rPr>
      </w:pPr>
      <w:r w:rsidRPr="002965D3">
        <w:rPr>
          <w:rFonts w:cs="Arial"/>
          <w:szCs w:val="20"/>
        </w:rPr>
        <w:t>Extended absence for more than 180 consecutive days during any 12-month period due to incarceration is not considered good cause.</w:t>
      </w:r>
    </w:p>
    <w:p w14:paraId="0722BEE5" w14:textId="77777777" w:rsidR="00DB4396" w:rsidRPr="002965D3" w:rsidRDefault="00DB4396" w:rsidP="007F177E">
      <w:pPr>
        <w:pStyle w:val="ListParagraph"/>
        <w:numPr>
          <w:ilvl w:val="0"/>
          <w:numId w:val="267"/>
        </w:numPr>
        <w:tabs>
          <w:tab w:val="clear" w:pos="360"/>
        </w:tabs>
        <w:ind w:left="720"/>
        <w:contextualSpacing w:val="0"/>
        <w:rPr>
          <w:rFonts w:cs="Arial"/>
          <w:szCs w:val="20"/>
        </w:rPr>
      </w:pPr>
      <w:r w:rsidRPr="002965D3">
        <w:rPr>
          <w:rFonts w:cs="Arial"/>
          <w:szCs w:val="20"/>
        </w:rPr>
        <w:t xml:space="preserve">To verify family occupancy or absence, </w:t>
      </w:r>
      <w:r w:rsidR="0019324C">
        <w:rPr>
          <w:rFonts w:cs="Arial"/>
          <w:szCs w:val="20"/>
        </w:rPr>
        <w:t>HHA</w:t>
      </w:r>
      <w:r w:rsidRPr="002965D3">
        <w:rPr>
          <w:rFonts w:cs="Arial"/>
          <w:szCs w:val="20"/>
        </w:rPr>
        <w:t xml:space="preserve"> may send request letters to the family at the unit, make phone calls or visits, send emails, schedule special inspections, and/or conduct other appropriate inquiries.</w:t>
      </w:r>
    </w:p>
    <w:p w14:paraId="5B01FF80" w14:textId="77777777" w:rsidR="00DB4396" w:rsidRPr="002965D3" w:rsidRDefault="00DB4396" w:rsidP="007F177E">
      <w:pPr>
        <w:pStyle w:val="ListParagraph"/>
        <w:numPr>
          <w:ilvl w:val="0"/>
          <w:numId w:val="267"/>
        </w:numPr>
        <w:tabs>
          <w:tab w:val="clear" w:pos="360"/>
        </w:tabs>
        <w:ind w:left="720"/>
        <w:contextualSpacing w:val="0"/>
        <w:rPr>
          <w:rFonts w:cs="Arial"/>
          <w:szCs w:val="20"/>
        </w:rPr>
      </w:pPr>
      <w:r w:rsidRPr="002965D3">
        <w:rPr>
          <w:rFonts w:cs="Arial"/>
          <w:szCs w:val="20"/>
        </w:rPr>
        <w:t>The family must remain in compliance with the terms of the public housing program and their lease during any absence from the unit.</w:t>
      </w:r>
    </w:p>
    <w:p w14:paraId="76B3C70F" w14:textId="77777777" w:rsidR="00DB4396" w:rsidRPr="002965D3" w:rsidRDefault="0019324C" w:rsidP="007F177E">
      <w:pPr>
        <w:pStyle w:val="ListParagraph"/>
        <w:numPr>
          <w:ilvl w:val="0"/>
          <w:numId w:val="267"/>
        </w:numPr>
        <w:tabs>
          <w:tab w:val="clear" w:pos="360"/>
        </w:tabs>
        <w:ind w:left="720"/>
        <w:contextualSpacing w:val="0"/>
        <w:rPr>
          <w:rFonts w:cs="Arial"/>
          <w:szCs w:val="20"/>
        </w:rPr>
      </w:pPr>
      <w:r>
        <w:rPr>
          <w:rFonts w:cs="Arial"/>
          <w:szCs w:val="20"/>
        </w:rPr>
        <w:t>HHA</w:t>
      </w:r>
      <w:r w:rsidR="00DB4396" w:rsidRPr="002965D3">
        <w:rPr>
          <w:rFonts w:cs="Arial"/>
          <w:szCs w:val="20"/>
        </w:rPr>
        <w:t xml:space="preserve"> will consider mitigating circumstances when determining good cause for an extended absence.</w:t>
      </w:r>
    </w:p>
    <w:p w14:paraId="69E88A6D" w14:textId="77777777" w:rsidR="00DB4396" w:rsidRPr="002965D3" w:rsidRDefault="00DB4396" w:rsidP="00936DC6">
      <w:pPr>
        <w:pStyle w:val="Heading4"/>
      </w:pPr>
      <w:bookmarkStart w:id="2712" w:name="_Ref404672064"/>
      <w:bookmarkStart w:id="2713" w:name="_Ref404672069"/>
      <w:bookmarkStart w:id="2714" w:name="_Toc432512086"/>
      <w:bookmarkStart w:id="2715" w:name="_Toc497275112"/>
      <w:bookmarkStart w:id="2716" w:name="_Toc508293806"/>
      <w:bookmarkStart w:id="2717" w:name="_Toc513469474"/>
      <w:bookmarkStart w:id="2718" w:name="_Toc527019593"/>
      <w:bookmarkStart w:id="2719" w:name="_Toc534707134"/>
      <w:bookmarkStart w:id="2720" w:name="_Toc534707812"/>
      <w:bookmarkStart w:id="2721" w:name="_Toc534708620"/>
      <w:bookmarkStart w:id="2722" w:name="_Toc106037946"/>
      <w:bookmarkStart w:id="2723" w:name="_Toc106201585"/>
      <w:bookmarkStart w:id="2724" w:name="_Toc106202104"/>
      <w:bookmarkStart w:id="2725" w:name="_Toc106202630"/>
      <w:bookmarkStart w:id="2726" w:name="_Toc113345086"/>
      <w:bookmarkStart w:id="2727" w:name="_Toc137461830"/>
      <w:bookmarkStart w:id="2728" w:name="_Toc137471421"/>
      <w:bookmarkStart w:id="2729" w:name="_Toc137471930"/>
      <w:bookmarkEnd w:id="2710"/>
      <w:r w:rsidRPr="002965D3">
        <w:t>Military Families – Absence from the Unit and Continued Occupancy</w:t>
      </w:r>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p>
    <w:p w14:paraId="19135ABB" w14:textId="77777777" w:rsidR="00DB4396" w:rsidRPr="002965D3" w:rsidRDefault="00290926" w:rsidP="00DB4396">
      <w:pPr>
        <w:rPr>
          <w:rFonts w:cs="Arial"/>
          <w:szCs w:val="20"/>
        </w:rPr>
      </w:pPr>
      <w:r>
        <w:rPr>
          <w:rFonts w:cs="Arial"/>
          <w:bCs/>
          <w:szCs w:val="20"/>
        </w:rPr>
        <w:t>O</w:t>
      </w:r>
      <w:r w:rsidR="00DB4396" w:rsidRPr="002965D3">
        <w:rPr>
          <w:rFonts w:cs="Arial"/>
          <w:szCs w:val="20"/>
        </w:rPr>
        <w:t>n a case</w:t>
      </w:r>
      <w:r w:rsidR="00C11470">
        <w:rPr>
          <w:rFonts w:cs="Arial"/>
          <w:szCs w:val="20"/>
        </w:rPr>
        <w:t>-</w:t>
      </w:r>
      <w:r w:rsidR="00DB4396" w:rsidRPr="002965D3">
        <w:rPr>
          <w:rFonts w:cs="Arial"/>
          <w:szCs w:val="20"/>
        </w:rPr>
        <w:t>by</w:t>
      </w:r>
      <w:r w:rsidR="00C11470">
        <w:rPr>
          <w:rFonts w:cs="Arial"/>
          <w:szCs w:val="20"/>
        </w:rPr>
        <w:t>-</w:t>
      </w:r>
      <w:r w:rsidR="00DB4396" w:rsidRPr="002965D3">
        <w:rPr>
          <w:rFonts w:cs="Arial"/>
          <w:szCs w:val="20"/>
        </w:rPr>
        <w:t xml:space="preserve">case basis, </w:t>
      </w:r>
      <w:r w:rsidR="0019324C">
        <w:rPr>
          <w:rFonts w:cs="Arial"/>
          <w:szCs w:val="20"/>
        </w:rPr>
        <w:t>HHA</w:t>
      </w:r>
      <w:r w:rsidR="00DB4396" w:rsidRPr="002965D3">
        <w:rPr>
          <w:rFonts w:cs="Arial"/>
          <w:szCs w:val="20"/>
        </w:rPr>
        <w:t xml:space="preserve"> will make reasonable exceptions to program requirements for active duty military families, to the extent </w:t>
      </w:r>
      <w:r w:rsidR="0019324C">
        <w:rPr>
          <w:rFonts w:cs="Arial"/>
          <w:szCs w:val="20"/>
        </w:rPr>
        <w:t>HHA</w:t>
      </w:r>
      <w:r w:rsidR="00DB4396" w:rsidRPr="002965D3">
        <w:rPr>
          <w:rFonts w:cs="Arial"/>
          <w:szCs w:val="20"/>
        </w:rPr>
        <w:t xml:space="preserve"> can do so while responsibly administering the public housing program.   </w:t>
      </w:r>
    </w:p>
    <w:p w14:paraId="168C7753" w14:textId="77777777" w:rsidR="00DB4396" w:rsidRPr="002965D3" w:rsidRDefault="00DB4396" w:rsidP="00DB4396">
      <w:pPr>
        <w:rPr>
          <w:rFonts w:cs="Arial"/>
          <w:szCs w:val="20"/>
        </w:rPr>
      </w:pPr>
      <w:r w:rsidRPr="002965D3">
        <w:rPr>
          <w:rFonts w:cs="Arial"/>
          <w:szCs w:val="20"/>
        </w:rPr>
        <w:t xml:space="preserve">These exceptions will be granted at </w:t>
      </w:r>
      <w:r w:rsidR="0019324C">
        <w:rPr>
          <w:rFonts w:cs="Arial"/>
          <w:szCs w:val="20"/>
        </w:rPr>
        <w:t>HHA</w:t>
      </w:r>
      <w:r w:rsidRPr="002965D3">
        <w:rPr>
          <w:rFonts w:cs="Arial"/>
          <w:szCs w:val="20"/>
        </w:rPr>
        <w:t xml:space="preserve">’s sole discretion, and should be primarily granted with respect to program requirements impacted by household members who are temporarily absent from their unit due to their active duty.  </w:t>
      </w:r>
    </w:p>
    <w:p w14:paraId="25CA7841" w14:textId="77777777" w:rsidR="00DB4396" w:rsidRPr="002965D3" w:rsidRDefault="00DB4396" w:rsidP="00B524D0">
      <w:pPr>
        <w:rPr>
          <w:rFonts w:cs="Arial"/>
          <w:szCs w:val="20"/>
        </w:rPr>
      </w:pPr>
      <w:r w:rsidRPr="002965D3">
        <w:rPr>
          <w:rFonts w:cs="Arial"/>
          <w:szCs w:val="20"/>
        </w:rPr>
        <w:t xml:space="preserve">Exceptions must be approved by the Executive Director or their designee. Households who cannot adhere to basic program requirements without the active military person present will not be granted exceptions. </w:t>
      </w:r>
    </w:p>
    <w:p w14:paraId="63742BEE" w14:textId="77777777" w:rsidR="00DB4396" w:rsidRPr="002965D3" w:rsidRDefault="00DB4396" w:rsidP="00B524D0">
      <w:pPr>
        <w:rPr>
          <w:rFonts w:cs="Arial"/>
          <w:szCs w:val="20"/>
        </w:rPr>
      </w:pPr>
      <w:r w:rsidRPr="002965D3">
        <w:rPr>
          <w:rFonts w:cs="Arial"/>
          <w:szCs w:val="20"/>
        </w:rPr>
        <w:t>Exceptions related to military families may include, but are not limited to:</w:t>
      </w:r>
    </w:p>
    <w:p w14:paraId="7AC62CE3" w14:textId="77777777" w:rsidR="00DB4396" w:rsidRPr="002965D3" w:rsidRDefault="00DB4396" w:rsidP="007F177E">
      <w:pPr>
        <w:pStyle w:val="ListParagraph"/>
        <w:numPr>
          <w:ilvl w:val="0"/>
          <w:numId w:val="99"/>
        </w:numPr>
        <w:tabs>
          <w:tab w:val="clear" w:pos="360"/>
        </w:tabs>
        <w:ind w:left="720"/>
        <w:contextualSpacing w:val="0"/>
      </w:pPr>
      <w:r w:rsidRPr="002965D3">
        <w:t>Allowing a suitable guardian to move into the unit on a temporary basis to care for any dependents that the military person leaves in the unit. Income of the guardian temporarily living in the unit solely for this purpose is not to be counted in determining household income and rent;</w:t>
      </w:r>
    </w:p>
    <w:p w14:paraId="1FB50218" w14:textId="77777777" w:rsidR="00DB4396" w:rsidRPr="002965D3" w:rsidRDefault="00DB4396" w:rsidP="007F177E">
      <w:pPr>
        <w:pStyle w:val="ListParagraph"/>
        <w:numPr>
          <w:ilvl w:val="0"/>
          <w:numId w:val="99"/>
        </w:numPr>
        <w:tabs>
          <w:tab w:val="clear" w:pos="360"/>
        </w:tabs>
        <w:ind w:left="720"/>
        <w:contextualSpacing w:val="0"/>
      </w:pPr>
      <w:r w:rsidRPr="002965D3">
        <w:t>Carefully considering the circumstances of any case involving delayed payment of rent by the household;</w:t>
      </w:r>
    </w:p>
    <w:p w14:paraId="7E1E0F7B" w14:textId="77777777" w:rsidR="00DB4396" w:rsidRPr="002965D3" w:rsidRDefault="00DB4396" w:rsidP="007F177E">
      <w:pPr>
        <w:pStyle w:val="ListParagraph"/>
        <w:numPr>
          <w:ilvl w:val="0"/>
          <w:numId w:val="99"/>
        </w:numPr>
        <w:tabs>
          <w:tab w:val="clear" w:pos="360"/>
        </w:tabs>
        <w:ind w:left="720"/>
        <w:contextualSpacing w:val="0"/>
      </w:pPr>
      <w:r w:rsidRPr="002965D3">
        <w:t>Granting exceptions to the ACOP policies concerning family absences from the unit;</w:t>
      </w:r>
    </w:p>
    <w:p w14:paraId="6244EDCC" w14:textId="77777777" w:rsidR="00DB4396" w:rsidRPr="002965D3" w:rsidRDefault="00DB4396" w:rsidP="007F177E">
      <w:pPr>
        <w:pStyle w:val="ListParagraph"/>
        <w:numPr>
          <w:ilvl w:val="0"/>
          <w:numId w:val="99"/>
        </w:numPr>
        <w:tabs>
          <w:tab w:val="clear" w:pos="360"/>
        </w:tabs>
        <w:ind w:left="720"/>
        <w:contextualSpacing w:val="0"/>
      </w:pPr>
      <w:r w:rsidRPr="002965D3">
        <w:t>Using provisional documents and income information to complete a reexamination and then conducting an interim reexamination when the military personnel’s information is available.</w:t>
      </w:r>
    </w:p>
    <w:p w14:paraId="09639EBA" w14:textId="77777777" w:rsidR="00DB4396" w:rsidRPr="002965D3" w:rsidRDefault="00DB4396" w:rsidP="00936DC6">
      <w:pPr>
        <w:pStyle w:val="Heading4"/>
      </w:pPr>
      <w:bookmarkStart w:id="2730" w:name="_Toc106037947"/>
      <w:bookmarkStart w:id="2731" w:name="_Toc106201586"/>
      <w:bookmarkStart w:id="2732" w:name="_Toc106202105"/>
      <w:bookmarkStart w:id="2733" w:name="_Toc106202631"/>
      <w:bookmarkStart w:id="2734" w:name="_Toc113345087"/>
      <w:bookmarkStart w:id="2735" w:name="_Toc137461831"/>
      <w:bookmarkStart w:id="2736" w:name="_Toc137471422"/>
      <w:bookmarkStart w:id="2737" w:name="_Toc137471931"/>
      <w:r w:rsidRPr="002965D3">
        <w:t>Abandonment</w:t>
      </w:r>
      <w:bookmarkEnd w:id="2730"/>
      <w:bookmarkEnd w:id="2731"/>
      <w:bookmarkEnd w:id="2732"/>
      <w:bookmarkEnd w:id="2733"/>
      <w:bookmarkEnd w:id="2734"/>
      <w:bookmarkEnd w:id="2735"/>
      <w:bookmarkEnd w:id="2736"/>
      <w:bookmarkEnd w:id="2737"/>
    </w:p>
    <w:p w14:paraId="4DCD0376" w14:textId="77777777" w:rsidR="00DB4396" w:rsidRPr="008C227B" w:rsidRDefault="00DB4396" w:rsidP="00DB4396">
      <w:pPr>
        <w:contextualSpacing/>
        <w:rPr>
          <w:rFonts w:cs="Arial"/>
          <w:bCs/>
          <w:iCs/>
          <w:szCs w:val="20"/>
        </w:rPr>
      </w:pPr>
      <w:r w:rsidRPr="008C227B">
        <w:rPr>
          <w:rFonts w:cs="Arial"/>
          <w:bCs/>
          <w:iCs/>
          <w:szCs w:val="20"/>
        </w:rPr>
        <w:t xml:space="preserve">If the family appears to have vacated the unit without giving proper notice, </w:t>
      </w:r>
      <w:r w:rsidR="0019324C">
        <w:rPr>
          <w:rFonts w:cs="Arial"/>
          <w:bCs/>
          <w:iCs/>
          <w:szCs w:val="20"/>
        </w:rPr>
        <w:t>HHA</w:t>
      </w:r>
      <w:r w:rsidRPr="008C227B">
        <w:rPr>
          <w:rFonts w:cs="Arial"/>
          <w:bCs/>
          <w:iCs/>
          <w:szCs w:val="20"/>
        </w:rPr>
        <w:t xml:space="preserve"> will follow state and local landlord-tenant law pertaining to abandonment before taking possession of the unit. If necessary, </w:t>
      </w:r>
      <w:r w:rsidR="0019324C">
        <w:rPr>
          <w:rFonts w:cs="Arial"/>
          <w:bCs/>
          <w:iCs/>
          <w:szCs w:val="20"/>
        </w:rPr>
        <w:t>HHA</w:t>
      </w:r>
      <w:r w:rsidRPr="008C227B">
        <w:rPr>
          <w:rFonts w:cs="Arial"/>
          <w:bCs/>
          <w:iCs/>
          <w:szCs w:val="20"/>
        </w:rPr>
        <w:t xml:space="preserve"> will secure the unit immediately to prevent vandalism and other criminal activity.</w:t>
      </w:r>
    </w:p>
    <w:p w14:paraId="4D0AA10E" w14:textId="77777777" w:rsidR="00DB4396" w:rsidRPr="00122C89" w:rsidRDefault="00B524D0" w:rsidP="00936DC6">
      <w:pPr>
        <w:pStyle w:val="Heading3"/>
      </w:pPr>
      <w:bookmarkStart w:id="2738" w:name="_Toc527019594"/>
      <w:bookmarkStart w:id="2739" w:name="_Toc534707135"/>
      <w:bookmarkStart w:id="2740" w:name="_Toc534707813"/>
      <w:bookmarkStart w:id="2741" w:name="_Toc534708621"/>
      <w:bookmarkStart w:id="2742" w:name="_Toc106037948"/>
      <w:bookmarkStart w:id="2743" w:name="_Toc106201587"/>
      <w:bookmarkStart w:id="2744" w:name="_Toc106202106"/>
      <w:bookmarkStart w:id="2745" w:name="_Toc106202632"/>
      <w:bookmarkStart w:id="2746" w:name="_Toc113345088"/>
      <w:bookmarkStart w:id="2747" w:name="_Toc137460418"/>
      <w:bookmarkStart w:id="2748" w:name="_Toc137460663"/>
      <w:bookmarkStart w:id="2749" w:name="_Toc137460908"/>
      <w:bookmarkStart w:id="2750" w:name="_Toc137461832"/>
      <w:bookmarkStart w:id="2751" w:name="_Toc137471423"/>
      <w:bookmarkStart w:id="2752" w:name="_Toc137471932"/>
      <w:r>
        <w:t xml:space="preserve"> </w:t>
      </w:r>
      <w:bookmarkStart w:id="2753" w:name="_Toc200375783"/>
      <w:r w:rsidRPr="00122C89">
        <w:t xml:space="preserve">Family Break-Up </w:t>
      </w:r>
      <w:bookmarkEnd w:id="2738"/>
      <w:r>
        <w:t>a</w:t>
      </w:r>
      <w:r w:rsidRPr="00122C89">
        <w:t>nd Remaining Members</w:t>
      </w:r>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p>
    <w:p w14:paraId="2BD17219" w14:textId="77777777" w:rsidR="00DB4396" w:rsidRPr="002965D3" w:rsidRDefault="00DB4396" w:rsidP="00DB4396">
      <w:r w:rsidRPr="002965D3">
        <w:rPr>
          <w:rFonts w:cs="Arial"/>
          <w:szCs w:val="20"/>
        </w:rPr>
        <w:t>R</w:t>
      </w:r>
      <w:r w:rsidRPr="002965D3">
        <w:t xml:space="preserve">esident families who separate while being assisted under the public housing program will be assessed on a case-by-case basis to determine which family members remain assisted under the program. </w:t>
      </w:r>
      <w:r w:rsidR="0019324C">
        <w:t>HHA</w:t>
      </w:r>
      <w:r w:rsidRPr="002965D3">
        <w:t xml:space="preserve"> policy is as follows:</w:t>
      </w:r>
    </w:p>
    <w:p w14:paraId="1D130506" w14:textId="77777777" w:rsidR="00DB4396" w:rsidRPr="002965D3" w:rsidRDefault="00DB4396" w:rsidP="007F177E">
      <w:pPr>
        <w:pStyle w:val="ListParagraph"/>
        <w:numPr>
          <w:ilvl w:val="0"/>
          <w:numId w:val="268"/>
        </w:numPr>
        <w:tabs>
          <w:tab w:val="clear" w:pos="360"/>
        </w:tabs>
        <w:ind w:left="720"/>
        <w:contextualSpacing w:val="0"/>
      </w:pPr>
      <w:r w:rsidRPr="002965D3">
        <w:t>The head of household, co-head or remaining family member of the household who has full legal custody of any minor children in the unit will retain the use of the federally assisted unit.</w:t>
      </w:r>
    </w:p>
    <w:p w14:paraId="7DB465C8" w14:textId="77777777" w:rsidR="00DB4396" w:rsidRPr="002965D3" w:rsidRDefault="00DB4396" w:rsidP="007F177E">
      <w:pPr>
        <w:pStyle w:val="ListParagraph"/>
        <w:numPr>
          <w:ilvl w:val="0"/>
          <w:numId w:val="268"/>
        </w:numPr>
        <w:tabs>
          <w:tab w:val="clear" w:pos="360"/>
        </w:tabs>
        <w:ind w:left="720"/>
        <w:contextualSpacing w:val="0"/>
      </w:pPr>
      <w:r w:rsidRPr="002965D3">
        <w:t xml:space="preserve">In cases where the head of household and co-head have a joint custody arrangement for minor children, the original head of household will retain the use of the federally assisted unit. </w:t>
      </w:r>
    </w:p>
    <w:p w14:paraId="0CB1A91D" w14:textId="77777777" w:rsidR="00DB4396" w:rsidRPr="002965D3" w:rsidRDefault="00DB4396" w:rsidP="007F177E">
      <w:pPr>
        <w:pStyle w:val="ListParagraph"/>
        <w:numPr>
          <w:ilvl w:val="0"/>
          <w:numId w:val="268"/>
        </w:numPr>
        <w:tabs>
          <w:tab w:val="clear" w:pos="360"/>
        </w:tabs>
        <w:ind w:left="720"/>
        <w:contextualSpacing w:val="0"/>
      </w:pPr>
      <w:r w:rsidRPr="002965D3">
        <w:t xml:space="preserve">In cases where the head of household dies, leaving minor children, the new head of household will be subject to all </w:t>
      </w:r>
      <w:r w:rsidR="0019324C">
        <w:t>HHA</w:t>
      </w:r>
      <w:r w:rsidRPr="002965D3">
        <w:t xml:space="preserve"> eligibility and admission requirements.</w:t>
      </w:r>
    </w:p>
    <w:p w14:paraId="16B16FF7" w14:textId="77777777" w:rsidR="00DB4396" w:rsidRPr="00B524D0" w:rsidRDefault="0019324C" w:rsidP="007F177E">
      <w:pPr>
        <w:pStyle w:val="ListParagraph"/>
        <w:numPr>
          <w:ilvl w:val="0"/>
          <w:numId w:val="268"/>
        </w:numPr>
        <w:tabs>
          <w:tab w:val="clear" w:pos="360"/>
        </w:tabs>
        <w:ind w:left="720"/>
        <w:contextualSpacing w:val="0"/>
      </w:pPr>
      <w:bookmarkStart w:id="2754" w:name="_Hlk77149067"/>
      <w:r w:rsidRPr="00B524D0">
        <w:t>HHA</w:t>
      </w:r>
      <w:r w:rsidR="00DB4396" w:rsidRPr="00B524D0">
        <w:t xml:space="preserve"> may allow a guardian or caretaker to temporarily reside in the unit. If the guardian or caretaker applies to become the new head of household, they must meet the eligibility requirements as set forth in this ACOP. </w:t>
      </w:r>
      <w:r w:rsidRPr="00B524D0">
        <w:t>HHA</w:t>
      </w:r>
      <w:r w:rsidR="00DB4396" w:rsidRPr="00B524D0">
        <w:t xml:space="preserve"> will allow a temporary guardian or caretaker to remain in the unit for up to 90 days.</w:t>
      </w:r>
    </w:p>
    <w:bookmarkEnd w:id="2754"/>
    <w:p w14:paraId="30211393" w14:textId="77777777" w:rsidR="00DB4396" w:rsidRPr="002965D3" w:rsidRDefault="00DB4396" w:rsidP="007F177E">
      <w:pPr>
        <w:pStyle w:val="ListParagraph"/>
        <w:numPr>
          <w:ilvl w:val="0"/>
          <w:numId w:val="268"/>
        </w:numPr>
        <w:tabs>
          <w:tab w:val="clear" w:pos="360"/>
        </w:tabs>
        <w:ind w:left="720"/>
        <w:contextualSpacing w:val="0"/>
      </w:pPr>
      <w:r w:rsidRPr="002965D3">
        <w:t>In cases where there is a head of household and a co-head with no minor children, the original head of household will retain the use of the federally assisted unit, unless another consideration listed here is a factor.</w:t>
      </w:r>
    </w:p>
    <w:p w14:paraId="7FF8B4C2" w14:textId="77777777" w:rsidR="00DB4396" w:rsidRPr="002965D3" w:rsidRDefault="00DB4396" w:rsidP="007F177E">
      <w:pPr>
        <w:pStyle w:val="ListParagraph"/>
        <w:numPr>
          <w:ilvl w:val="0"/>
          <w:numId w:val="268"/>
        </w:numPr>
        <w:tabs>
          <w:tab w:val="clear" w:pos="360"/>
        </w:tabs>
        <w:ind w:left="720"/>
        <w:contextualSpacing w:val="0"/>
      </w:pPr>
      <w:r w:rsidRPr="002965D3">
        <w:t xml:space="preserve">In the event that the head of household moves out of the federally assisted unit or dies, a remaining adult family member (with or without children in the unit) may retain use of the federally assisted unit if that adult has been part of the household since admission or if they were added to the household, have lived in the unit for at least 6 months after approval by </w:t>
      </w:r>
      <w:r w:rsidR="0019324C">
        <w:t>HHA</w:t>
      </w:r>
      <w:r w:rsidRPr="002965D3">
        <w:t xml:space="preserve"> to do so; are in compliance with all program rules and regulations; and meet all other program eligibility and continued occupancy requirements.</w:t>
      </w:r>
    </w:p>
    <w:p w14:paraId="033B65D3" w14:textId="77777777" w:rsidR="00DB4396" w:rsidRPr="002965D3" w:rsidRDefault="00DB4396" w:rsidP="007F177E">
      <w:pPr>
        <w:pStyle w:val="ListParagraph"/>
        <w:numPr>
          <w:ilvl w:val="0"/>
          <w:numId w:val="268"/>
        </w:numPr>
        <w:tabs>
          <w:tab w:val="clear" w:pos="360"/>
        </w:tabs>
        <w:ind w:left="720"/>
        <w:contextualSpacing w:val="0"/>
      </w:pPr>
      <w:r w:rsidRPr="002965D3">
        <w:t>In cases where a live-in aide is added to a household as a result of a care situation for an elderly or disabled household member, the live-in aide is not considered to be a remaining family member</w:t>
      </w:r>
      <w:r w:rsidR="00041F0A">
        <w:t xml:space="preserve"> (even if related</w:t>
      </w:r>
      <w:r w:rsidR="000454A7">
        <w:t>)</w:t>
      </w:r>
      <w:r w:rsidRPr="002965D3">
        <w:t xml:space="preserve"> and is not eligible to retain the use of the federally assisted unit.</w:t>
      </w:r>
    </w:p>
    <w:p w14:paraId="18BE0022" w14:textId="77777777" w:rsidR="00DB4396" w:rsidRPr="002965D3" w:rsidRDefault="00DB4396" w:rsidP="007F177E">
      <w:pPr>
        <w:pStyle w:val="ListParagraph"/>
        <w:numPr>
          <w:ilvl w:val="0"/>
          <w:numId w:val="268"/>
        </w:numPr>
        <w:tabs>
          <w:tab w:val="clear" w:pos="360"/>
        </w:tabs>
        <w:ind w:left="720"/>
        <w:contextualSpacing w:val="0"/>
      </w:pPr>
      <w:r w:rsidRPr="002965D3">
        <w:t>Foster children and foster adults are never considered remaining family members and have no rights to the federally assisted unit when and if the head of household or co-head moves out of the unit, is evicted or is deceased.</w:t>
      </w:r>
    </w:p>
    <w:p w14:paraId="4C17DFD6" w14:textId="77777777" w:rsidR="00DB4396" w:rsidRPr="002965D3" w:rsidRDefault="00DB4396" w:rsidP="007F177E">
      <w:pPr>
        <w:pStyle w:val="ListParagraph"/>
        <w:numPr>
          <w:ilvl w:val="0"/>
          <w:numId w:val="268"/>
        </w:numPr>
        <w:tabs>
          <w:tab w:val="clear" w:pos="360"/>
        </w:tabs>
        <w:ind w:left="720"/>
        <w:contextualSpacing w:val="0"/>
      </w:pPr>
      <w:bookmarkStart w:id="2755" w:name="_Hlk77149261"/>
      <w:r w:rsidRPr="002965D3">
        <w:t xml:space="preserve">If a separation is the result of a divorce or separation under a settlement or judicial decree, </w:t>
      </w:r>
      <w:r w:rsidR="0019324C">
        <w:t>HHA</w:t>
      </w:r>
      <w:r w:rsidRPr="002965D3">
        <w:t xml:space="preserve"> will follow any court determination of which family members retain the federally assisted unit.</w:t>
      </w:r>
    </w:p>
    <w:bookmarkEnd w:id="2755"/>
    <w:p w14:paraId="4AF2EA29" w14:textId="77777777" w:rsidR="00DB4396" w:rsidRPr="002965D3" w:rsidRDefault="00DB4396" w:rsidP="007F177E">
      <w:pPr>
        <w:pStyle w:val="ListParagraph"/>
        <w:numPr>
          <w:ilvl w:val="0"/>
          <w:numId w:val="268"/>
        </w:numPr>
        <w:tabs>
          <w:tab w:val="clear" w:pos="360"/>
        </w:tabs>
        <w:ind w:left="720"/>
        <w:contextualSpacing w:val="0"/>
      </w:pPr>
      <w:r w:rsidRPr="002965D3">
        <w:t xml:space="preserve">In order for a minor to continue to receive assistance as a remaining family member, the court has to have awarded emancipated minor status to the minor or </w:t>
      </w:r>
      <w:r w:rsidR="0019324C">
        <w:t>HHA</w:t>
      </w:r>
      <w:r w:rsidRPr="002965D3">
        <w:t xml:space="preserve"> has to verify that Social Services and/or the Juvenile Court has arranged for another adult to be brought into the assisted unit to care for the child(ren) for an indefinite period of time.</w:t>
      </w:r>
    </w:p>
    <w:p w14:paraId="640E036E" w14:textId="77777777" w:rsidR="00DB4396" w:rsidRPr="002965D3" w:rsidRDefault="00DB4396" w:rsidP="007F177E">
      <w:pPr>
        <w:pStyle w:val="ListParagraph"/>
        <w:numPr>
          <w:ilvl w:val="0"/>
          <w:numId w:val="268"/>
        </w:numPr>
        <w:tabs>
          <w:tab w:val="clear" w:pos="360"/>
        </w:tabs>
        <w:ind w:left="720"/>
        <w:contextualSpacing w:val="0"/>
      </w:pPr>
      <w:bookmarkStart w:id="2756" w:name="_Hlk77149283"/>
      <w:r w:rsidRPr="002965D3">
        <w:t xml:space="preserve">If the family break-up results from an occurrence of </w:t>
      </w:r>
      <w:r w:rsidR="00891743" w:rsidRPr="006279F1">
        <w:rPr>
          <w:rFonts w:cs="Arial"/>
          <w:spacing w:val="-2"/>
        </w:rPr>
        <w:t>domestic violence, dating violence, sexual assault, stalking and/or human trafficking</w:t>
      </w:r>
      <w:r w:rsidRPr="002965D3">
        <w:t xml:space="preserve">, </w:t>
      </w:r>
      <w:r w:rsidR="0019324C">
        <w:t>HHA</w:t>
      </w:r>
      <w:r w:rsidRPr="002965D3">
        <w:t xml:space="preserve"> will ensure that the victim remains on the program.</w:t>
      </w:r>
    </w:p>
    <w:p w14:paraId="08A67951" w14:textId="77777777" w:rsidR="00DB4396" w:rsidRPr="00B524D0" w:rsidRDefault="00DB4396" w:rsidP="007F177E">
      <w:pPr>
        <w:pStyle w:val="ListParagraph"/>
        <w:numPr>
          <w:ilvl w:val="0"/>
          <w:numId w:val="268"/>
        </w:numPr>
        <w:tabs>
          <w:tab w:val="clear" w:pos="360"/>
        </w:tabs>
        <w:ind w:left="720"/>
        <w:contextualSpacing w:val="0"/>
      </w:pPr>
      <w:bookmarkStart w:id="2757" w:name="_Hlk77149295"/>
      <w:bookmarkEnd w:id="2756"/>
      <w:r w:rsidRPr="00B524D0">
        <w:t xml:space="preserve">For any family members who are elderly or disabled, </w:t>
      </w:r>
      <w:r w:rsidR="0019324C" w:rsidRPr="00B524D0">
        <w:t>HHA</w:t>
      </w:r>
      <w:r w:rsidRPr="00B524D0">
        <w:t xml:space="preserve"> will take into consideration where they will reside after the break-up.</w:t>
      </w:r>
    </w:p>
    <w:bookmarkEnd w:id="2757"/>
    <w:p w14:paraId="7588D08B" w14:textId="77777777" w:rsidR="00DB4396" w:rsidRPr="002965D3" w:rsidRDefault="00DB4396" w:rsidP="007F177E">
      <w:pPr>
        <w:pStyle w:val="ListParagraph"/>
        <w:numPr>
          <w:ilvl w:val="0"/>
          <w:numId w:val="268"/>
        </w:numPr>
        <w:tabs>
          <w:tab w:val="clear" w:pos="360"/>
        </w:tabs>
        <w:ind w:left="720"/>
        <w:contextualSpacing w:val="0"/>
      </w:pPr>
      <w:r w:rsidRPr="002965D3">
        <w:t>If exceptional circumstances exist concerning the remaining member of a tenant family, a discretionary administrative determination may be made by the public housing program designee on a case-by-case basis.</w:t>
      </w:r>
    </w:p>
    <w:p w14:paraId="1CB56693" w14:textId="77777777" w:rsidR="00DB4396" w:rsidRPr="002965D3" w:rsidRDefault="0019324C" w:rsidP="00DB4396">
      <w:pPr>
        <w:autoSpaceDE w:val="0"/>
        <w:autoSpaceDN w:val="0"/>
        <w:adjustRightInd w:val="0"/>
        <w:rPr>
          <w:rFonts w:cs="Arial"/>
          <w:szCs w:val="20"/>
        </w:rPr>
      </w:pPr>
      <w:bookmarkStart w:id="2758" w:name="_Hlk77149326"/>
      <w:r>
        <w:rPr>
          <w:rFonts w:cs="Arial"/>
          <w:szCs w:val="20"/>
        </w:rPr>
        <w:t>HHA</w:t>
      </w:r>
      <w:r w:rsidR="00DB4396" w:rsidRPr="002965D3">
        <w:rPr>
          <w:rFonts w:cs="Arial"/>
          <w:szCs w:val="20"/>
        </w:rPr>
        <w:t xml:space="preserve"> may deny head of household status if there was either an action to evict the former head of household. </w:t>
      </w:r>
      <w:bookmarkEnd w:id="2758"/>
      <w:r w:rsidR="00DB4396" w:rsidRPr="002965D3">
        <w:rPr>
          <w:rFonts w:cs="Arial"/>
          <w:szCs w:val="20"/>
        </w:rPr>
        <w:t xml:space="preserve">For example, if the former head of household is arrested for drug possession and </w:t>
      </w:r>
      <w:r>
        <w:rPr>
          <w:rFonts w:cs="Arial"/>
          <w:szCs w:val="20"/>
        </w:rPr>
        <w:t>HHA</w:t>
      </w:r>
      <w:r w:rsidR="00DB4396" w:rsidRPr="002965D3">
        <w:rPr>
          <w:rFonts w:cs="Arial"/>
          <w:szCs w:val="20"/>
        </w:rPr>
        <w:t xml:space="preserve"> moved to evict the family, following which, the head of household moves out, </w:t>
      </w:r>
      <w:r>
        <w:rPr>
          <w:rFonts w:cs="Arial"/>
          <w:szCs w:val="20"/>
        </w:rPr>
        <w:t>HHA</w:t>
      </w:r>
      <w:r w:rsidR="00DB4396" w:rsidRPr="002965D3">
        <w:rPr>
          <w:rFonts w:cs="Arial"/>
          <w:szCs w:val="20"/>
        </w:rPr>
        <w:t xml:space="preserve"> may decide not to accept a new head of household and continue with the eviction.</w:t>
      </w:r>
    </w:p>
    <w:p w14:paraId="762CD577" w14:textId="77777777" w:rsidR="00DB4396" w:rsidRPr="002965D3" w:rsidRDefault="00B524D0" w:rsidP="00936DC6">
      <w:pPr>
        <w:pStyle w:val="Heading3"/>
      </w:pPr>
      <w:bookmarkStart w:id="2759" w:name="_Toc513469480"/>
      <w:bookmarkStart w:id="2760" w:name="_Toc527019595"/>
      <w:bookmarkStart w:id="2761" w:name="_Toc534707136"/>
      <w:bookmarkStart w:id="2762" w:name="_Toc534707814"/>
      <w:bookmarkStart w:id="2763" w:name="_Toc534708622"/>
      <w:bookmarkStart w:id="2764" w:name="_Toc106037949"/>
      <w:bookmarkStart w:id="2765" w:name="_Toc106201588"/>
      <w:bookmarkStart w:id="2766" w:name="_Toc106202107"/>
      <w:bookmarkStart w:id="2767" w:name="_Toc106202633"/>
      <w:bookmarkStart w:id="2768" w:name="_Toc113345089"/>
      <w:bookmarkStart w:id="2769" w:name="_Toc137460419"/>
      <w:bookmarkStart w:id="2770" w:name="_Toc137460664"/>
      <w:bookmarkStart w:id="2771" w:name="_Toc137460909"/>
      <w:bookmarkStart w:id="2772" w:name="_Toc137461833"/>
      <w:bookmarkStart w:id="2773" w:name="_Toc137471424"/>
      <w:bookmarkStart w:id="2774" w:name="_Toc137471933"/>
      <w:r>
        <w:t xml:space="preserve"> </w:t>
      </w:r>
      <w:bookmarkStart w:id="2775" w:name="_Toc200375784"/>
      <w:r w:rsidRPr="002965D3">
        <w:t>Guests</w:t>
      </w:r>
      <w:bookmarkEnd w:id="2759"/>
      <w:r w:rsidRPr="002965D3">
        <w:t xml:space="preserve"> </w:t>
      </w:r>
      <w:bookmarkEnd w:id="2760"/>
      <w:r w:rsidR="00C04290">
        <w:t>a</w:t>
      </w:r>
      <w:r w:rsidRPr="002965D3">
        <w:t>nd Unauthorized Occupants</w:t>
      </w:r>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p>
    <w:p w14:paraId="31061BAF" w14:textId="7A1039CE" w:rsidR="00DB4396" w:rsidRPr="00C252C4" w:rsidRDefault="00DB4396" w:rsidP="00C252C4">
      <w:pPr>
        <w:rPr>
          <w:rFonts w:cs="Arial"/>
        </w:rPr>
      </w:pPr>
      <w:r w:rsidRPr="00C252C4">
        <w:rPr>
          <w:rFonts w:cs="Arial"/>
        </w:rPr>
        <w:t xml:space="preserve">See policy on </w:t>
      </w:r>
      <w:r w:rsidRPr="00C252C4">
        <w:rPr>
          <w:rFonts w:cs="Arial"/>
          <w:b/>
          <w:color w:val="0070C0"/>
        </w:rPr>
        <w:fldChar w:fldCharType="begin"/>
      </w:r>
      <w:r w:rsidRPr="00C252C4">
        <w:rPr>
          <w:rFonts w:cs="Arial"/>
          <w:b/>
          <w:color w:val="0070C0"/>
        </w:rPr>
        <w:instrText xml:space="preserve"> REF _Ref526750435 \h  \* MERGEFORMAT </w:instrText>
      </w:r>
      <w:r w:rsidRPr="00C252C4">
        <w:rPr>
          <w:rFonts w:cs="Arial"/>
          <w:b/>
          <w:color w:val="0070C0"/>
        </w:rPr>
      </w:r>
      <w:r w:rsidRPr="00C252C4">
        <w:rPr>
          <w:rFonts w:cs="Arial"/>
          <w:b/>
          <w:color w:val="0070C0"/>
        </w:rPr>
        <w:fldChar w:fldCharType="separate"/>
      </w:r>
      <w:r w:rsidRPr="00C252C4">
        <w:rPr>
          <w:b/>
          <w:color w:val="0070C0"/>
        </w:rPr>
        <w:t>Guests</w:t>
      </w:r>
      <w:r w:rsidRPr="00C252C4">
        <w:rPr>
          <w:rFonts w:cs="Arial"/>
          <w:b/>
          <w:color w:val="0070C0"/>
        </w:rPr>
        <w:fldChar w:fldCharType="end"/>
      </w:r>
      <w:r w:rsidRPr="00C252C4">
        <w:rPr>
          <w:rFonts w:cs="Arial"/>
        </w:rPr>
        <w:t xml:space="preserve"> in </w:t>
      </w:r>
      <w:r w:rsidR="004F557D">
        <w:rPr>
          <w:rFonts w:cs="Arial"/>
        </w:rPr>
        <w:t xml:space="preserve">the </w:t>
      </w:r>
      <w:r w:rsidR="004F557D" w:rsidRPr="004F557D">
        <w:rPr>
          <w:rFonts w:cs="Arial"/>
          <w:b/>
          <w:bCs/>
          <w:color w:val="0070C0"/>
        </w:rPr>
        <w:fldChar w:fldCharType="begin"/>
      </w:r>
      <w:r w:rsidR="004F557D" w:rsidRPr="004F557D">
        <w:rPr>
          <w:rFonts w:cs="Arial"/>
          <w:b/>
          <w:bCs/>
          <w:color w:val="0070C0"/>
        </w:rPr>
        <w:instrText xml:space="preserve"> REF _Ref145412251 \h  \* MERGEFORMAT </w:instrText>
      </w:r>
      <w:r w:rsidR="004F557D" w:rsidRPr="004F557D">
        <w:rPr>
          <w:rFonts w:cs="Arial"/>
          <w:b/>
          <w:bCs/>
          <w:color w:val="0070C0"/>
        </w:rPr>
      </w:r>
      <w:r w:rsidR="004F557D" w:rsidRPr="004F557D">
        <w:rPr>
          <w:rFonts w:cs="Arial"/>
          <w:b/>
          <w:bCs/>
          <w:color w:val="0070C0"/>
        </w:rPr>
        <w:fldChar w:fldCharType="separate"/>
      </w:r>
      <w:r w:rsidR="004F557D" w:rsidRPr="004F557D">
        <w:rPr>
          <w:b/>
          <w:bCs/>
          <w:color w:val="0070C0"/>
        </w:rPr>
        <w:t>ELIGIBILITY</w:t>
      </w:r>
      <w:r w:rsidR="004F557D" w:rsidRPr="004F557D">
        <w:rPr>
          <w:rFonts w:cs="Arial"/>
          <w:b/>
          <w:bCs/>
          <w:color w:val="0070C0"/>
        </w:rPr>
        <w:fldChar w:fldCharType="end"/>
      </w:r>
      <w:r w:rsidR="004F557D">
        <w:rPr>
          <w:rFonts w:cs="Arial"/>
        </w:rPr>
        <w:t xml:space="preserve"> chapter</w:t>
      </w:r>
      <w:r w:rsidRPr="00C252C4">
        <w:rPr>
          <w:rFonts w:cs="Arial"/>
        </w:rPr>
        <w:t xml:space="preserve">.  </w:t>
      </w:r>
    </w:p>
    <w:p w14:paraId="5260E050" w14:textId="77777777" w:rsidR="00DB4396" w:rsidRPr="00C252C4" w:rsidRDefault="00DB4396" w:rsidP="00C252C4">
      <w:pPr>
        <w:autoSpaceDE w:val="0"/>
        <w:autoSpaceDN w:val="0"/>
        <w:adjustRightInd w:val="0"/>
        <w:rPr>
          <w:rFonts w:cs="Arial"/>
          <w:color w:val="000000"/>
        </w:rPr>
      </w:pPr>
      <w:r w:rsidRPr="00C252C4">
        <w:rPr>
          <w:rFonts w:cs="Arial"/>
          <w:color w:val="000000"/>
        </w:rPr>
        <w:t xml:space="preserve">Resident households are not permitted to allow roomers or boarders to occupy their unit, or to sublet their unit. Violation of this provision is grounds for eviction. </w:t>
      </w:r>
    </w:p>
    <w:p w14:paraId="698A51CC" w14:textId="77777777" w:rsidR="00DB4396" w:rsidRDefault="00DB4396" w:rsidP="00C252C4">
      <w:pPr>
        <w:pStyle w:val="00Normal"/>
        <w:spacing w:after="160" w:line="259" w:lineRule="auto"/>
        <w:jc w:val="both"/>
        <w:rPr>
          <w:sz w:val="22"/>
          <w:szCs w:val="22"/>
        </w:rPr>
      </w:pPr>
      <w:r w:rsidRPr="00C252C4">
        <w:rPr>
          <w:sz w:val="22"/>
          <w:szCs w:val="22"/>
        </w:rPr>
        <w:t>Persons not on the lease who represent the unit address as their residence address for receipt of benefits or other purposes will be considered unauthorized occupants. In addition, guests who remain in the unit beyond the allowable time limit will be considered unauthorized occupants, and their presence represents a violation of program requirements.</w:t>
      </w:r>
    </w:p>
    <w:p w14:paraId="7A70FF29" w14:textId="77777777" w:rsidR="009F628C" w:rsidRPr="00C252C4" w:rsidRDefault="009F628C" w:rsidP="00C252C4">
      <w:pPr>
        <w:pStyle w:val="00Normal"/>
        <w:spacing w:after="160" w:line="259" w:lineRule="auto"/>
        <w:jc w:val="both"/>
        <w:rPr>
          <w:sz w:val="22"/>
          <w:szCs w:val="22"/>
        </w:rPr>
      </w:pPr>
    </w:p>
    <w:p w14:paraId="5BF9B1FE" w14:textId="77777777" w:rsidR="00A95B1E" w:rsidRDefault="00A95B1E" w:rsidP="00A95B1E">
      <w:pPr>
        <w:pStyle w:val="Heading1"/>
        <w:ind w:left="0" w:firstLine="0"/>
        <w:sectPr w:rsidR="00A95B1E" w:rsidSect="00EE2233">
          <w:pgSz w:w="12240" w:h="15840"/>
          <w:pgMar w:top="1440" w:right="1440" w:bottom="1440" w:left="1440" w:header="720" w:footer="720" w:gutter="0"/>
          <w:cols w:space="720"/>
          <w:docGrid w:linePitch="360"/>
        </w:sectPr>
      </w:pPr>
    </w:p>
    <w:p w14:paraId="152E3EE8" w14:textId="77777777" w:rsidR="00485FA3" w:rsidRPr="00406414" w:rsidRDefault="00485FA3" w:rsidP="00485FA3">
      <w:pPr>
        <w:pStyle w:val="Heading1"/>
        <w:ind w:left="0" w:firstLine="0"/>
      </w:pPr>
      <w:bookmarkStart w:id="2776" w:name="_Ref151015824"/>
      <w:bookmarkStart w:id="2777" w:name="_Toc173222749"/>
      <w:bookmarkStart w:id="2778" w:name="_Toc200375785"/>
      <w:bookmarkStart w:id="2779" w:name="_Toc200377015"/>
      <w:r w:rsidRPr="00406414">
        <w:t>PETS</w:t>
      </w:r>
      <w:r w:rsidR="000F390C" w:rsidRPr="00406414">
        <w:t xml:space="preserve"> AND ASSISTANCE ANIMALS</w:t>
      </w:r>
      <w:bookmarkEnd w:id="2776"/>
      <w:bookmarkEnd w:id="2777"/>
      <w:bookmarkEnd w:id="2778"/>
      <w:bookmarkEnd w:id="2779"/>
    </w:p>
    <w:p w14:paraId="2A3017C2" w14:textId="77777777" w:rsidR="00485FA3" w:rsidRPr="00A27522" w:rsidRDefault="00485FA3" w:rsidP="00485FA3">
      <w:pPr>
        <w:pStyle w:val="Heading2"/>
      </w:pPr>
      <w:bookmarkStart w:id="2780" w:name="_Toc173222750"/>
      <w:bookmarkStart w:id="2781" w:name="_Toc200375786"/>
      <w:bookmarkStart w:id="2782" w:name="_Toc200377016"/>
      <w:r w:rsidRPr="00A27522">
        <w:t>Introduction</w:t>
      </w:r>
      <w:bookmarkEnd w:id="2780"/>
      <w:bookmarkEnd w:id="2781"/>
      <w:bookmarkEnd w:id="2782"/>
    </w:p>
    <w:p w14:paraId="120C4047" w14:textId="77777777" w:rsidR="00847C04" w:rsidRPr="00F85B31" w:rsidRDefault="00847C04" w:rsidP="00847C04">
      <w:r w:rsidRPr="00F85B31">
        <w:t xml:space="preserve">This chapter contains </w:t>
      </w:r>
      <w:r>
        <w:t>HHA’</w:t>
      </w:r>
      <w:r w:rsidRPr="00F85B31">
        <w:t xml:space="preserve">s policies on the keeping of pets and any criteria or standards pertaining to the policies. The rules adopted are reasonably related to the legitimate interest of </w:t>
      </w:r>
      <w:r>
        <w:t>HHA</w:t>
      </w:r>
      <w:r w:rsidRPr="00F85B31">
        <w:t xml:space="preserve"> to provide a decent, safe and sanitary living environment for all residents, and to protect and preserve the physical condition of the property, as well as the financial interest of </w:t>
      </w:r>
      <w:r>
        <w:t>HHA</w:t>
      </w:r>
      <w:r w:rsidRPr="00F85B31">
        <w:t>.</w:t>
      </w:r>
    </w:p>
    <w:p w14:paraId="7B0A8C40" w14:textId="77777777" w:rsidR="00847C04" w:rsidRPr="00F85B31" w:rsidRDefault="00401EA2" w:rsidP="00847C04">
      <w:pPr>
        <w:pStyle w:val="Heading2"/>
      </w:pPr>
      <w:bookmarkStart w:id="2783" w:name="_Ref433800144"/>
      <w:bookmarkStart w:id="2784" w:name="_Ref433800149"/>
      <w:bookmarkStart w:id="2785" w:name="_Toc70048700"/>
      <w:bookmarkStart w:id="2786" w:name="_Toc106037952"/>
      <w:bookmarkStart w:id="2787" w:name="_Toc106201591"/>
      <w:bookmarkStart w:id="2788" w:name="_Toc106202110"/>
      <w:bookmarkStart w:id="2789" w:name="_Toc106202636"/>
      <w:bookmarkStart w:id="2790" w:name="_Toc113345092"/>
      <w:bookmarkStart w:id="2791" w:name="_Toc137460422"/>
      <w:bookmarkStart w:id="2792" w:name="_Toc137460667"/>
      <w:bookmarkStart w:id="2793" w:name="_Toc137460912"/>
      <w:bookmarkStart w:id="2794" w:name="_Toc137461836"/>
      <w:bookmarkStart w:id="2795" w:name="_Toc137471427"/>
      <w:bookmarkStart w:id="2796" w:name="_Toc137471936"/>
      <w:bookmarkStart w:id="2797" w:name="_Toc173222751"/>
      <w:bookmarkStart w:id="2798" w:name="_Toc200375787"/>
      <w:bookmarkStart w:id="2799" w:name="_Toc200377017"/>
      <w:r w:rsidRPr="00F85B31">
        <w:t>Assis</w:t>
      </w:r>
      <w:r>
        <w:t>tance</w:t>
      </w:r>
      <w:r w:rsidRPr="00F85B31">
        <w:t xml:space="preserve"> Animals</w:t>
      </w:r>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p>
    <w:p w14:paraId="5EB376BF" w14:textId="77777777" w:rsidR="00847C04" w:rsidRPr="002965D3" w:rsidRDefault="00847C04" w:rsidP="000F390C">
      <w:pPr>
        <w:autoSpaceDE w:val="0"/>
        <w:autoSpaceDN w:val="0"/>
        <w:adjustRightInd w:val="0"/>
        <w:rPr>
          <w:rFonts w:cs="Arial"/>
          <w:szCs w:val="20"/>
        </w:rPr>
      </w:pPr>
      <w:r w:rsidRPr="002965D3">
        <w:rPr>
          <w:rFonts w:cs="Arial"/>
          <w:szCs w:val="20"/>
        </w:rPr>
        <w:t xml:space="preserve">There are two types of assistance animals: </w:t>
      </w:r>
    </w:p>
    <w:p w14:paraId="25DF7533" w14:textId="77777777" w:rsidR="00847C04" w:rsidRPr="002965D3" w:rsidRDefault="00847C04" w:rsidP="007F177E">
      <w:pPr>
        <w:pStyle w:val="ListParagraph"/>
        <w:numPr>
          <w:ilvl w:val="0"/>
          <w:numId w:val="104"/>
        </w:numPr>
        <w:autoSpaceDE w:val="0"/>
        <w:autoSpaceDN w:val="0"/>
        <w:adjustRightInd w:val="0"/>
        <w:contextualSpacing w:val="0"/>
      </w:pPr>
      <w:r w:rsidRPr="002965D3">
        <w:rPr>
          <w:rFonts w:cs="Arial"/>
          <w:szCs w:val="20"/>
        </w:rPr>
        <w:t xml:space="preserve">Service animals, and </w:t>
      </w:r>
    </w:p>
    <w:p w14:paraId="089FEA04" w14:textId="77777777" w:rsidR="00847C04" w:rsidRPr="002965D3" w:rsidRDefault="00847C04" w:rsidP="007F177E">
      <w:pPr>
        <w:pStyle w:val="ListParagraph"/>
        <w:numPr>
          <w:ilvl w:val="0"/>
          <w:numId w:val="104"/>
        </w:numPr>
        <w:autoSpaceDE w:val="0"/>
        <w:autoSpaceDN w:val="0"/>
        <w:adjustRightInd w:val="0"/>
        <w:contextualSpacing w:val="0"/>
      </w:pPr>
      <w:r w:rsidRPr="002965D3">
        <w:rPr>
          <w:rFonts w:cs="Arial"/>
          <w:szCs w:val="20"/>
        </w:rPr>
        <w:t xml:space="preserve">Support animals. </w:t>
      </w:r>
    </w:p>
    <w:p w14:paraId="79E14FAD" w14:textId="77777777" w:rsidR="00847C04" w:rsidRPr="002965D3" w:rsidRDefault="00847C04" w:rsidP="000F390C">
      <w:pPr>
        <w:autoSpaceDE w:val="0"/>
        <w:autoSpaceDN w:val="0"/>
        <w:adjustRightInd w:val="0"/>
      </w:pPr>
      <w:r w:rsidRPr="002965D3">
        <w:t xml:space="preserve">For approved assistance animals, the </w:t>
      </w:r>
      <w:r w:rsidRPr="002965D3">
        <w:rPr>
          <w:b/>
          <w:bCs/>
          <w:color w:val="0070C0"/>
        </w:rPr>
        <w:fldChar w:fldCharType="begin"/>
      </w:r>
      <w:r w:rsidRPr="002965D3">
        <w:rPr>
          <w:b/>
          <w:bCs/>
          <w:color w:val="0070C0"/>
        </w:rPr>
        <w:instrText xml:space="preserve"> REF _Ref101957064 \h  \* MERGEFORMAT </w:instrText>
      </w:r>
      <w:r w:rsidRPr="002965D3">
        <w:rPr>
          <w:b/>
          <w:bCs/>
          <w:color w:val="0070C0"/>
        </w:rPr>
      </w:r>
      <w:r w:rsidRPr="002965D3">
        <w:rPr>
          <w:b/>
          <w:bCs/>
          <w:color w:val="0070C0"/>
        </w:rPr>
        <w:fldChar w:fldCharType="separate"/>
      </w:r>
      <w:r w:rsidRPr="007219AE">
        <w:rPr>
          <w:b/>
          <w:bCs/>
          <w:color w:val="0070C0"/>
        </w:rPr>
        <w:t>Pet Deposit</w:t>
      </w:r>
      <w:r w:rsidRPr="002965D3">
        <w:rPr>
          <w:b/>
          <w:bCs/>
          <w:color w:val="0070C0"/>
        </w:rPr>
        <w:fldChar w:fldCharType="end"/>
      </w:r>
      <w:r w:rsidR="000F390C">
        <w:t xml:space="preserve"> does </w:t>
      </w:r>
      <w:r w:rsidRPr="002965D3">
        <w:t>not apply.</w:t>
      </w:r>
    </w:p>
    <w:p w14:paraId="53BA90D7" w14:textId="77777777" w:rsidR="00847C04" w:rsidRPr="002965D3" w:rsidRDefault="00847C04" w:rsidP="000F390C">
      <w:pPr>
        <w:autoSpaceDE w:val="0"/>
        <w:autoSpaceDN w:val="0"/>
        <w:adjustRightInd w:val="0"/>
      </w:pPr>
      <w:r w:rsidRPr="002965D3">
        <w:t xml:space="preserve">A person with a disability is not automatically entitled to have an assistance animal. Reasonable accommodation requires that there is a relationship between the person’s disability and their need for the animal. </w:t>
      </w:r>
      <w:r>
        <w:t>HHA</w:t>
      </w:r>
      <w:r w:rsidRPr="002965D3">
        <w:t xml:space="preserve"> has the authority to regulate assistance animals under applicable federal, state, and local law. </w:t>
      </w:r>
      <w:r>
        <w:t>HHA</w:t>
      </w:r>
      <w:r w:rsidRPr="002965D3">
        <w:t xml:space="preserve"> may refuse to permit a person with a disability to use and live with an assistance animal if:</w:t>
      </w:r>
    </w:p>
    <w:p w14:paraId="37535EA6" w14:textId="77777777" w:rsidR="00847C04" w:rsidRDefault="00847C04" w:rsidP="007F177E">
      <w:pPr>
        <w:numPr>
          <w:ilvl w:val="0"/>
          <w:numId w:val="103"/>
        </w:numPr>
        <w:tabs>
          <w:tab w:val="clear" w:pos="360"/>
        </w:tabs>
        <w:autoSpaceDE w:val="0"/>
        <w:autoSpaceDN w:val="0"/>
        <w:adjustRightInd w:val="0"/>
        <w:ind w:left="720"/>
        <w:rPr>
          <w:rFonts w:ascii="Times New Roman" w:hAnsi="Times New Roman"/>
        </w:rPr>
      </w:pPr>
      <w:r w:rsidRPr="002965D3">
        <w:t>There is reliable objective evidence that the animal poses a direct threat to the health or safety of others that cannot be reduced or eliminated by a reasonable</w:t>
      </w:r>
      <w:r>
        <w:t xml:space="preserve"> accommodation; and/or</w:t>
      </w:r>
    </w:p>
    <w:p w14:paraId="1462D847" w14:textId="77777777" w:rsidR="00847C04" w:rsidRDefault="00847C04" w:rsidP="007F177E">
      <w:pPr>
        <w:numPr>
          <w:ilvl w:val="0"/>
          <w:numId w:val="103"/>
        </w:numPr>
        <w:tabs>
          <w:tab w:val="clear" w:pos="360"/>
        </w:tabs>
        <w:autoSpaceDE w:val="0"/>
        <w:autoSpaceDN w:val="0"/>
        <w:adjustRightInd w:val="0"/>
        <w:ind w:left="720"/>
      </w:pPr>
      <w:r>
        <w:t>There is reliable objective evidence that the animal would cause substantial physical damage to the property of others.</w:t>
      </w:r>
    </w:p>
    <w:p w14:paraId="2F0FEAB2" w14:textId="77777777" w:rsidR="00847C04" w:rsidRPr="00C148B2" w:rsidRDefault="00847C04" w:rsidP="00677451">
      <w:pPr>
        <w:pStyle w:val="Heading3"/>
      </w:pPr>
      <w:bookmarkStart w:id="2800" w:name="_Toc106037953"/>
      <w:bookmarkStart w:id="2801" w:name="_Toc106201592"/>
      <w:bookmarkStart w:id="2802" w:name="_Toc106202111"/>
      <w:bookmarkStart w:id="2803" w:name="_Toc106202637"/>
      <w:bookmarkStart w:id="2804" w:name="_Toc113345093"/>
      <w:bookmarkStart w:id="2805" w:name="_Toc137461837"/>
      <w:bookmarkStart w:id="2806" w:name="_Toc137471428"/>
      <w:bookmarkStart w:id="2807" w:name="_Toc137471937"/>
      <w:bookmarkStart w:id="2808" w:name="_Toc200375788"/>
      <w:r w:rsidRPr="00C148B2">
        <w:t>Service Animals</w:t>
      </w:r>
      <w:bookmarkEnd w:id="2800"/>
      <w:bookmarkEnd w:id="2801"/>
      <w:bookmarkEnd w:id="2802"/>
      <w:bookmarkEnd w:id="2803"/>
      <w:bookmarkEnd w:id="2804"/>
      <w:bookmarkEnd w:id="2805"/>
      <w:bookmarkEnd w:id="2806"/>
      <w:bookmarkEnd w:id="2807"/>
      <w:bookmarkEnd w:id="2808"/>
    </w:p>
    <w:p w14:paraId="10AB6C68" w14:textId="77777777" w:rsidR="00847C04" w:rsidRPr="002965D3" w:rsidRDefault="00847C04" w:rsidP="00847C04">
      <w:pPr>
        <w:autoSpaceDE w:val="0"/>
        <w:autoSpaceDN w:val="0"/>
        <w:adjustRightInd w:val="0"/>
        <w:rPr>
          <w:rFonts w:cs="Arial"/>
          <w:szCs w:val="20"/>
        </w:rPr>
      </w:pPr>
      <w:r w:rsidRPr="002965D3">
        <w:rPr>
          <w:rFonts w:cs="Arial"/>
          <w:szCs w:val="20"/>
        </w:rPr>
        <w:t xml:space="preserve">Under the ADA, a </w:t>
      </w:r>
      <w:r w:rsidRPr="002965D3">
        <w:rPr>
          <w:rFonts w:cs="Arial"/>
          <w:i/>
          <w:iCs/>
          <w:szCs w:val="20"/>
        </w:rPr>
        <w:t xml:space="preserve">service animal </w:t>
      </w:r>
      <w:r w:rsidRPr="002965D3">
        <w:rPr>
          <w:rFonts w:cs="Arial"/>
          <w:szCs w:val="20"/>
        </w:rPr>
        <w:t>means any dog that is individually trained to do work or perform tasks for the benefit of an individual with a disability, including a physical, sensory, psychiatric, intellectual, or other mental disability. Other species of animals, whether wild or domestic, trained or untrained, are not service animals for the purposes of this definition. The work or tasks performed by a service animal must be directly related to the individual’s disability.</w:t>
      </w:r>
    </w:p>
    <w:p w14:paraId="1B6A9F09" w14:textId="77777777" w:rsidR="00847C04" w:rsidRPr="002965D3" w:rsidRDefault="00847C04" w:rsidP="00847C04">
      <w:pPr>
        <w:autoSpaceDE w:val="0"/>
        <w:autoSpaceDN w:val="0"/>
        <w:adjustRightInd w:val="0"/>
        <w:rPr>
          <w:rFonts w:cs="Arial"/>
          <w:szCs w:val="20"/>
        </w:rPr>
      </w:pPr>
      <w:r w:rsidRPr="002965D3">
        <w:rPr>
          <w:rFonts w:cs="Arial"/>
          <w:szCs w:val="20"/>
        </w:rPr>
        <w:t>A service animal must be permitted in all areas of the facility where members of the public are allowed.</w:t>
      </w:r>
    </w:p>
    <w:p w14:paraId="6463DA29" w14:textId="77777777" w:rsidR="00847C04" w:rsidRPr="002965D3" w:rsidRDefault="00847C04" w:rsidP="00847C04">
      <w:pPr>
        <w:autoSpaceDE w:val="0"/>
        <w:autoSpaceDN w:val="0"/>
        <w:adjustRightInd w:val="0"/>
        <w:rPr>
          <w:rFonts w:cs="Arial"/>
          <w:szCs w:val="20"/>
        </w:rPr>
      </w:pPr>
      <w:bookmarkStart w:id="2809" w:name="_Hlk102734441"/>
      <w:r w:rsidRPr="002965D3">
        <w:rPr>
          <w:rFonts w:cs="Arial"/>
          <w:szCs w:val="20"/>
        </w:rPr>
        <w:t>For an animal to be excluded from the pet policy and be considered a service animal, it must be a trained dog, and there must be a person with disabilities in the household who requires the dog’s services.</w:t>
      </w:r>
    </w:p>
    <w:p w14:paraId="65B53215" w14:textId="77777777" w:rsidR="00847C04" w:rsidRPr="002965D3" w:rsidRDefault="00847C04" w:rsidP="00677451">
      <w:pPr>
        <w:pStyle w:val="Heading3"/>
      </w:pPr>
      <w:bookmarkStart w:id="2810" w:name="_Toc106037954"/>
      <w:bookmarkStart w:id="2811" w:name="_Toc106201593"/>
      <w:bookmarkStart w:id="2812" w:name="_Toc106202112"/>
      <w:bookmarkStart w:id="2813" w:name="_Toc106202638"/>
      <w:bookmarkStart w:id="2814" w:name="_Toc113345094"/>
      <w:bookmarkStart w:id="2815" w:name="_Toc137461838"/>
      <w:bookmarkStart w:id="2816" w:name="_Toc137471429"/>
      <w:bookmarkStart w:id="2817" w:name="_Toc137471938"/>
      <w:bookmarkStart w:id="2818" w:name="_Toc200375789"/>
      <w:bookmarkEnd w:id="2809"/>
      <w:r w:rsidRPr="002965D3">
        <w:t>Support Animals (Assistance Animals Other than Service Animals)</w:t>
      </w:r>
      <w:bookmarkEnd w:id="2810"/>
      <w:bookmarkEnd w:id="2811"/>
      <w:bookmarkEnd w:id="2812"/>
      <w:bookmarkEnd w:id="2813"/>
      <w:bookmarkEnd w:id="2814"/>
      <w:bookmarkEnd w:id="2815"/>
      <w:bookmarkEnd w:id="2816"/>
      <w:bookmarkEnd w:id="2817"/>
      <w:bookmarkEnd w:id="2818"/>
    </w:p>
    <w:p w14:paraId="734F2BA3" w14:textId="77777777" w:rsidR="00847C04" w:rsidRPr="002965D3" w:rsidRDefault="00847C04" w:rsidP="00847C04">
      <w:pPr>
        <w:autoSpaceDE w:val="0"/>
        <w:autoSpaceDN w:val="0"/>
        <w:adjustRightInd w:val="0"/>
        <w:rPr>
          <w:rFonts w:cs="Arial"/>
          <w:szCs w:val="20"/>
        </w:rPr>
      </w:pPr>
      <w:r w:rsidRPr="002965D3">
        <w:rPr>
          <w:rFonts w:cs="Arial"/>
          <w:szCs w:val="20"/>
        </w:rPr>
        <w:t xml:space="preserve">A </w:t>
      </w:r>
      <w:r w:rsidRPr="002965D3">
        <w:rPr>
          <w:rFonts w:cs="Arial"/>
          <w:i/>
          <w:iCs/>
          <w:szCs w:val="20"/>
        </w:rPr>
        <w:t>support animal</w:t>
      </w:r>
      <w:r w:rsidRPr="002965D3">
        <w:rPr>
          <w:rFonts w:cs="Arial"/>
          <w:szCs w:val="20"/>
        </w:rPr>
        <w:t xml:space="preserve"> is an animal that does work, performs tasks, provides assistance, and/or provides therapeutic emotional support for individuals with disabilities (i.e., </w:t>
      </w:r>
      <w:r w:rsidRPr="002965D3">
        <w:t xml:space="preserve">support animals). </w:t>
      </w:r>
      <w:r w:rsidRPr="002965D3">
        <w:rPr>
          <w:rFonts w:cs="Arial"/>
          <w:szCs w:val="20"/>
        </w:rPr>
        <w:t xml:space="preserve">For an animal to be excluded from the pet policy and be considered a support animal, there must be a person with disabilities in the household, there must be a disability-related need for the animal, and the family must request and </w:t>
      </w:r>
      <w:r>
        <w:rPr>
          <w:rFonts w:cs="Arial"/>
          <w:szCs w:val="20"/>
        </w:rPr>
        <w:t>HHA</w:t>
      </w:r>
      <w:r w:rsidRPr="002965D3">
        <w:rPr>
          <w:rFonts w:cs="Arial"/>
          <w:szCs w:val="20"/>
        </w:rPr>
        <w:t xml:space="preserve"> approve a reasonable accommodation in accordance with the criteria outlined in Notice FHEO 2020-01 and the policies contained in</w:t>
      </w:r>
      <w:r w:rsidR="008A1757">
        <w:rPr>
          <w:rFonts w:cs="Arial"/>
          <w:szCs w:val="20"/>
        </w:rPr>
        <w:t xml:space="preserve"> </w:t>
      </w:r>
      <w:r w:rsidR="008A1757" w:rsidRPr="008A1757">
        <w:rPr>
          <w:rFonts w:cs="Arial"/>
          <w:b/>
          <w:bCs/>
          <w:color w:val="0070C0"/>
          <w:szCs w:val="20"/>
        </w:rPr>
        <w:fldChar w:fldCharType="begin"/>
      </w:r>
      <w:r w:rsidR="008A1757" w:rsidRPr="008A1757">
        <w:rPr>
          <w:rFonts w:cs="Arial"/>
          <w:b/>
          <w:bCs/>
          <w:color w:val="0070C0"/>
          <w:szCs w:val="20"/>
        </w:rPr>
        <w:instrText xml:space="preserve"> REF _Ref144897645 \h </w:instrText>
      </w:r>
      <w:r w:rsidR="008A1757">
        <w:rPr>
          <w:rFonts w:cs="Arial"/>
          <w:b/>
          <w:bCs/>
          <w:color w:val="0070C0"/>
          <w:szCs w:val="20"/>
        </w:rPr>
        <w:instrText xml:space="preserve"> \* MERGEFORMAT </w:instrText>
      </w:r>
      <w:r w:rsidR="008A1757" w:rsidRPr="008A1757">
        <w:rPr>
          <w:rFonts w:cs="Arial"/>
          <w:b/>
          <w:bCs/>
          <w:color w:val="0070C0"/>
          <w:szCs w:val="20"/>
        </w:rPr>
      </w:r>
      <w:r w:rsidR="008A1757" w:rsidRPr="008A1757">
        <w:rPr>
          <w:rFonts w:cs="Arial"/>
          <w:b/>
          <w:bCs/>
          <w:color w:val="0070C0"/>
          <w:szCs w:val="20"/>
        </w:rPr>
        <w:fldChar w:fldCharType="separate"/>
      </w:r>
      <w:r w:rsidR="008A1757" w:rsidRPr="008A1757">
        <w:rPr>
          <w:b/>
          <w:bCs/>
          <w:color w:val="0070C0"/>
        </w:rPr>
        <w:t>APPENDIX A: REASONABLE ACCOMMODATION POLICY AND PROCEDURES</w:t>
      </w:r>
      <w:r w:rsidR="008A1757" w:rsidRPr="008A1757">
        <w:rPr>
          <w:rFonts w:cs="Arial"/>
          <w:b/>
          <w:bCs/>
          <w:color w:val="0070C0"/>
          <w:szCs w:val="20"/>
        </w:rPr>
        <w:fldChar w:fldCharType="end"/>
      </w:r>
      <w:r w:rsidRPr="002965D3">
        <w:rPr>
          <w:rFonts w:cs="Arial"/>
          <w:szCs w:val="20"/>
        </w:rPr>
        <w:t>.</w:t>
      </w:r>
    </w:p>
    <w:p w14:paraId="3F4A0E84" w14:textId="77777777" w:rsidR="00847C04" w:rsidRPr="002965D3" w:rsidRDefault="00847C04" w:rsidP="00677451">
      <w:pPr>
        <w:pStyle w:val="Heading3"/>
      </w:pPr>
      <w:bookmarkStart w:id="2819" w:name="_Toc70048701"/>
      <w:bookmarkStart w:id="2820" w:name="_Toc106037955"/>
      <w:bookmarkStart w:id="2821" w:name="_Toc106201594"/>
      <w:bookmarkStart w:id="2822" w:name="_Toc106202113"/>
      <w:bookmarkStart w:id="2823" w:name="_Toc106202639"/>
      <w:bookmarkStart w:id="2824" w:name="_Toc113345095"/>
      <w:bookmarkStart w:id="2825" w:name="_Toc137461839"/>
      <w:bookmarkStart w:id="2826" w:name="_Toc137471430"/>
      <w:bookmarkStart w:id="2827" w:name="_Toc137471939"/>
      <w:bookmarkStart w:id="2828" w:name="_Toc200375790"/>
      <w:r w:rsidRPr="002965D3">
        <w:t>Approval of Assistance Animals</w:t>
      </w:r>
      <w:bookmarkEnd w:id="2819"/>
      <w:bookmarkEnd w:id="2820"/>
      <w:bookmarkEnd w:id="2821"/>
      <w:bookmarkEnd w:id="2822"/>
      <w:bookmarkEnd w:id="2823"/>
      <w:bookmarkEnd w:id="2824"/>
      <w:bookmarkEnd w:id="2825"/>
      <w:bookmarkEnd w:id="2826"/>
      <w:bookmarkEnd w:id="2827"/>
      <w:bookmarkEnd w:id="2828"/>
    </w:p>
    <w:p w14:paraId="171BB300" w14:textId="77777777" w:rsidR="00847C04" w:rsidRPr="002965D3" w:rsidRDefault="00847C04" w:rsidP="00847C04">
      <w:r>
        <w:t>HHA</w:t>
      </w:r>
      <w:r w:rsidRPr="002965D3">
        <w:t xml:space="preserve"> tenants or potential tenants who need an assistance animal as a reasonable accommodation must request the accommodation in accordance with the reasonable accommodation policy in this ACOP. </w:t>
      </w:r>
    </w:p>
    <w:p w14:paraId="1CAEC0B3" w14:textId="77777777" w:rsidR="00847C04" w:rsidRPr="002965D3" w:rsidRDefault="00847C04" w:rsidP="00847C04">
      <w:bookmarkStart w:id="2829" w:name="_Hlk102734344"/>
      <w:r w:rsidRPr="002965D3">
        <w:t xml:space="preserve">There are no size or breed restrictions on assistance animals; however, the tenant is still required to follow all of the terms and conditions of the lease, including the ability to ensure the peaceful enjoyment of the development by others. </w:t>
      </w:r>
      <w:r>
        <w:t>HHA</w:t>
      </w:r>
      <w:r w:rsidRPr="002965D3">
        <w:t xml:space="preserve"> also reserves the right to deny requests for assistance animals based on state and local law.</w:t>
      </w:r>
    </w:p>
    <w:p w14:paraId="77234141" w14:textId="77777777" w:rsidR="00847C04" w:rsidRPr="002965D3" w:rsidRDefault="00847C04" w:rsidP="00677451">
      <w:pPr>
        <w:pStyle w:val="Heading3"/>
      </w:pPr>
      <w:bookmarkStart w:id="2830" w:name="_Toc70048702"/>
      <w:bookmarkStart w:id="2831" w:name="_Toc106037956"/>
      <w:bookmarkStart w:id="2832" w:name="_Toc106201595"/>
      <w:bookmarkStart w:id="2833" w:name="_Toc106202114"/>
      <w:bookmarkStart w:id="2834" w:name="_Toc106202640"/>
      <w:bookmarkStart w:id="2835" w:name="_Toc113345096"/>
      <w:bookmarkStart w:id="2836" w:name="_Toc137461840"/>
      <w:bookmarkStart w:id="2837" w:name="_Toc137471431"/>
      <w:bookmarkStart w:id="2838" w:name="_Toc137471940"/>
      <w:bookmarkStart w:id="2839" w:name="_Toc200375791"/>
      <w:bookmarkEnd w:id="2829"/>
      <w:r w:rsidRPr="002965D3">
        <w:t>Care and Handling of Assistance Animals</w:t>
      </w:r>
      <w:bookmarkEnd w:id="2830"/>
      <w:bookmarkEnd w:id="2831"/>
      <w:bookmarkEnd w:id="2832"/>
      <w:bookmarkEnd w:id="2833"/>
      <w:bookmarkEnd w:id="2834"/>
      <w:bookmarkEnd w:id="2835"/>
      <w:bookmarkEnd w:id="2836"/>
      <w:bookmarkEnd w:id="2837"/>
      <w:bookmarkEnd w:id="2838"/>
      <w:bookmarkEnd w:id="2839"/>
    </w:p>
    <w:p w14:paraId="1E8B5D97" w14:textId="77777777" w:rsidR="00847C04" w:rsidRPr="002965D3" w:rsidRDefault="00847C04" w:rsidP="00847C04">
      <w:pPr>
        <w:rPr>
          <w:rFonts w:ascii="Times New Roman" w:hAnsi="Times New Roman"/>
        </w:rPr>
      </w:pPr>
      <w:bookmarkStart w:id="2840" w:name="_Hlk36561731"/>
      <w:r w:rsidRPr="002965D3">
        <w:t>Residents are responsible for feeding, maintaining, providing veterinary care, and controlling their assistance animals. A resident may do this on their own or with the assistance of family, friends, volunteers, or service providers</w:t>
      </w:r>
      <w:bookmarkEnd w:id="2840"/>
      <w:r w:rsidRPr="002965D3">
        <w:t>.</w:t>
      </w:r>
    </w:p>
    <w:p w14:paraId="639230D0" w14:textId="77777777" w:rsidR="00847C04" w:rsidRPr="002965D3" w:rsidRDefault="00847C04" w:rsidP="00847C04">
      <w:pPr>
        <w:rPr>
          <w:rFonts w:ascii="Times New Roman" w:hAnsi="Times New Roman"/>
        </w:rPr>
      </w:pPr>
      <w:r w:rsidRPr="002965D3">
        <w:t>Residents must care for assistance animals in a manner that complies with state and local laws, including anti-cruelty laws.</w:t>
      </w:r>
    </w:p>
    <w:p w14:paraId="7A6775EC" w14:textId="77777777" w:rsidR="00847C04" w:rsidRPr="002965D3" w:rsidRDefault="00847C04" w:rsidP="00847C04">
      <w:bookmarkStart w:id="2841" w:name="_Hlk102735085"/>
      <w:r w:rsidRPr="002965D3">
        <w:t>Residents must ensure that assistance animals do not pose a direct threat to the health or safety of others, or cause substantial physical damage to the development, dwelling unit, or property of other residents.</w:t>
      </w:r>
    </w:p>
    <w:bookmarkEnd w:id="2841"/>
    <w:p w14:paraId="6E23E12F" w14:textId="77777777" w:rsidR="00847C04" w:rsidRPr="002965D3" w:rsidRDefault="00847C04" w:rsidP="00847C04">
      <w:r w:rsidRPr="002965D3">
        <w:t xml:space="preserve">When a resident’s care or handling of an assistance animal violates these policies, </w:t>
      </w:r>
      <w:r>
        <w:t>HHA</w:t>
      </w:r>
      <w:r w:rsidRPr="002965D3">
        <w:t xml:space="preserve"> will consider whether the violation could be reduced or eliminated by a reasonable accommodation. If </w:t>
      </w:r>
      <w:r>
        <w:t>HHA</w:t>
      </w:r>
      <w:r w:rsidRPr="002965D3">
        <w:t xml:space="preserve"> determines that no such accommodation can be made, </w:t>
      </w:r>
      <w:r>
        <w:t>HHA</w:t>
      </w:r>
      <w:r w:rsidRPr="002965D3">
        <w:t xml:space="preserve"> may withdraw the approval of a particular assistance animal.</w:t>
      </w:r>
    </w:p>
    <w:p w14:paraId="7182AB0D" w14:textId="77777777" w:rsidR="00847C04" w:rsidRPr="002965D3" w:rsidRDefault="00401EA2" w:rsidP="00847C04">
      <w:pPr>
        <w:pStyle w:val="Heading2"/>
      </w:pPr>
      <w:bookmarkStart w:id="2842" w:name="_Toc70048703"/>
      <w:bookmarkStart w:id="2843" w:name="_Toc106037957"/>
      <w:bookmarkStart w:id="2844" w:name="_Toc106201596"/>
      <w:bookmarkStart w:id="2845" w:name="_Toc106202115"/>
      <w:bookmarkStart w:id="2846" w:name="_Toc106202641"/>
      <w:bookmarkStart w:id="2847" w:name="_Toc113345097"/>
      <w:bookmarkStart w:id="2848" w:name="_Toc137460423"/>
      <w:bookmarkStart w:id="2849" w:name="_Toc137460668"/>
      <w:bookmarkStart w:id="2850" w:name="_Toc137460913"/>
      <w:bookmarkStart w:id="2851" w:name="_Toc137461841"/>
      <w:bookmarkStart w:id="2852" w:name="_Toc137471432"/>
      <w:bookmarkStart w:id="2853" w:name="_Toc137471941"/>
      <w:bookmarkStart w:id="2854" w:name="_Ref155697564"/>
      <w:bookmarkStart w:id="2855" w:name="_Toc173222752"/>
      <w:bookmarkStart w:id="2856" w:name="_Toc200375792"/>
      <w:bookmarkStart w:id="2857" w:name="_Toc200377018"/>
      <w:r w:rsidRPr="002965D3">
        <w:t>Pets</w:t>
      </w:r>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p>
    <w:p w14:paraId="3CE90FFA" w14:textId="77777777" w:rsidR="00847C04" w:rsidRPr="003C332C" w:rsidRDefault="00847C04" w:rsidP="003C332C">
      <w:pPr>
        <w:pStyle w:val="00Normal"/>
        <w:spacing w:after="160" w:line="259" w:lineRule="auto"/>
        <w:jc w:val="both"/>
        <w:rPr>
          <w:sz w:val="22"/>
          <w:szCs w:val="22"/>
        </w:rPr>
      </w:pPr>
      <w:bookmarkStart w:id="2858" w:name="_Hlk102735132"/>
      <w:r w:rsidRPr="003C332C">
        <w:rPr>
          <w:i/>
          <w:sz w:val="22"/>
          <w:szCs w:val="22"/>
        </w:rPr>
        <w:t xml:space="preserve">Pet </w:t>
      </w:r>
      <w:r w:rsidRPr="003C332C">
        <w:rPr>
          <w:sz w:val="22"/>
          <w:szCs w:val="22"/>
        </w:rPr>
        <w:t>means a domesticated animal that is commonly kept as a household pet in a community, such as a dog, cat, bird, or fish. A pet is a companion animal that is kept in the home for pleasure rather than commercial or breeding purposes.</w:t>
      </w:r>
    </w:p>
    <w:p w14:paraId="5416C635" w14:textId="77777777" w:rsidR="00847C04" w:rsidRPr="002965D3" w:rsidRDefault="00847C04" w:rsidP="00677451">
      <w:pPr>
        <w:pStyle w:val="Heading3"/>
      </w:pPr>
      <w:bookmarkStart w:id="2859" w:name="_Toc106037958"/>
      <w:bookmarkStart w:id="2860" w:name="_Toc106201597"/>
      <w:bookmarkStart w:id="2861" w:name="_Toc106202116"/>
      <w:bookmarkStart w:id="2862" w:name="_Toc106202642"/>
      <w:bookmarkStart w:id="2863" w:name="_Toc113345098"/>
      <w:bookmarkStart w:id="2864" w:name="_Toc137461842"/>
      <w:bookmarkStart w:id="2865" w:name="_Toc137471433"/>
      <w:bookmarkStart w:id="2866" w:name="_Toc137471942"/>
      <w:bookmarkStart w:id="2867" w:name="_Toc200375793"/>
      <w:bookmarkEnd w:id="2858"/>
      <w:r w:rsidRPr="002965D3">
        <w:t>Registration of Pets</w:t>
      </w:r>
      <w:bookmarkEnd w:id="2859"/>
      <w:bookmarkEnd w:id="2860"/>
      <w:bookmarkEnd w:id="2861"/>
      <w:bookmarkEnd w:id="2862"/>
      <w:bookmarkEnd w:id="2863"/>
      <w:bookmarkEnd w:id="2864"/>
      <w:bookmarkEnd w:id="2865"/>
      <w:bookmarkEnd w:id="2866"/>
      <w:bookmarkEnd w:id="2867"/>
    </w:p>
    <w:p w14:paraId="08BEB7AC" w14:textId="77777777" w:rsidR="00847C04" w:rsidRPr="004E033A" w:rsidRDefault="00847C04" w:rsidP="004E033A">
      <w:pPr>
        <w:pStyle w:val="BodyText"/>
        <w:spacing w:after="160" w:line="259" w:lineRule="auto"/>
        <w:jc w:val="both"/>
        <w:rPr>
          <w:sz w:val="22"/>
          <w:szCs w:val="22"/>
        </w:rPr>
      </w:pPr>
      <w:r w:rsidRPr="004E033A">
        <w:rPr>
          <w:sz w:val="22"/>
          <w:szCs w:val="22"/>
        </w:rPr>
        <w:t>Pets</w:t>
      </w:r>
      <w:r w:rsidRPr="004E033A">
        <w:rPr>
          <w:spacing w:val="-2"/>
          <w:sz w:val="22"/>
          <w:szCs w:val="22"/>
        </w:rPr>
        <w:t xml:space="preserve"> </w:t>
      </w:r>
      <w:r w:rsidRPr="004E033A">
        <w:rPr>
          <w:sz w:val="22"/>
          <w:szCs w:val="22"/>
        </w:rPr>
        <w:t>must</w:t>
      </w:r>
      <w:r w:rsidRPr="004E033A">
        <w:rPr>
          <w:spacing w:val="-2"/>
          <w:sz w:val="22"/>
          <w:szCs w:val="22"/>
        </w:rPr>
        <w:t xml:space="preserve"> </w:t>
      </w:r>
      <w:r w:rsidRPr="004E033A">
        <w:rPr>
          <w:sz w:val="22"/>
          <w:szCs w:val="22"/>
        </w:rPr>
        <w:t>be</w:t>
      </w:r>
      <w:r w:rsidRPr="004E033A">
        <w:rPr>
          <w:spacing w:val="-2"/>
          <w:sz w:val="22"/>
          <w:szCs w:val="22"/>
        </w:rPr>
        <w:t xml:space="preserve"> </w:t>
      </w:r>
      <w:r w:rsidRPr="004E033A">
        <w:rPr>
          <w:sz w:val="22"/>
          <w:szCs w:val="22"/>
        </w:rPr>
        <w:t>registered</w:t>
      </w:r>
      <w:r w:rsidRPr="004E033A">
        <w:rPr>
          <w:spacing w:val="-2"/>
          <w:sz w:val="22"/>
          <w:szCs w:val="22"/>
        </w:rPr>
        <w:t xml:space="preserve"> </w:t>
      </w:r>
      <w:r w:rsidRPr="004E033A">
        <w:rPr>
          <w:sz w:val="22"/>
          <w:szCs w:val="22"/>
        </w:rPr>
        <w:t>with</w:t>
      </w:r>
      <w:r w:rsidRPr="004E033A">
        <w:rPr>
          <w:spacing w:val="-2"/>
          <w:sz w:val="22"/>
          <w:szCs w:val="22"/>
        </w:rPr>
        <w:t xml:space="preserve"> </w:t>
      </w:r>
      <w:r w:rsidRPr="004E033A">
        <w:rPr>
          <w:sz w:val="22"/>
          <w:szCs w:val="22"/>
        </w:rPr>
        <w:t>HHA</w:t>
      </w:r>
      <w:r w:rsidRPr="004E033A">
        <w:rPr>
          <w:spacing w:val="-3"/>
          <w:sz w:val="22"/>
          <w:szCs w:val="22"/>
        </w:rPr>
        <w:t xml:space="preserve"> </w:t>
      </w:r>
      <w:r w:rsidRPr="005C5B6E">
        <w:rPr>
          <w:b/>
          <w:bCs/>
          <w:sz w:val="22"/>
          <w:szCs w:val="22"/>
        </w:rPr>
        <w:t>before</w:t>
      </w:r>
      <w:r w:rsidRPr="004E033A">
        <w:rPr>
          <w:spacing w:val="-3"/>
          <w:sz w:val="22"/>
          <w:szCs w:val="22"/>
        </w:rPr>
        <w:t xml:space="preserve"> </w:t>
      </w:r>
      <w:r w:rsidRPr="004E033A">
        <w:rPr>
          <w:sz w:val="22"/>
          <w:szCs w:val="22"/>
        </w:rPr>
        <w:t>they</w:t>
      </w:r>
      <w:r w:rsidRPr="004E033A">
        <w:rPr>
          <w:spacing w:val="-5"/>
          <w:sz w:val="22"/>
          <w:szCs w:val="22"/>
        </w:rPr>
        <w:t xml:space="preserve"> </w:t>
      </w:r>
      <w:r w:rsidRPr="004E033A">
        <w:rPr>
          <w:sz w:val="22"/>
          <w:szCs w:val="22"/>
        </w:rPr>
        <w:t>are</w:t>
      </w:r>
      <w:r w:rsidRPr="004E033A">
        <w:rPr>
          <w:spacing w:val="-3"/>
          <w:sz w:val="22"/>
          <w:szCs w:val="22"/>
        </w:rPr>
        <w:t xml:space="preserve"> </w:t>
      </w:r>
      <w:r w:rsidRPr="004E033A">
        <w:rPr>
          <w:sz w:val="22"/>
          <w:szCs w:val="22"/>
        </w:rPr>
        <w:t>brought</w:t>
      </w:r>
      <w:r w:rsidRPr="004E033A">
        <w:rPr>
          <w:spacing w:val="-2"/>
          <w:sz w:val="22"/>
          <w:szCs w:val="22"/>
        </w:rPr>
        <w:t xml:space="preserve"> </w:t>
      </w:r>
      <w:r w:rsidRPr="004E033A">
        <w:rPr>
          <w:sz w:val="22"/>
          <w:szCs w:val="22"/>
        </w:rPr>
        <w:t>onto</w:t>
      </w:r>
      <w:r w:rsidRPr="004E033A">
        <w:rPr>
          <w:spacing w:val="-2"/>
          <w:sz w:val="22"/>
          <w:szCs w:val="22"/>
        </w:rPr>
        <w:t xml:space="preserve"> </w:t>
      </w:r>
      <w:r w:rsidRPr="004E033A">
        <w:rPr>
          <w:sz w:val="22"/>
          <w:szCs w:val="22"/>
        </w:rPr>
        <w:t>the</w:t>
      </w:r>
      <w:r w:rsidRPr="004E033A">
        <w:rPr>
          <w:spacing w:val="-2"/>
          <w:sz w:val="22"/>
          <w:szCs w:val="22"/>
        </w:rPr>
        <w:t xml:space="preserve"> premises.</w:t>
      </w:r>
    </w:p>
    <w:p w14:paraId="179901DA" w14:textId="77777777" w:rsidR="00847C04" w:rsidRPr="004E033A" w:rsidRDefault="00847C04" w:rsidP="004E033A">
      <w:pPr>
        <w:pStyle w:val="BodyText"/>
        <w:spacing w:after="160" w:line="259" w:lineRule="auto"/>
        <w:jc w:val="both"/>
        <w:rPr>
          <w:sz w:val="22"/>
          <w:szCs w:val="22"/>
        </w:rPr>
      </w:pPr>
      <w:r w:rsidRPr="004E033A">
        <w:rPr>
          <w:sz w:val="22"/>
          <w:szCs w:val="22"/>
        </w:rPr>
        <w:t>Registration includes documentation signed by a licensed veterinarian or state/local authority</w:t>
      </w:r>
      <w:r w:rsidRPr="004E033A">
        <w:rPr>
          <w:spacing w:val="-8"/>
          <w:sz w:val="22"/>
          <w:szCs w:val="22"/>
        </w:rPr>
        <w:t xml:space="preserve"> </w:t>
      </w:r>
      <w:r w:rsidRPr="004E033A">
        <w:rPr>
          <w:sz w:val="22"/>
          <w:szCs w:val="22"/>
        </w:rPr>
        <w:t>that</w:t>
      </w:r>
      <w:r w:rsidRPr="004E033A">
        <w:rPr>
          <w:spacing w:val="-3"/>
          <w:sz w:val="22"/>
          <w:szCs w:val="22"/>
        </w:rPr>
        <w:t xml:space="preserve"> </w:t>
      </w:r>
      <w:r w:rsidRPr="004E033A">
        <w:rPr>
          <w:sz w:val="22"/>
          <w:szCs w:val="22"/>
        </w:rPr>
        <w:t>the</w:t>
      </w:r>
      <w:r w:rsidRPr="004E033A">
        <w:rPr>
          <w:spacing w:val="-3"/>
          <w:sz w:val="22"/>
          <w:szCs w:val="22"/>
        </w:rPr>
        <w:t xml:space="preserve"> </w:t>
      </w:r>
      <w:r w:rsidRPr="004E033A">
        <w:rPr>
          <w:sz w:val="22"/>
          <w:szCs w:val="22"/>
        </w:rPr>
        <w:t>pet</w:t>
      </w:r>
      <w:r w:rsidRPr="004E033A">
        <w:rPr>
          <w:spacing w:val="-3"/>
          <w:sz w:val="22"/>
          <w:szCs w:val="22"/>
        </w:rPr>
        <w:t xml:space="preserve"> </w:t>
      </w:r>
      <w:r w:rsidRPr="004E033A">
        <w:rPr>
          <w:sz w:val="22"/>
          <w:szCs w:val="22"/>
        </w:rPr>
        <w:t>has</w:t>
      </w:r>
      <w:r w:rsidRPr="004E033A">
        <w:rPr>
          <w:spacing w:val="-2"/>
          <w:sz w:val="22"/>
          <w:szCs w:val="22"/>
        </w:rPr>
        <w:t xml:space="preserve"> </w:t>
      </w:r>
      <w:r w:rsidRPr="004E033A">
        <w:rPr>
          <w:sz w:val="22"/>
          <w:szCs w:val="22"/>
        </w:rPr>
        <w:t>received</w:t>
      </w:r>
      <w:r w:rsidRPr="004E033A">
        <w:rPr>
          <w:spacing w:val="-3"/>
          <w:sz w:val="22"/>
          <w:szCs w:val="22"/>
        </w:rPr>
        <w:t xml:space="preserve"> </w:t>
      </w:r>
      <w:r w:rsidRPr="004E033A">
        <w:rPr>
          <w:sz w:val="22"/>
          <w:szCs w:val="22"/>
        </w:rPr>
        <w:t>all</w:t>
      </w:r>
      <w:r w:rsidRPr="004E033A">
        <w:rPr>
          <w:spacing w:val="-3"/>
          <w:sz w:val="22"/>
          <w:szCs w:val="22"/>
        </w:rPr>
        <w:t xml:space="preserve"> </w:t>
      </w:r>
      <w:r w:rsidRPr="004E033A">
        <w:rPr>
          <w:sz w:val="22"/>
          <w:szCs w:val="22"/>
        </w:rPr>
        <w:t>inoculations</w:t>
      </w:r>
      <w:r w:rsidRPr="004E033A">
        <w:rPr>
          <w:spacing w:val="-3"/>
          <w:sz w:val="22"/>
          <w:szCs w:val="22"/>
        </w:rPr>
        <w:t xml:space="preserve"> </w:t>
      </w:r>
      <w:r w:rsidRPr="004E033A">
        <w:rPr>
          <w:sz w:val="22"/>
          <w:szCs w:val="22"/>
        </w:rPr>
        <w:t>required</w:t>
      </w:r>
      <w:r w:rsidRPr="004E033A">
        <w:rPr>
          <w:spacing w:val="-3"/>
          <w:sz w:val="22"/>
          <w:szCs w:val="22"/>
        </w:rPr>
        <w:t xml:space="preserve"> </w:t>
      </w:r>
      <w:r w:rsidRPr="004E033A">
        <w:rPr>
          <w:sz w:val="22"/>
          <w:szCs w:val="22"/>
        </w:rPr>
        <w:t>by</w:t>
      </w:r>
      <w:r w:rsidRPr="004E033A">
        <w:rPr>
          <w:spacing w:val="-8"/>
          <w:sz w:val="22"/>
          <w:szCs w:val="22"/>
        </w:rPr>
        <w:t xml:space="preserve"> </w:t>
      </w:r>
      <w:r w:rsidRPr="004E033A">
        <w:rPr>
          <w:sz w:val="22"/>
          <w:szCs w:val="22"/>
        </w:rPr>
        <w:t>state</w:t>
      </w:r>
      <w:r w:rsidRPr="004E033A">
        <w:rPr>
          <w:spacing w:val="-4"/>
          <w:sz w:val="22"/>
          <w:szCs w:val="22"/>
        </w:rPr>
        <w:t xml:space="preserve"> </w:t>
      </w:r>
      <w:r w:rsidRPr="004E033A">
        <w:rPr>
          <w:sz w:val="22"/>
          <w:szCs w:val="22"/>
        </w:rPr>
        <w:t>or</w:t>
      </w:r>
      <w:r w:rsidRPr="004E033A">
        <w:rPr>
          <w:spacing w:val="-3"/>
          <w:sz w:val="22"/>
          <w:szCs w:val="22"/>
        </w:rPr>
        <w:t xml:space="preserve"> </w:t>
      </w:r>
      <w:r w:rsidRPr="004E033A">
        <w:rPr>
          <w:sz w:val="22"/>
          <w:szCs w:val="22"/>
        </w:rPr>
        <w:t>local</w:t>
      </w:r>
      <w:r w:rsidRPr="004E033A">
        <w:rPr>
          <w:spacing w:val="-1"/>
          <w:sz w:val="22"/>
          <w:szCs w:val="22"/>
        </w:rPr>
        <w:t xml:space="preserve"> </w:t>
      </w:r>
      <w:r w:rsidRPr="004E033A">
        <w:rPr>
          <w:sz w:val="22"/>
          <w:szCs w:val="22"/>
        </w:rPr>
        <w:t>law,</w:t>
      </w:r>
      <w:r w:rsidRPr="004E033A">
        <w:rPr>
          <w:spacing w:val="-3"/>
          <w:sz w:val="22"/>
          <w:szCs w:val="22"/>
        </w:rPr>
        <w:t xml:space="preserve"> </w:t>
      </w:r>
      <w:r w:rsidRPr="004E033A">
        <w:rPr>
          <w:sz w:val="22"/>
          <w:szCs w:val="22"/>
        </w:rPr>
        <w:t>and</w:t>
      </w:r>
      <w:r w:rsidRPr="004E033A">
        <w:rPr>
          <w:spacing w:val="-3"/>
          <w:sz w:val="22"/>
          <w:szCs w:val="22"/>
        </w:rPr>
        <w:t xml:space="preserve"> </w:t>
      </w:r>
      <w:r w:rsidRPr="004E033A">
        <w:rPr>
          <w:sz w:val="22"/>
          <w:szCs w:val="22"/>
        </w:rPr>
        <w:t>that the pet has no communicable disease(s) and is pest-free. This registration must be renewed annually and will be coordinated with the annual reexamination date.</w:t>
      </w:r>
    </w:p>
    <w:p w14:paraId="63E8BCCB" w14:textId="77777777" w:rsidR="00847C04" w:rsidRPr="004E033A" w:rsidRDefault="00847C04" w:rsidP="004E033A">
      <w:pPr>
        <w:pStyle w:val="BodyText"/>
        <w:spacing w:after="160" w:line="259" w:lineRule="auto"/>
        <w:jc w:val="both"/>
        <w:rPr>
          <w:sz w:val="22"/>
          <w:szCs w:val="22"/>
        </w:rPr>
      </w:pPr>
      <w:r w:rsidRPr="004E033A">
        <w:rPr>
          <w:sz w:val="22"/>
          <w:szCs w:val="22"/>
        </w:rPr>
        <w:t>Pets</w:t>
      </w:r>
      <w:r w:rsidRPr="004E033A">
        <w:rPr>
          <w:spacing w:val="-3"/>
          <w:sz w:val="22"/>
          <w:szCs w:val="22"/>
        </w:rPr>
        <w:t xml:space="preserve"> </w:t>
      </w:r>
      <w:r w:rsidRPr="004E033A">
        <w:rPr>
          <w:sz w:val="22"/>
          <w:szCs w:val="22"/>
        </w:rPr>
        <w:t>will</w:t>
      </w:r>
      <w:r w:rsidRPr="004E033A">
        <w:rPr>
          <w:spacing w:val="-3"/>
          <w:sz w:val="22"/>
          <w:szCs w:val="22"/>
        </w:rPr>
        <w:t xml:space="preserve"> </w:t>
      </w:r>
      <w:r w:rsidRPr="004E033A">
        <w:rPr>
          <w:sz w:val="22"/>
          <w:szCs w:val="22"/>
        </w:rPr>
        <w:t>not</w:t>
      </w:r>
      <w:r w:rsidRPr="004E033A">
        <w:rPr>
          <w:spacing w:val="-3"/>
          <w:sz w:val="22"/>
          <w:szCs w:val="22"/>
        </w:rPr>
        <w:t xml:space="preserve"> </w:t>
      </w:r>
      <w:r w:rsidRPr="004E033A">
        <w:rPr>
          <w:sz w:val="22"/>
          <w:szCs w:val="22"/>
        </w:rPr>
        <w:t>be</w:t>
      </w:r>
      <w:r w:rsidRPr="004E033A">
        <w:rPr>
          <w:spacing w:val="-3"/>
          <w:sz w:val="22"/>
          <w:szCs w:val="22"/>
        </w:rPr>
        <w:t xml:space="preserve"> </w:t>
      </w:r>
      <w:r w:rsidRPr="004E033A">
        <w:rPr>
          <w:sz w:val="22"/>
          <w:szCs w:val="22"/>
        </w:rPr>
        <w:t>approved</w:t>
      </w:r>
      <w:r w:rsidRPr="004E033A">
        <w:rPr>
          <w:spacing w:val="-1"/>
          <w:sz w:val="22"/>
          <w:szCs w:val="22"/>
        </w:rPr>
        <w:t xml:space="preserve"> </w:t>
      </w:r>
      <w:r w:rsidRPr="004E033A">
        <w:rPr>
          <w:sz w:val="22"/>
          <w:szCs w:val="22"/>
        </w:rPr>
        <w:t>to</w:t>
      </w:r>
      <w:r w:rsidRPr="004E033A">
        <w:rPr>
          <w:spacing w:val="-3"/>
          <w:sz w:val="22"/>
          <w:szCs w:val="22"/>
        </w:rPr>
        <w:t xml:space="preserve"> </w:t>
      </w:r>
      <w:r w:rsidRPr="004E033A">
        <w:rPr>
          <w:sz w:val="22"/>
          <w:szCs w:val="22"/>
        </w:rPr>
        <w:t>reside</w:t>
      </w:r>
      <w:r w:rsidRPr="004E033A">
        <w:rPr>
          <w:spacing w:val="-3"/>
          <w:sz w:val="22"/>
          <w:szCs w:val="22"/>
        </w:rPr>
        <w:t xml:space="preserve"> </w:t>
      </w:r>
      <w:r w:rsidRPr="004E033A">
        <w:rPr>
          <w:sz w:val="22"/>
          <w:szCs w:val="22"/>
        </w:rPr>
        <w:t>in</w:t>
      </w:r>
      <w:r w:rsidRPr="004E033A">
        <w:rPr>
          <w:spacing w:val="-3"/>
          <w:sz w:val="22"/>
          <w:szCs w:val="22"/>
        </w:rPr>
        <w:t xml:space="preserve"> </w:t>
      </w:r>
      <w:r w:rsidRPr="004E033A">
        <w:rPr>
          <w:sz w:val="22"/>
          <w:szCs w:val="22"/>
        </w:rPr>
        <w:t>a</w:t>
      </w:r>
      <w:r w:rsidRPr="004E033A">
        <w:rPr>
          <w:spacing w:val="-3"/>
          <w:sz w:val="22"/>
          <w:szCs w:val="22"/>
        </w:rPr>
        <w:t xml:space="preserve"> </w:t>
      </w:r>
      <w:r w:rsidRPr="004E033A">
        <w:rPr>
          <w:sz w:val="22"/>
          <w:szCs w:val="22"/>
        </w:rPr>
        <w:t>unit</w:t>
      </w:r>
      <w:r w:rsidRPr="004E033A">
        <w:rPr>
          <w:spacing w:val="-3"/>
          <w:sz w:val="22"/>
          <w:szCs w:val="22"/>
        </w:rPr>
        <w:t xml:space="preserve"> </w:t>
      </w:r>
      <w:r w:rsidRPr="004E033A">
        <w:rPr>
          <w:sz w:val="22"/>
          <w:szCs w:val="22"/>
        </w:rPr>
        <w:t>until</w:t>
      </w:r>
      <w:r w:rsidRPr="004E033A">
        <w:rPr>
          <w:spacing w:val="-3"/>
          <w:sz w:val="22"/>
          <w:szCs w:val="22"/>
        </w:rPr>
        <w:t xml:space="preserve"> </w:t>
      </w:r>
      <w:r w:rsidRPr="004E033A">
        <w:rPr>
          <w:sz w:val="22"/>
          <w:szCs w:val="22"/>
        </w:rPr>
        <w:t>completion</w:t>
      </w:r>
      <w:r w:rsidRPr="004E033A">
        <w:rPr>
          <w:spacing w:val="-3"/>
          <w:sz w:val="22"/>
          <w:szCs w:val="22"/>
        </w:rPr>
        <w:t xml:space="preserve"> </w:t>
      </w:r>
      <w:r w:rsidRPr="004E033A">
        <w:rPr>
          <w:sz w:val="22"/>
          <w:szCs w:val="22"/>
        </w:rPr>
        <w:t>of</w:t>
      </w:r>
      <w:r w:rsidRPr="004E033A">
        <w:rPr>
          <w:spacing w:val="-3"/>
          <w:sz w:val="22"/>
          <w:szCs w:val="22"/>
        </w:rPr>
        <w:t xml:space="preserve"> </w:t>
      </w:r>
      <w:r w:rsidRPr="004E033A">
        <w:rPr>
          <w:sz w:val="22"/>
          <w:szCs w:val="22"/>
        </w:rPr>
        <w:t>the</w:t>
      </w:r>
      <w:r w:rsidRPr="004E033A">
        <w:rPr>
          <w:spacing w:val="-3"/>
          <w:sz w:val="22"/>
          <w:szCs w:val="22"/>
        </w:rPr>
        <w:t xml:space="preserve"> </w:t>
      </w:r>
      <w:r w:rsidRPr="004E033A">
        <w:rPr>
          <w:sz w:val="22"/>
          <w:szCs w:val="22"/>
        </w:rPr>
        <w:t xml:space="preserve">registration </w:t>
      </w:r>
      <w:r w:rsidRPr="004E033A">
        <w:rPr>
          <w:spacing w:val="-2"/>
          <w:sz w:val="22"/>
          <w:szCs w:val="22"/>
        </w:rPr>
        <w:t>requirements.</w:t>
      </w:r>
    </w:p>
    <w:p w14:paraId="729FA537" w14:textId="77777777" w:rsidR="00847C04" w:rsidRPr="009275FC" w:rsidRDefault="00847C04" w:rsidP="00677451">
      <w:pPr>
        <w:pStyle w:val="Heading3"/>
      </w:pPr>
      <w:bookmarkStart w:id="2868" w:name="_Toc70048707"/>
      <w:bookmarkStart w:id="2869" w:name="_Toc106037959"/>
      <w:bookmarkStart w:id="2870" w:name="_Toc106201598"/>
      <w:bookmarkStart w:id="2871" w:name="_Toc106202117"/>
      <w:bookmarkStart w:id="2872" w:name="_Toc106202643"/>
      <w:bookmarkStart w:id="2873" w:name="_Toc113345099"/>
      <w:bookmarkStart w:id="2874" w:name="_Toc137461843"/>
      <w:bookmarkStart w:id="2875" w:name="_Toc137471434"/>
      <w:bookmarkStart w:id="2876" w:name="_Toc137471943"/>
      <w:bookmarkStart w:id="2877" w:name="_Toc200375794"/>
      <w:r>
        <w:t>HHA</w:t>
      </w:r>
      <w:r w:rsidRPr="009275FC">
        <w:t xml:space="preserve"> Refusal to Register Pets</w:t>
      </w:r>
      <w:bookmarkEnd w:id="2868"/>
      <w:bookmarkEnd w:id="2869"/>
      <w:bookmarkEnd w:id="2870"/>
      <w:bookmarkEnd w:id="2871"/>
      <w:bookmarkEnd w:id="2872"/>
      <w:bookmarkEnd w:id="2873"/>
      <w:bookmarkEnd w:id="2874"/>
      <w:bookmarkEnd w:id="2875"/>
      <w:bookmarkEnd w:id="2876"/>
      <w:bookmarkEnd w:id="2877"/>
    </w:p>
    <w:p w14:paraId="71921747" w14:textId="77777777" w:rsidR="00847C04" w:rsidRPr="006E02D2" w:rsidRDefault="00847C04" w:rsidP="00E4041C">
      <w:pPr>
        <w:rPr>
          <w:rFonts w:cs="Arial"/>
        </w:rPr>
      </w:pPr>
      <w:r w:rsidRPr="006E02D2">
        <w:rPr>
          <w:rFonts w:cs="Arial"/>
        </w:rPr>
        <w:t>HHA will refuse to register a pet, or continue an existing pet registration, if:</w:t>
      </w:r>
    </w:p>
    <w:p w14:paraId="0C93F901" w14:textId="77777777" w:rsidR="00847C04" w:rsidRPr="006E02D2" w:rsidRDefault="00847C04" w:rsidP="007F177E">
      <w:pPr>
        <w:numPr>
          <w:ilvl w:val="0"/>
          <w:numId w:val="269"/>
        </w:numPr>
        <w:rPr>
          <w:rFonts w:cs="Arial"/>
        </w:rPr>
      </w:pPr>
      <w:r w:rsidRPr="006E02D2">
        <w:rPr>
          <w:rFonts w:cs="Arial"/>
        </w:rPr>
        <w:t>The pet is not a pet as defined by HHA in this policy;</w:t>
      </w:r>
    </w:p>
    <w:p w14:paraId="23C458BB" w14:textId="77777777" w:rsidR="00847C04" w:rsidRPr="006E02D2" w:rsidRDefault="00847C04" w:rsidP="007F177E">
      <w:pPr>
        <w:numPr>
          <w:ilvl w:val="0"/>
          <w:numId w:val="269"/>
        </w:numPr>
        <w:rPr>
          <w:rFonts w:cs="Arial"/>
        </w:rPr>
      </w:pPr>
      <w:r w:rsidRPr="006E02D2">
        <w:rPr>
          <w:rFonts w:cs="Arial"/>
        </w:rPr>
        <w:t>Keeping the pet would violate any pet restrictions listed in this policy;</w:t>
      </w:r>
    </w:p>
    <w:p w14:paraId="3E8CCEB5" w14:textId="77777777" w:rsidR="00847C04" w:rsidRPr="006E02D2" w:rsidRDefault="00847C04" w:rsidP="007F177E">
      <w:pPr>
        <w:numPr>
          <w:ilvl w:val="0"/>
          <w:numId w:val="269"/>
        </w:numPr>
        <w:rPr>
          <w:rFonts w:cs="Arial"/>
        </w:rPr>
      </w:pPr>
      <w:r w:rsidRPr="006E02D2">
        <w:rPr>
          <w:rFonts w:cs="Arial"/>
        </w:rPr>
        <w:t>The pet owner fails to provide complete pet registration information, or fails to update the registration as required;</w:t>
      </w:r>
    </w:p>
    <w:p w14:paraId="3AE2C840" w14:textId="77777777" w:rsidR="00847C04" w:rsidRPr="006E02D2" w:rsidRDefault="00847C04" w:rsidP="007F177E">
      <w:pPr>
        <w:numPr>
          <w:ilvl w:val="0"/>
          <w:numId w:val="269"/>
        </w:numPr>
        <w:rPr>
          <w:rFonts w:cs="Arial"/>
        </w:rPr>
      </w:pPr>
      <w:r w:rsidRPr="006E02D2">
        <w:rPr>
          <w:rFonts w:cs="Arial"/>
        </w:rPr>
        <w:t>The applicant has previously been charged with animal cruelty under local/state law; or has been evicted, had to relinquish a pet or been prohibited from future pet ownership due to pet rule violations or a court order; or</w:t>
      </w:r>
    </w:p>
    <w:p w14:paraId="29291891" w14:textId="77777777" w:rsidR="00847C04" w:rsidRPr="006E02D2" w:rsidRDefault="00847C04" w:rsidP="007F177E">
      <w:pPr>
        <w:numPr>
          <w:ilvl w:val="0"/>
          <w:numId w:val="269"/>
        </w:numPr>
        <w:rPr>
          <w:rFonts w:cs="Arial"/>
        </w:rPr>
      </w:pPr>
      <w:r w:rsidRPr="006E02D2">
        <w:rPr>
          <w:rFonts w:cs="Arial"/>
        </w:rPr>
        <w:t>HHA reasonably determines that the pet owner is unable to keep the pet in compliance with the pet rules and other lease obligations. The pet’s temperament and behavior may be considered as a factor in determining the pet owner’s ability to comply with provisions of the lease.</w:t>
      </w:r>
    </w:p>
    <w:p w14:paraId="28A039EF" w14:textId="77777777" w:rsidR="00847C04" w:rsidRPr="006E02D2" w:rsidRDefault="00847C04" w:rsidP="00E4041C">
      <w:pPr>
        <w:pStyle w:val="BodyText"/>
        <w:spacing w:after="160" w:line="259" w:lineRule="auto"/>
        <w:jc w:val="both"/>
        <w:rPr>
          <w:sz w:val="22"/>
          <w:szCs w:val="22"/>
        </w:rPr>
      </w:pPr>
      <w:r w:rsidRPr="006E02D2">
        <w:rPr>
          <w:sz w:val="22"/>
          <w:szCs w:val="22"/>
        </w:rPr>
        <w:t>If HHA refuses to register a pet, a written notification will be sent to the pet owner.</w:t>
      </w:r>
      <w:r w:rsidRPr="006E02D2">
        <w:rPr>
          <w:spacing w:val="-3"/>
          <w:sz w:val="22"/>
          <w:szCs w:val="22"/>
        </w:rPr>
        <w:t xml:space="preserve"> </w:t>
      </w:r>
      <w:r w:rsidRPr="006E02D2">
        <w:rPr>
          <w:sz w:val="22"/>
          <w:szCs w:val="22"/>
        </w:rPr>
        <w:t>The</w:t>
      </w:r>
      <w:r w:rsidRPr="006E02D2">
        <w:rPr>
          <w:spacing w:val="-2"/>
          <w:sz w:val="22"/>
          <w:szCs w:val="22"/>
        </w:rPr>
        <w:t xml:space="preserve"> </w:t>
      </w:r>
      <w:r w:rsidRPr="006E02D2">
        <w:rPr>
          <w:sz w:val="22"/>
          <w:szCs w:val="22"/>
        </w:rPr>
        <w:t>notice</w:t>
      </w:r>
      <w:r w:rsidRPr="006E02D2">
        <w:rPr>
          <w:spacing w:val="-4"/>
          <w:sz w:val="22"/>
          <w:szCs w:val="22"/>
        </w:rPr>
        <w:t xml:space="preserve"> </w:t>
      </w:r>
      <w:r w:rsidRPr="006E02D2">
        <w:rPr>
          <w:sz w:val="22"/>
          <w:szCs w:val="22"/>
        </w:rPr>
        <w:t>will</w:t>
      </w:r>
      <w:r w:rsidRPr="006E02D2">
        <w:rPr>
          <w:spacing w:val="-3"/>
          <w:sz w:val="22"/>
          <w:szCs w:val="22"/>
        </w:rPr>
        <w:t xml:space="preserve"> </w:t>
      </w:r>
      <w:r w:rsidRPr="006E02D2">
        <w:rPr>
          <w:sz w:val="22"/>
          <w:szCs w:val="22"/>
        </w:rPr>
        <w:t>state</w:t>
      </w:r>
      <w:r w:rsidRPr="006E02D2">
        <w:rPr>
          <w:spacing w:val="-4"/>
          <w:sz w:val="22"/>
          <w:szCs w:val="22"/>
        </w:rPr>
        <w:t xml:space="preserve"> </w:t>
      </w:r>
      <w:r w:rsidRPr="006E02D2">
        <w:rPr>
          <w:sz w:val="22"/>
          <w:szCs w:val="22"/>
        </w:rPr>
        <w:t>the</w:t>
      </w:r>
      <w:r w:rsidRPr="006E02D2">
        <w:rPr>
          <w:spacing w:val="-3"/>
          <w:sz w:val="22"/>
          <w:szCs w:val="22"/>
        </w:rPr>
        <w:t xml:space="preserve"> </w:t>
      </w:r>
      <w:r w:rsidRPr="006E02D2">
        <w:rPr>
          <w:sz w:val="22"/>
          <w:szCs w:val="22"/>
        </w:rPr>
        <w:t>reason</w:t>
      </w:r>
      <w:r w:rsidRPr="006E02D2">
        <w:rPr>
          <w:spacing w:val="-3"/>
          <w:sz w:val="22"/>
          <w:szCs w:val="22"/>
        </w:rPr>
        <w:t xml:space="preserve"> </w:t>
      </w:r>
      <w:r w:rsidRPr="006E02D2">
        <w:rPr>
          <w:sz w:val="22"/>
          <w:szCs w:val="22"/>
        </w:rPr>
        <w:t>for</w:t>
      </w:r>
      <w:r w:rsidRPr="006E02D2">
        <w:rPr>
          <w:spacing w:val="-3"/>
          <w:sz w:val="22"/>
          <w:szCs w:val="22"/>
        </w:rPr>
        <w:t xml:space="preserve"> </w:t>
      </w:r>
      <w:r w:rsidRPr="006E02D2">
        <w:rPr>
          <w:sz w:val="22"/>
          <w:szCs w:val="22"/>
        </w:rPr>
        <w:t>refusing to register the pet and will inform the family of their right to appeal the decision in accordance with HHA’s grievance procedures.</w:t>
      </w:r>
    </w:p>
    <w:p w14:paraId="25DB55B3" w14:textId="77777777" w:rsidR="00847C04" w:rsidRPr="00983B0F" w:rsidRDefault="00847C04" w:rsidP="00677451">
      <w:pPr>
        <w:pStyle w:val="Heading3"/>
      </w:pPr>
      <w:bookmarkStart w:id="2878" w:name="_Toc70048708"/>
      <w:bookmarkStart w:id="2879" w:name="_Toc106037960"/>
      <w:bookmarkStart w:id="2880" w:name="_Toc106201599"/>
      <w:bookmarkStart w:id="2881" w:name="_Toc106202118"/>
      <w:bookmarkStart w:id="2882" w:name="_Toc106202644"/>
      <w:bookmarkStart w:id="2883" w:name="_Toc113345100"/>
      <w:bookmarkStart w:id="2884" w:name="_Toc137461844"/>
      <w:bookmarkStart w:id="2885" w:name="_Toc137471435"/>
      <w:bookmarkStart w:id="2886" w:name="_Toc137471944"/>
      <w:bookmarkStart w:id="2887" w:name="_Toc200375795"/>
      <w:r w:rsidRPr="00983B0F">
        <w:t>Pet Agreement</w:t>
      </w:r>
      <w:bookmarkEnd w:id="2878"/>
      <w:bookmarkEnd w:id="2879"/>
      <w:bookmarkEnd w:id="2880"/>
      <w:bookmarkEnd w:id="2881"/>
      <w:bookmarkEnd w:id="2882"/>
      <w:bookmarkEnd w:id="2883"/>
      <w:bookmarkEnd w:id="2884"/>
      <w:bookmarkEnd w:id="2885"/>
      <w:bookmarkEnd w:id="2886"/>
      <w:bookmarkEnd w:id="2887"/>
    </w:p>
    <w:p w14:paraId="6A737FA1" w14:textId="77777777" w:rsidR="00847C04" w:rsidRPr="005C7313" w:rsidRDefault="00847C04" w:rsidP="005C7313">
      <w:pPr>
        <w:pStyle w:val="BodyText"/>
        <w:spacing w:after="160" w:line="259" w:lineRule="auto"/>
        <w:jc w:val="both"/>
        <w:rPr>
          <w:sz w:val="22"/>
          <w:szCs w:val="22"/>
        </w:rPr>
      </w:pPr>
      <w:r w:rsidRPr="005C7313">
        <w:rPr>
          <w:sz w:val="22"/>
          <w:szCs w:val="22"/>
        </w:rPr>
        <w:t>Residents who have been approved to have a pet must enter into a pet agreement with HHA, or the approval of the pet will be withdrawn.</w:t>
      </w:r>
    </w:p>
    <w:p w14:paraId="6BF427E4" w14:textId="77777777" w:rsidR="00847C04" w:rsidRPr="005C7313" w:rsidRDefault="00847C04" w:rsidP="005C7313">
      <w:pPr>
        <w:pStyle w:val="BodyText"/>
        <w:spacing w:after="160" w:line="259" w:lineRule="auto"/>
        <w:jc w:val="both"/>
        <w:rPr>
          <w:sz w:val="22"/>
          <w:szCs w:val="22"/>
        </w:rPr>
      </w:pPr>
      <w:r w:rsidRPr="005C7313">
        <w:rPr>
          <w:sz w:val="22"/>
          <w:szCs w:val="22"/>
        </w:rPr>
        <w:t xml:space="preserve">The pet agreement is the resident’s certification that </w:t>
      </w:r>
      <w:r w:rsidR="00936E89">
        <w:rPr>
          <w:sz w:val="22"/>
          <w:szCs w:val="22"/>
        </w:rPr>
        <w:t>they have</w:t>
      </w:r>
      <w:r w:rsidRPr="005C7313">
        <w:rPr>
          <w:sz w:val="22"/>
          <w:szCs w:val="22"/>
        </w:rPr>
        <w:t xml:space="preserve"> received a copy of HHA’s pet policy and applicable house rules, that he or she has read the policies and/or rules, understands them, and agrees to comply with them.</w:t>
      </w:r>
    </w:p>
    <w:p w14:paraId="10AB3EF5" w14:textId="77777777" w:rsidR="00847C04" w:rsidRDefault="00847C04" w:rsidP="005C7313">
      <w:pPr>
        <w:pStyle w:val="BodyText"/>
        <w:spacing w:after="160" w:line="259" w:lineRule="auto"/>
        <w:jc w:val="both"/>
        <w:rPr>
          <w:sz w:val="22"/>
          <w:szCs w:val="22"/>
        </w:rPr>
      </w:pPr>
      <w:r w:rsidRPr="005C7313">
        <w:rPr>
          <w:sz w:val="22"/>
          <w:szCs w:val="22"/>
        </w:rPr>
        <w:t>The resident further certifies by signing the pet agreement that he or she understands that noncompliance with HHA’s pet policy and applicable house rules may result in the withdrawal of HHA approval of the pet or termination of tenancy.</w:t>
      </w:r>
    </w:p>
    <w:p w14:paraId="149AEA7D" w14:textId="77777777" w:rsidR="000F7688" w:rsidRDefault="000F7688" w:rsidP="00677451">
      <w:pPr>
        <w:pStyle w:val="Heading3"/>
      </w:pPr>
      <w:bookmarkStart w:id="2888" w:name="_Toc200375796"/>
      <w:r>
        <w:t>Pet Rules</w:t>
      </w:r>
      <w:bookmarkEnd w:id="2888"/>
    </w:p>
    <w:p w14:paraId="16227AB4" w14:textId="77777777" w:rsidR="000F7688" w:rsidRDefault="000F7688" w:rsidP="00426C93">
      <w:pPr>
        <w:pStyle w:val="Heading4"/>
      </w:pPr>
      <w:r>
        <w:t>Deposit</w:t>
      </w:r>
    </w:p>
    <w:p w14:paraId="43CA1532" w14:textId="77777777" w:rsidR="0039329A" w:rsidRPr="0039329A" w:rsidRDefault="0039329A" w:rsidP="0039329A">
      <w:pPr>
        <w:pStyle w:val="BodyText"/>
        <w:spacing w:after="160" w:line="259" w:lineRule="auto"/>
        <w:jc w:val="both"/>
        <w:rPr>
          <w:sz w:val="22"/>
          <w:szCs w:val="22"/>
        </w:rPr>
      </w:pPr>
      <w:r w:rsidRPr="0039329A">
        <w:rPr>
          <w:sz w:val="22"/>
          <w:szCs w:val="22"/>
        </w:rPr>
        <w:t>A refundable pet fee of $</w:t>
      </w:r>
      <w:r w:rsidR="000F371A">
        <w:rPr>
          <w:sz w:val="22"/>
          <w:szCs w:val="22"/>
        </w:rPr>
        <w:t>5</w:t>
      </w:r>
      <w:r w:rsidRPr="0039329A">
        <w:rPr>
          <w:sz w:val="22"/>
          <w:szCs w:val="22"/>
        </w:rPr>
        <w:t xml:space="preserve">0 shall be made to HHA. Such fee will be a one-time fee (per pet) and </w:t>
      </w:r>
      <w:r w:rsidR="008270D5">
        <w:rPr>
          <w:sz w:val="22"/>
          <w:szCs w:val="22"/>
        </w:rPr>
        <w:t>must be paid in full before the pet is brought on the premises.</w:t>
      </w:r>
      <w:r w:rsidRPr="0039329A">
        <w:rPr>
          <w:sz w:val="22"/>
          <w:szCs w:val="22"/>
        </w:rPr>
        <w:t xml:space="preserve"> </w:t>
      </w:r>
    </w:p>
    <w:p w14:paraId="3A9BF5C8" w14:textId="77777777" w:rsidR="00D01931" w:rsidRPr="00D01931" w:rsidRDefault="00D01931" w:rsidP="00D01931">
      <w:pPr>
        <w:pStyle w:val="BodyText"/>
        <w:spacing w:after="160" w:line="259" w:lineRule="auto"/>
        <w:jc w:val="both"/>
        <w:rPr>
          <w:sz w:val="22"/>
          <w:szCs w:val="22"/>
        </w:rPr>
      </w:pPr>
      <w:r w:rsidRPr="00D01931">
        <w:rPr>
          <w:sz w:val="22"/>
          <w:szCs w:val="22"/>
        </w:rPr>
        <w:t>The pet deposit is not part of the rent payable by the resident and is not required for assistance or support animals.</w:t>
      </w:r>
    </w:p>
    <w:p w14:paraId="0C30D29A" w14:textId="77777777" w:rsidR="00847C04" w:rsidRPr="009275FC" w:rsidRDefault="00847C04" w:rsidP="004F22C9">
      <w:pPr>
        <w:pStyle w:val="Heading4"/>
      </w:pPr>
      <w:bookmarkStart w:id="2889" w:name="_Toc70048704"/>
      <w:bookmarkStart w:id="2890" w:name="_Toc106037961"/>
      <w:bookmarkStart w:id="2891" w:name="_Toc106201600"/>
      <w:bookmarkStart w:id="2892" w:name="_Toc106202119"/>
      <w:bookmarkStart w:id="2893" w:name="_Toc106202645"/>
      <w:bookmarkStart w:id="2894" w:name="_Toc113345101"/>
      <w:bookmarkStart w:id="2895" w:name="_Toc137461845"/>
      <w:bookmarkStart w:id="2896" w:name="_Toc137471436"/>
      <w:bookmarkStart w:id="2897" w:name="_Toc137471945"/>
      <w:r w:rsidRPr="009275FC">
        <w:t>Pet Restrictions</w:t>
      </w:r>
      <w:bookmarkEnd w:id="2889"/>
      <w:bookmarkEnd w:id="2890"/>
      <w:bookmarkEnd w:id="2891"/>
      <w:bookmarkEnd w:id="2892"/>
      <w:bookmarkEnd w:id="2893"/>
      <w:bookmarkEnd w:id="2894"/>
      <w:bookmarkEnd w:id="2895"/>
      <w:bookmarkEnd w:id="2896"/>
      <w:bookmarkEnd w:id="2897"/>
    </w:p>
    <w:p w14:paraId="480C025C" w14:textId="77777777" w:rsidR="00847C04" w:rsidRPr="00983B0F" w:rsidRDefault="00847C04" w:rsidP="00847C04">
      <w:r w:rsidRPr="00983B0F">
        <w:t>Pet ownership shall be limited to common domesticated household pets, which shall be defined to include a dog, bird, cat or fish and other species as allowed under this policy.</w:t>
      </w:r>
    </w:p>
    <w:p w14:paraId="0FC367E7" w14:textId="77777777" w:rsidR="00847C04" w:rsidRPr="00983B0F" w:rsidRDefault="00847C04" w:rsidP="00F84FCD">
      <w:r w:rsidRPr="00983B0F">
        <w:t>The following animals are not considered household pets for purposes of this policy:</w:t>
      </w:r>
    </w:p>
    <w:p w14:paraId="5675D2A5" w14:textId="77777777" w:rsidR="00847C04" w:rsidRPr="00983B0F" w:rsidRDefault="00847C04" w:rsidP="007F177E">
      <w:pPr>
        <w:numPr>
          <w:ilvl w:val="0"/>
          <w:numId w:val="102"/>
        </w:numPr>
      </w:pPr>
      <w:r w:rsidRPr="00983B0F">
        <w:t>Reptiles;</w:t>
      </w:r>
    </w:p>
    <w:p w14:paraId="011EF9F5" w14:textId="77777777" w:rsidR="00847C04" w:rsidRPr="00983B0F" w:rsidRDefault="00847C04" w:rsidP="007F177E">
      <w:pPr>
        <w:numPr>
          <w:ilvl w:val="0"/>
          <w:numId w:val="102"/>
        </w:numPr>
      </w:pPr>
      <w:r w:rsidRPr="00983B0F">
        <w:t>Rodents;</w:t>
      </w:r>
    </w:p>
    <w:p w14:paraId="1C67E2B4" w14:textId="77777777" w:rsidR="00847C04" w:rsidRPr="00983B0F" w:rsidRDefault="00847C04" w:rsidP="007F177E">
      <w:pPr>
        <w:numPr>
          <w:ilvl w:val="0"/>
          <w:numId w:val="102"/>
        </w:numPr>
      </w:pPr>
      <w:r w:rsidRPr="00983B0F">
        <w:t>Insects;</w:t>
      </w:r>
    </w:p>
    <w:p w14:paraId="5870DDCB" w14:textId="77777777" w:rsidR="00847C04" w:rsidRPr="00983B0F" w:rsidRDefault="00847C04" w:rsidP="007F177E">
      <w:pPr>
        <w:numPr>
          <w:ilvl w:val="0"/>
          <w:numId w:val="102"/>
        </w:numPr>
      </w:pPr>
      <w:r w:rsidRPr="00983B0F">
        <w:t>Arachnids;</w:t>
      </w:r>
    </w:p>
    <w:p w14:paraId="7CF9A83F" w14:textId="77777777" w:rsidR="00847C04" w:rsidRPr="00983B0F" w:rsidRDefault="00847C04" w:rsidP="007F177E">
      <w:pPr>
        <w:numPr>
          <w:ilvl w:val="0"/>
          <w:numId w:val="102"/>
        </w:numPr>
      </w:pPr>
      <w:r w:rsidRPr="00983B0F">
        <w:t>Pot-bellied pigs;</w:t>
      </w:r>
    </w:p>
    <w:p w14:paraId="10B865D6" w14:textId="77777777" w:rsidR="00847C04" w:rsidRPr="00983B0F" w:rsidRDefault="00847C04" w:rsidP="007F177E">
      <w:pPr>
        <w:numPr>
          <w:ilvl w:val="0"/>
          <w:numId w:val="102"/>
        </w:numPr>
      </w:pPr>
      <w:r w:rsidRPr="00983B0F">
        <w:t>Wild or feral animals; and/or</w:t>
      </w:r>
    </w:p>
    <w:p w14:paraId="0D277A6B" w14:textId="77777777" w:rsidR="00847C04" w:rsidRPr="00983B0F" w:rsidRDefault="00847C04" w:rsidP="007F177E">
      <w:pPr>
        <w:numPr>
          <w:ilvl w:val="0"/>
          <w:numId w:val="102"/>
        </w:numPr>
      </w:pPr>
      <w:r w:rsidRPr="00983B0F">
        <w:t>Animals used for commercial breeding.</w:t>
      </w:r>
    </w:p>
    <w:p w14:paraId="3E900CC6" w14:textId="77777777" w:rsidR="00847C04" w:rsidRPr="00983B0F" w:rsidRDefault="00847C04" w:rsidP="00F84FCD">
      <w:r w:rsidRPr="00983B0F">
        <w:t>The following animals are not permitted:</w:t>
      </w:r>
      <w:r>
        <w:t xml:space="preserve"> (does not apply to assistance </w:t>
      </w:r>
      <w:r w:rsidR="006E45EB">
        <w:t>animals</w:t>
      </w:r>
      <w:r>
        <w:t xml:space="preserve">, except where </w:t>
      </w:r>
      <w:r w:rsidR="006E45EB">
        <w:t>an animal</w:t>
      </w:r>
      <w:r>
        <w:t xml:space="preserve"> may pose a direct threat or a fundamental alteration) </w:t>
      </w:r>
    </w:p>
    <w:p w14:paraId="3746E0B8" w14:textId="77777777" w:rsidR="00847C04" w:rsidRPr="002965D3" w:rsidRDefault="00847C04" w:rsidP="007F177E">
      <w:pPr>
        <w:numPr>
          <w:ilvl w:val="0"/>
          <w:numId w:val="270"/>
        </w:numPr>
      </w:pPr>
      <w:r w:rsidRPr="002965D3">
        <w:t xml:space="preserve">Any animal who adult weight will exceed </w:t>
      </w:r>
      <w:r w:rsidR="00B978F4">
        <w:t>3</w:t>
      </w:r>
      <w:r w:rsidR="00513324">
        <w:t>5</w:t>
      </w:r>
      <w:r w:rsidRPr="002965D3">
        <w:t xml:space="preserve"> </w:t>
      </w:r>
      <w:r w:rsidR="00B978F4">
        <w:t>pounds</w:t>
      </w:r>
      <w:r w:rsidR="00053121">
        <w:t xml:space="preserve"> and/or total height at the shoulder exceeds 18 inches (the size limitation does not apply to service animals</w:t>
      </w:r>
      <w:r w:rsidR="00CA1378">
        <w:t>)</w:t>
      </w:r>
      <w:r w:rsidR="0005018D">
        <w:t>;</w:t>
      </w:r>
    </w:p>
    <w:p w14:paraId="3527D60D" w14:textId="77777777" w:rsidR="00847C04" w:rsidRPr="00983B0F" w:rsidRDefault="00847C04" w:rsidP="007F177E">
      <w:pPr>
        <w:numPr>
          <w:ilvl w:val="0"/>
          <w:numId w:val="270"/>
        </w:numPr>
      </w:pPr>
      <w:r w:rsidRPr="00983B0F">
        <w:t xml:space="preserve">Dogs of the pit bull, rottweiler, </w:t>
      </w:r>
      <w:r w:rsidR="0005018D">
        <w:t xml:space="preserve">Doberman, </w:t>
      </w:r>
      <w:r w:rsidRPr="00983B0F">
        <w:t>chow, or boxer breeds</w:t>
      </w:r>
      <w:r w:rsidR="0005018D">
        <w:t>, any other know</w:t>
      </w:r>
      <w:r w:rsidR="00C90E27">
        <w:t>n</w:t>
      </w:r>
      <w:r w:rsidR="0005018D">
        <w:t xml:space="preserve"> fighter breed</w:t>
      </w:r>
      <w:r>
        <w:t xml:space="preserve"> or mixes thereof</w:t>
      </w:r>
      <w:r w:rsidRPr="00983B0F">
        <w:t>;</w:t>
      </w:r>
    </w:p>
    <w:p w14:paraId="544B7714" w14:textId="77777777" w:rsidR="00847C04" w:rsidRPr="00983B0F" w:rsidRDefault="00847C04" w:rsidP="007F177E">
      <w:pPr>
        <w:numPr>
          <w:ilvl w:val="0"/>
          <w:numId w:val="270"/>
        </w:numPr>
      </w:pPr>
      <w:r w:rsidRPr="00983B0F">
        <w:t>Ferrets or other animals whose natural protective mechanisms pose a risk to small children of serious bites or lacerations;</w:t>
      </w:r>
    </w:p>
    <w:p w14:paraId="6E24299B" w14:textId="77777777" w:rsidR="00847C04" w:rsidRPr="00983B0F" w:rsidRDefault="00847C04" w:rsidP="007F177E">
      <w:pPr>
        <w:numPr>
          <w:ilvl w:val="0"/>
          <w:numId w:val="270"/>
        </w:numPr>
      </w:pPr>
      <w:r w:rsidRPr="00983B0F">
        <w:t xml:space="preserve">Dogs and cats </w:t>
      </w:r>
      <w:r>
        <w:t>six months</w:t>
      </w:r>
      <w:r w:rsidRPr="00983B0F">
        <w:t xml:space="preserve"> of age</w:t>
      </w:r>
      <w:r>
        <w:t xml:space="preserve"> and older</w:t>
      </w:r>
      <w:r w:rsidRPr="00983B0F">
        <w:t xml:space="preserve"> that have not been neutered or spayed;</w:t>
      </w:r>
    </w:p>
    <w:p w14:paraId="7C5D1C5C" w14:textId="77777777" w:rsidR="00847C04" w:rsidRPr="00983B0F" w:rsidRDefault="00847C04" w:rsidP="007F177E">
      <w:pPr>
        <w:numPr>
          <w:ilvl w:val="0"/>
          <w:numId w:val="270"/>
        </w:numPr>
      </w:pPr>
      <w:r w:rsidRPr="00983B0F">
        <w:t>Any animal not permitted under local/state law or code.</w:t>
      </w:r>
    </w:p>
    <w:p w14:paraId="1B15FBC5" w14:textId="77777777" w:rsidR="00847C04" w:rsidRPr="00983B0F" w:rsidRDefault="00847C04" w:rsidP="004F22C9">
      <w:pPr>
        <w:pStyle w:val="Heading4"/>
      </w:pPr>
      <w:bookmarkStart w:id="2898" w:name="_Toc70048709"/>
      <w:bookmarkStart w:id="2899" w:name="_Toc106037962"/>
      <w:bookmarkStart w:id="2900" w:name="_Toc106201601"/>
      <w:bookmarkStart w:id="2901" w:name="_Toc106202120"/>
      <w:bookmarkStart w:id="2902" w:name="_Toc106202646"/>
      <w:bookmarkStart w:id="2903" w:name="_Toc113345102"/>
      <w:bookmarkStart w:id="2904" w:name="_Toc137461846"/>
      <w:bookmarkStart w:id="2905" w:name="_Toc137471437"/>
      <w:bookmarkStart w:id="2906" w:name="_Toc137471946"/>
      <w:r w:rsidRPr="00983B0F">
        <w:t>Number of Pets</w:t>
      </w:r>
      <w:bookmarkEnd w:id="2898"/>
      <w:bookmarkEnd w:id="2899"/>
      <w:bookmarkEnd w:id="2900"/>
      <w:bookmarkEnd w:id="2901"/>
      <w:bookmarkEnd w:id="2902"/>
      <w:bookmarkEnd w:id="2903"/>
      <w:bookmarkEnd w:id="2904"/>
      <w:bookmarkEnd w:id="2905"/>
      <w:bookmarkEnd w:id="2906"/>
    </w:p>
    <w:p w14:paraId="35688245" w14:textId="77777777" w:rsidR="00847C04" w:rsidRPr="00A3756E" w:rsidRDefault="00A9634F" w:rsidP="00A3756E">
      <w:r w:rsidRPr="00A3756E">
        <w:t>Each resident family will be allowed to house only one (1) warm-blooded animal</w:t>
      </w:r>
      <w:r w:rsidR="002F0600">
        <w:t xml:space="preserve"> (as allowed under this policy)</w:t>
      </w:r>
      <w:r w:rsidRPr="00A3756E">
        <w:t xml:space="preserve"> at any time, one 10-gallon fish tank, or one cage with up to four (4) birds. </w:t>
      </w:r>
    </w:p>
    <w:p w14:paraId="055A5268" w14:textId="77777777" w:rsidR="00847C04" w:rsidRDefault="00847C04" w:rsidP="00001ED4">
      <w:pPr>
        <w:pStyle w:val="Heading4"/>
      </w:pPr>
      <w:bookmarkStart w:id="2907" w:name="_Toc106037963"/>
      <w:bookmarkStart w:id="2908" w:name="_Toc106201602"/>
      <w:bookmarkStart w:id="2909" w:name="_Toc106202121"/>
      <w:bookmarkStart w:id="2910" w:name="_Toc106202647"/>
      <w:bookmarkStart w:id="2911" w:name="_Toc113345103"/>
      <w:bookmarkStart w:id="2912" w:name="_Toc137461847"/>
      <w:bookmarkStart w:id="2913" w:name="_Toc137471438"/>
      <w:bookmarkStart w:id="2914" w:name="_Toc137471947"/>
      <w:r w:rsidRPr="00983B0F">
        <w:t>Other Requirements</w:t>
      </w:r>
      <w:bookmarkEnd w:id="2907"/>
      <w:bookmarkEnd w:id="2908"/>
      <w:bookmarkEnd w:id="2909"/>
      <w:bookmarkEnd w:id="2910"/>
      <w:bookmarkEnd w:id="2911"/>
      <w:bookmarkEnd w:id="2912"/>
      <w:bookmarkEnd w:id="2913"/>
      <w:bookmarkEnd w:id="2914"/>
    </w:p>
    <w:p w14:paraId="7518223D" w14:textId="77777777" w:rsidR="00847C04" w:rsidRPr="009958F2" w:rsidRDefault="00847C04" w:rsidP="009958F2">
      <w:r w:rsidRPr="009958F2">
        <w:t xml:space="preserve">Dogs and cats must be spayed or neutered at the time of registration or, in the case of underage animals, within </w:t>
      </w:r>
      <w:r w:rsidR="005673AE">
        <w:t>15 calendar days</w:t>
      </w:r>
      <w:r w:rsidRPr="009958F2">
        <w:t xml:space="preserve"> of the pet reaching six months of age. Exceptions may be made upon veterinary certification that subjecting this particular pet to the procedure would be temporarily or permanently medically unsafe or unnecessary.</w:t>
      </w:r>
    </w:p>
    <w:p w14:paraId="39E682C9" w14:textId="77777777" w:rsidR="00847C04" w:rsidRDefault="00847C04" w:rsidP="009958F2">
      <w:r w:rsidRPr="009958F2">
        <w:t>Pets must be licensed in accordance with state or local law. Residents must provide proof of licensing</w:t>
      </w:r>
      <w:r w:rsidR="00EE4878">
        <w:t>, certification of spayed/neutered status</w:t>
      </w:r>
      <w:r w:rsidR="00F65514">
        <w:t>, and documentation of all required annual vaccines</w:t>
      </w:r>
      <w:r w:rsidRPr="009958F2">
        <w:t xml:space="preserve"> at the time of registration and with the resident’s </w:t>
      </w:r>
      <w:r w:rsidR="00D95DEE">
        <w:t>regular</w:t>
      </w:r>
      <w:r w:rsidRPr="009958F2">
        <w:t xml:space="preserve"> r</w:t>
      </w:r>
      <w:r w:rsidR="00D95DEE">
        <w:t>ecertification</w:t>
      </w:r>
      <w:r w:rsidRPr="009958F2">
        <w:t>.</w:t>
      </w:r>
    </w:p>
    <w:p w14:paraId="5B341FFA" w14:textId="77777777" w:rsidR="00C62E18" w:rsidRPr="00E02757" w:rsidRDefault="00C62E18" w:rsidP="00C62E18">
      <w:r w:rsidRPr="00E02757">
        <w:t xml:space="preserve">Pet owners will be responsible and liable for any and all bodily harm to other residents or individuals. Destruction of personal property belonging to others caused by owner's pet will be the financial obligation of the pet owner. </w:t>
      </w:r>
    </w:p>
    <w:p w14:paraId="79BB942E" w14:textId="77777777" w:rsidR="00847C04" w:rsidRPr="00232B51" w:rsidRDefault="00847C04" w:rsidP="00D74141">
      <w:pPr>
        <w:pStyle w:val="Heading4"/>
      </w:pPr>
      <w:bookmarkStart w:id="2915" w:name="_Toc70048712"/>
      <w:bookmarkStart w:id="2916" w:name="_Toc106037964"/>
      <w:bookmarkStart w:id="2917" w:name="_Toc106201603"/>
      <w:bookmarkStart w:id="2918" w:name="_Toc106202122"/>
      <w:bookmarkStart w:id="2919" w:name="_Toc106202648"/>
      <w:bookmarkStart w:id="2920" w:name="_Toc113345104"/>
      <w:bookmarkStart w:id="2921" w:name="_Toc137461848"/>
      <w:bookmarkStart w:id="2922" w:name="_Toc137471439"/>
      <w:bookmarkStart w:id="2923" w:name="_Toc137471948"/>
      <w:r w:rsidRPr="00232B51">
        <w:t>Pet Area Restrictions</w:t>
      </w:r>
      <w:bookmarkEnd w:id="2915"/>
      <w:bookmarkEnd w:id="2916"/>
      <w:bookmarkEnd w:id="2917"/>
      <w:bookmarkEnd w:id="2918"/>
      <w:bookmarkEnd w:id="2919"/>
      <w:bookmarkEnd w:id="2920"/>
      <w:bookmarkEnd w:id="2921"/>
      <w:bookmarkEnd w:id="2922"/>
      <w:bookmarkEnd w:id="2923"/>
    </w:p>
    <w:p w14:paraId="2C30AB2A" w14:textId="77777777" w:rsidR="00847C04" w:rsidRPr="00D74141" w:rsidRDefault="00847C04" w:rsidP="00D74141">
      <w:r w:rsidRPr="00D74141">
        <w:t>Pet owners must maintain pets responsibly, in accordance with HHA policies, and in compliance with applicable state and local public health, animal control, and animal cruelty laws and regulations.</w:t>
      </w:r>
    </w:p>
    <w:p w14:paraId="622326DF" w14:textId="77777777" w:rsidR="00847C04" w:rsidRPr="00D74141" w:rsidRDefault="00847C04" w:rsidP="007F177E">
      <w:pPr>
        <w:pStyle w:val="ListParagraph"/>
        <w:numPr>
          <w:ilvl w:val="0"/>
          <w:numId w:val="271"/>
        </w:numPr>
        <w:contextualSpacing w:val="0"/>
      </w:pPr>
      <w:r w:rsidRPr="00D74141">
        <w:t>Pets must be maintained within the resident’s unit. When outside of the unit, (within the building or on the grounds) dogs and cats must be kept on a leash or carried and under the control of the resident or other responsible individual at all times.</w:t>
      </w:r>
      <w:r w:rsidR="00156130">
        <w:t xml:space="preserve"> </w:t>
      </w:r>
    </w:p>
    <w:p w14:paraId="79973730" w14:textId="77777777" w:rsidR="00847C04" w:rsidRPr="00D74141" w:rsidRDefault="00847C04" w:rsidP="007F177E">
      <w:pPr>
        <w:pStyle w:val="ListParagraph"/>
        <w:numPr>
          <w:ilvl w:val="0"/>
          <w:numId w:val="271"/>
        </w:numPr>
        <w:contextualSpacing w:val="0"/>
      </w:pPr>
      <w:r w:rsidRPr="00D74141">
        <w:t>Pets other than dogs or cats must be kept in a cage or carrier when outside of the unit.</w:t>
      </w:r>
    </w:p>
    <w:p w14:paraId="392D2825" w14:textId="77777777" w:rsidR="00847C04" w:rsidRPr="00D74141" w:rsidRDefault="00847C04" w:rsidP="007F177E">
      <w:pPr>
        <w:pStyle w:val="ListParagraph"/>
        <w:numPr>
          <w:ilvl w:val="0"/>
          <w:numId w:val="271"/>
        </w:numPr>
        <w:contextualSpacing w:val="0"/>
      </w:pPr>
      <w:r w:rsidRPr="00D74141">
        <w:t>Pets are not permitted in common areas including lobbies, community rooms and laundry areas except for those common areas which are entrances to and exits from the building.</w:t>
      </w:r>
    </w:p>
    <w:p w14:paraId="1469E916" w14:textId="77777777" w:rsidR="00CD19A3" w:rsidRPr="00CD19A3" w:rsidRDefault="00847C04" w:rsidP="007F177E">
      <w:pPr>
        <w:pStyle w:val="ListParagraph"/>
        <w:numPr>
          <w:ilvl w:val="0"/>
          <w:numId w:val="271"/>
        </w:numPr>
        <w:contextualSpacing w:val="0"/>
      </w:pPr>
      <w:r w:rsidRPr="00D74141">
        <w:t>Pet owners are not permitted to exercise pets or permit pets to deposit waste on project premises outside of the areas designated for such purposes.</w:t>
      </w:r>
      <w:r w:rsidR="00CD19A3">
        <w:t xml:space="preserve"> </w:t>
      </w:r>
    </w:p>
    <w:p w14:paraId="3E1FBC12" w14:textId="77777777" w:rsidR="00CD19A3" w:rsidRDefault="00CD19A3" w:rsidP="007F177E">
      <w:pPr>
        <w:pStyle w:val="ListParagraph"/>
        <w:numPr>
          <w:ilvl w:val="0"/>
          <w:numId w:val="271"/>
        </w:numPr>
        <w:contextualSpacing w:val="0"/>
      </w:pPr>
      <w:r w:rsidRPr="00CD19A3">
        <w:t xml:space="preserve">Pets (dogs and cats) shall be allowed to run only on the owner’s lawn and owners shall clean up after pet after each time the animal eliminates. </w:t>
      </w:r>
    </w:p>
    <w:p w14:paraId="627ED887" w14:textId="77777777" w:rsidR="00847C04" w:rsidRPr="00232B51" w:rsidRDefault="00847C04" w:rsidP="002C1510">
      <w:pPr>
        <w:pStyle w:val="Heading4"/>
      </w:pPr>
      <w:bookmarkStart w:id="2924" w:name="_Toc106037965"/>
      <w:bookmarkStart w:id="2925" w:name="_Toc106201604"/>
      <w:bookmarkStart w:id="2926" w:name="_Toc106202123"/>
      <w:bookmarkStart w:id="2927" w:name="_Toc106202649"/>
      <w:bookmarkStart w:id="2928" w:name="_Toc113345105"/>
      <w:bookmarkStart w:id="2929" w:name="_Toc137461849"/>
      <w:bookmarkStart w:id="2930" w:name="_Toc137471440"/>
      <w:bookmarkStart w:id="2931" w:name="_Toc137471949"/>
      <w:r w:rsidRPr="00232B51">
        <w:t>Designated Pet/No-Pet Areas</w:t>
      </w:r>
      <w:bookmarkEnd w:id="2924"/>
      <w:bookmarkEnd w:id="2925"/>
      <w:bookmarkEnd w:id="2926"/>
      <w:bookmarkEnd w:id="2927"/>
      <w:bookmarkEnd w:id="2928"/>
      <w:bookmarkEnd w:id="2929"/>
      <w:bookmarkEnd w:id="2930"/>
      <w:bookmarkEnd w:id="2931"/>
    </w:p>
    <w:p w14:paraId="374592A7" w14:textId="77777777" w:rsidR="00847C04" w:rsidRPr="006E2D79" w:rsidRDefault="00847C04" w:rsidP="006E2D79">
      <w:r w:rsidRPr="006E2D79">
        <w:t>With the exception of common areas as described in the previous policy, HHA has not designated any buildings, floors of buildings, or sections of buildings as no-pet areas. In addition, HHA has not designated any buildings, floors of buildings, or sections of buildings for residency of pet-owning tenants.</w:t>
      </w:r>
    </w:p>
    <w:p w14:paraId="0317E1D2" w14:textId="77777777" w:rsidR="00847C04" w:rsidRDefault="00847C04" w:rsidP="006E2D79">
      <w:r w:rsidRPr="006E2D79">
        <w:t xml:space="preserve">Recreational and playground areas, </w:t>
      </w:r>
      <w:r w:rsidR="00DB1D08">
        <w:t xml:space="preserve">social rooms, office, maintenance area, </w:t>
      </w:r>
      <w:r w:rsidRPr="006E2D79">
        <w:t>flower beds</w:t>
      </w:r>
      <w:r w:rsidR="00DB1D08">
        <w:t>,</w:t>
      </w:r>
      <w:r w:rsidRPr="006E2D79">
        <w:t xml:space="preserve"> other residents’ yards</w:t>
      </w:r>
      <w:r w:rsidR="00DB1D08">
        <w:t>, and under clotheslines</w:t>
      </w:r>
      <w:r w:rsidRPr="006E2D79">
        <w:t xml:space="preserve"> are designated as no-pet areas.</w:t>
      </w:r>
    </w:p>
    <w:p w14:paraId="463EDDE6" w14:textId="77777777" w:rsidR="00A258EB" w:rsidRPr="003824FB" w:rsidRDefault="00A258EB" w:rsidP="00A258EB">
      <w:pPr>
        <w:pStyle w:val="Heading4"/>
      </w:pPr>
      <w:bookmarkStart w:id="2932" w:name="_Toc70048714"/>
      <w:bookmarkStart w:id="2933" w:name="_Toc106037967"/>
      <w:bookmarkStart w:id="2934" w:name="_Toc106201606"/>
      <w:bookmarkStart w:id="2935" w:name="_Toc106202125"/>
      <w:bookmarkStart w:id="2936" w:name="_Toc106202651"/>
      <w:bookmarkStart w:id="2937" w:name="_Toc113345107"/>
      <w:bookmarkStart w:id="2938" w:name="_Toc137461851"/>
      <w:bookmarkStart w:id="2939" w:name="_Toc137471442"/>
      <w:bookmarkStart w:id="2940" w:name="_Toc137471951"/>
      <w:r w:rsidRPr="003824FB">
        <w:t>Alterations to Unit</w:t>
      </w:r>
      <w:bookmarkEnd w:id="2932"/>
      <w:bookmarkEnd w:id="2933"/>
      <w:bookmarkEnd w:id="2934"/>
      <w:bookmarkEnd w:id="2935"/>
      <w:bookmarkEnd w:id="2936"/>
      <w:bookmarkEnd w:id="2937"/>
      <w:bookmarkEnd w:id="2938"/>
      <w:bookmarkEnd w:id="2939"/>
      <w:bookmarkEnd w:id="2940"/>
    </w:p>
    <w:p w14:paraId="74D3ABA0" w14:textId="77777777" w:rsidR="00A258EB" w:rsidRPr="00D74141" w:rsidRDefault="00A258EB" w:rsidP="00A258EB">
      <w:r w:rsidRPr="00D81534">
        <w:t>Pet owners shall not alter their unit, patio, premises or common areas to create an enclosure for any animal</w:t>
      </w:r>
      <w:r>
        <w:t xml:space="preserve"> (e.g., no dog houses will be allowed on the premises)</w:t>
      </w:r>
      <w:r w:rsidRPr="00D81534">
        <w:t>. Installation of pet doors is prohibited.</w:t>
      </w:r>
    </w:p>
    <w:p w14:paraId="776C1F9E" w14:textId="77777777" w:rsidR="00847C04" w:rsidRPr="003824FB" w:rsidRDefault="00847C04" w:rsidP="002C1510">
      <w:pPr>
        <w:pStyle w:val="Heading4"/>
      </w:pPr>
      <w:bookmarkStart w:id="2941" w:name="_Toc70048713"/>
      <w:bookmarkStart w:id="2942" w:name="_Toc106037966"/>
      <w:bookmarkStart w:id="2943" w:name="_Toc106201605"/>
      <w:bookmarkStart w:id="2944" w:name="_Toc106202124"/>
      <w:bookmarkStart w:id="2945" w:name="_Toc106202650"/>
      <w:bookmarkStart w:id="2946" w:name="_Toc113345106"/>
      <w:bookmarkStart w:id="2947" w:name="_Toc137461850"/>
      <w:bookmarkStart w:id="2948" w:name="_Toc137471441"/>
      <w:bookmarkStart w:id="2949" w:name="_Toc137471950"/>
      <w:r w:rsidRPr="003824FB">
        <w:t>Cleanliness</w:t>
      </w:r>
      <w:bookmarkEnd w:id="2941"/>
      <w:bookmarkEnd w:id="2942"/>
      <w:bookmarkEnd w:id="2943"/>
      <w:bookmarkEnd w:id="2944"/>
      <w:bookmarkEnd w:id="2945"/>
      <w:bookmarkEnd w:id="2946"/>
      <w:bookmarkEnd w:id="2947"/>
      <w:bookmarkEnd w:id="2948"/>
      <w:bookmarkEnd w:id="2949"/>
    </w:p>
    <w:p w14:paraId="0A05F267" w14:textId="77777777" w:rsidR="00847C04" w:rsidRPr="002C1510" w:rsidRDefault="00847C04" w:rsidP="002C1510">
      <w:pPr>
        <w:pStyle w:val="BodyText"/>
        <w:spacing w:after="160" w:line="259" w:lineRule="auto"/>
        <w:rPr>
          <w:spacing w:val="-2"/>
          <w:sz w:val="22"/>
          <w:szCs w:val="22"/>
        </w:rPr>
      </w:pPr>
      <w:r w:rsidRPr="002C1510">
        <w:rPr>
          <w:sz w:val="22"/>
          <w:szCs w:val="22"/>
        </w:rPr>
        <w:t>The</w:t>
      </w:r>
      <w:r w:rsidRPr="002C1510">
        <w:rPr>
          <w:spacing w:val="-4"/>
          <w:sz w:val="22"/>
          <w:szCs w:val="22"/>
        </w:rPr>
        <w:t xml:space="preserve"> </w:t>
      </w:r>
      <w:r w:rsidRPr="002C1510">
        <w:rPr>
          <w:sz w:val="22"/>
          <w:szCs w:val="22"/>
        </w:rPr>
        <w:t>pet</w:t>
      </w:r>
      <w:r w:rsidRPr="002C1510">
        <w:rPr>
          <w:spacing w:val="-2"/>
          <w:sz w:val="22"/>
          <w:szCs w:val="22"/>
        </w:rPr>
        <w:t xml:space="preserve"> </w:t>
      </w:r>
      <w:r w:rsidRPr="002C1510">
        <w:rPr>
          <w:sz w:val="22"/>
          <w:szCs w:val="22"/>
        </w:rPr>
        <w:t>owner</w:t>
      </w:r>
      <w:r w:rsidRPr="002C1510">
        <w:rPr>
          <w:spacing w:val="-2"/>
          <w:sz w:val="22"/>
          <w:szCs w:val="22"/>
        </w:rPr>
        <w:t xml:space="preserve"> </w:t>
      </w:r>
      <w:r w:rsidRPr="002C1510">
        <w:rPr>
          <w:sz w:val="22"/>
          <w:szCs w:val="22"/>
        </w:rPr>
        <w:t>shall</w:t>
      </w:r>
      <w:r w:rsidRPr="002C1510">
        <w:rPr>
          <w:spacing w:val="-2"/>
          <w:sz w:val="22"/>
          <w:szCs w:val="22"/>
        </w:rPr>
        <w:t xml:space="preserve"> </w:t>
      </w:r>
      <w:r w:rsidRPr="002C1510">
        <w:rPr>
          <w:sz w:val="22"/>
          <w:szCs w:val="22"/>
        </w:rPr>
        <w:t>be</w:t>
      </w:r>
      <w:r w:rsidRPr="002C1510">
        <w:rPr>
          <w:spacing w:val="-2"/>
          <w:sz w:val="22"/>
          <w:szCs w:val="22"/>
        </w:rPr>
        <w:t xml:space="preserve"> </w:t>
      </w:r>
      <w:r w:rsidRPr="002C1510">
        <w:rPr>
          <w:sz w:val="22"/>
          <w:szCs w:val="22"/>
        </w:rPr>
        <w:t>responsible</w:t>
      </w:r>
      <w:r w:rsidRPr="002C1510">
        <w:rPr>
          <w:spacing w:val="-2"/>
          <w:sz w:val="22"/>
          <w:szCs w:val="22"/>
        </w:rPr>
        <w:t xml:space="preserve"> </w:t>
      </w:r>
      <w:r w:rsidRPr="002C1510">
        <w:rPr>
          <w:sz w:val="22"/>
          <w:szCs w:val="22"/>
        </w:rPr>
        <w:t>for</w:t>
      </w:r>
      <w:r w:rsidRPr="002C1510">
        <w:rPr>
          <w:spacing w:val="-3"/>
          <w:sz w:val="22"/>
          <w:szCs w:val="22"/>
        </w:rPr>
        <w:t xml:space="preserve"> </w:t>
      </w:r>
      <w:r w:rsidRPr="002C1510">
        <w:rPr>
          <w:sz w:val="22"/>
          <w:szCs w:val="22"/>
        </w:rPr>
        <w:t>the</w:t>
      </w:r>
      <w:r w:rsidRPr="002C1510">
        <w:rPr>
          <w:spacing w:val="-2"/>
          <w:sz w:val="22"/>
          <w:szCs w:val="22"/>
        </w:rPr>
        <w:t xml:space="preserve"> </w:t>
      </w:r>
      <w:r w:rsidRPr="002C1510">
        <w:rPr>
          <w:sz w:val="22"/>
          <w:szCs w:val="22"/>
        </w:rPr>
        <w:t>removal of</w:t>
      </w:r>
      <w:r w:rsidRPr="002C1510">
        <w:rPr>
          <w:spacing w:val="-2"/>
          <w:sz w:val="22"/>
          <w:szCs w:val="22"/>
        </w:rPr>
        <w:t xml:space="preserve"> </w:t>
      </w:r>
      <w:r w:rsidRPr="002C1510">
        <w:rPr>
          <w:sz w:val="22"/>
          <w:szCs w:val="22"/>
        </w:rPr>
        <w:t>waste</w:t>
      </w:r>
      <w:r w:rsidRPr="002C1510">
        <w:rPr>
          <w:spacing w:val="-2"/>
          <w:sz w:val="22"/>
          <w:szCs w:val="22"/>
        </w:rPr>
        <w:t xml:space="preserve"> </w:t>
      </w:r>
      <w:r w:rsidRPr="002C1510">
        <w:rPr>
          <w:sz w:val="22"/>
          <w:szCs w:val="22"/>
        </w:rPr>
        <w:t>from</w:t>
      </w:r>
      <w:r w:rsidRPr="002C1510">
        <w:rPr>
          <w:spacing w:val="-2"/>
          <w:sz w:val="22"/>
          <w:szCs w:val="22"/>
        </w:rPr>
        <w:t xml:space="preserve"> </w:t>
      </w:r>
      <w:r w:rsidRPr="002C1510">
        <w:rPr>
          <w:sz w:val="22"/>
          <w:szCs w:val="22"/>
        </w:rPr>
        <w:t>any</w:t>
      </w:r>
      <w:r w:rsidRPr="002C1510">
        <w:rPr>
          <w:spacing w:val="-7"/>
          <w:sz w:val="22"/>
          <w:szCs w:val="22"/>
        </w:rPr>
        <w:t xml:space="preserve"> </w:t>
      </w:r>
      <w:r w:rsidRPr="002C1510">
        <w:rPr>
          <w:sz w:val="22"/>
          <w:szCs w:val="22"/>
        </w:rPr>
        <w:t>pet area</w:t>
      </w:r>
      <w:r w:rsidRPr="002C1510">
        <w:rPr>
          <w:spacing w:val="-3"/>
          <w:sz w:val="22"/>
          <w:szCs w:val="22"/>
        </w:rPr>
        <w:t xml:space="preserve"> </w:t>
      </w:r>
      <w:r w:rsidRPr="002C1510">
        <w:rPr>
          <w:sz w:val="22"/>
          <w:szCs w:val="22"/>
        </w:rPr>
        <w:t>by</w:t>
      </w:r>
      <w:r w:rsidRPr="002C1510">
        <w:rPr>
          <w:spacing w:val="-7"/>
          <w:sz w:val="22"/>
          <w:szCs w:val="22"/>
        </w:rPr>
        <w:t xml:space="preserve"> </w:t>
      </w:r>
      <w:r w:rsidRPr="002C1510">
        <w:rPr>
          <w:sz w:val="22"/>
          <w:szCs w:val="22"/>
        </w:rPr>
        <w:t xml:space="preserve">placing it in a sealed plastic bag and disposing of it in an outside trash container provided by </w:t>
      </w:r>
      <w:r w:rsidRPr="002C1510">
        <w:rPr>
          <w:spacing w:val="-2"/>
          <w:sz w:val="22"/>
          <w:szCs w:val="22"/>
        </w:rPr>
        <w:t>HHA.</w:t>
      </w:r>
    </w:p>
    <w:p w14:paraId="21311297" w14:textId="77777777" w:rsidR="00847C04" w:rsidRPr="002C1510" w:rsidRDefault="00847C04" w:rsidP="002C1510">
      <w:pPr>
        <w:pStyle w:val="BodyText"/>
        <w:spacing w:after="160" w:line="259" w:lineRule="auto"/>
        <w:rPr>
          <w:sz w:val="22"/>
          <w:szCs w:val="22"/>
        </w:rPr>
      </w:pPr>
      <w:r w:rsidRPr="002C1510">
        <w:rPr>
          <w:sz w:val="22"/>
          <w:szCs w:val="22"/>
        </w:rPr>
        <w:t>The</w:t>
      </w:r>
      <w:r w:rsidRPr="002C1510">
        <w:rPr>
          <w:spacing w:val="-5"/>
          <w:sz w:val="22"/>
          <w:szCs w:val="22"/>
        </w:rPr>
        <w:t xml:space="preserve"> </w:t>
      </w:r>
      <w:r w:rsidRPr="002C1510">
        <w:rPr>
          <w:sz w:val="22"/>
          <w:szCs w:val="22"/>
        </w:rPr>
        <w:t>pet</w:t>
      </w:r>
      <w:r w:rsidRPr="002C1510">
        <w:rPr>
          <w:spacing w:val="-3"/>
          <w:sz w:val="22"/>
          <w:szCs w:val="22"/>
        </w:rPr>
        <w:t xml:space="preserve"> </w:t>
      </w:r>
      <w:r w:rsidRPr="002C1510">
        <w:rPr>
          <w:sz w:val="22"/>
          <w:szCs w:val="22"/>
        </w:rPr>
        <w:t>owner</w:t>
      </w:r>
      <w:r w:rsidRPr="002C1510">
        <w:rPr>
          <w:spacing w:val="-3"/>
          <w:sz w:val="22"/>
          <w:szCs w:val="22"/>
        </w:rPr>
        <w:t xml:space="preserve"> </w:t>
      </w:r>
      <w:r w:rsidRPr="002C1510">
        <w:rPr>
          <w:sz w:val="22"/>
          <w:szCs w:val="22"/>
        </w:rPr>
        <w:t>shall</w:t>
      </w:r>
      <w:r w:rsidRPr="002C1510">
        <w:rPr>
          <w:spacing w:val="-3"/>
          <w:sz w:val="22"/>
          <w:szCs w:val="22"/>
        </w:rPr>
        <w:t xml:space="preserve"> </w:t>
      </w:r>
      <w:r w:rsidRPr="002C1510">
        <w:rPr>
          <w:sz w:val="22"/>
          <w:szCs w:val="22"/>
        </w:rPr>
        <w:t>take</w:t>
      </w:r>
      <w:r w:rsidRPr="002C1510">
        <w:rPr>
          <w:spacing w:val="-3"/>
          <w:sz w:val="22"/>
          <w:szCs w:val="22"/>
        </w:rPr>
        <w:t xml:space="preserve"> </w:t>
      </w:r>
      <w:r w:rsidRPr="002C1510">
        <w:rPr>
          <w:sz w:val="22"/>
          <w:szCs w:val="22"/>
        </w:rPr>
        <w:t>adequate</w:t>
      </w:r>
      <w:r w:rsidRPr="002C1510">
        <w:rPr>
          <w:spacing w:val="-3"/>
          <w:sz w:val="22"/>
          <w:szCs w:val="22"/>
        </w:rPr>
        <w:t xml:space="preserve"> </w:t>
      </w:r>
      <w:r w:rsidRPr="002C1510">
        <w:rPr>
          <w:sz w:val="22"/>
          <w:szCs w:val="22"/>
        </w:rPr>
        <w:t>precautions</w:t>
      </w:r>
      <w:r w:rsidRPr="002C1510">
        <w:rPr>
          <w:spacing w:val="-3"/>
          <w:sz w:val="22"/>
          <w:szCs w:val="22"/>
        </w:rPr>
        <w:t xml:space="preserve"> </w:t>
      </w:r>
      <w:r w:rsidRPr="002C1510">
        <w:rPr>
          <w:sz w:val="22"/>
          <w:szCs w:val="22"/>
        </w:rPr>
        <w:t>to</w:t>
      </w:r>
      <w:r w:rsidRPr="002C1510">
        <w:rPr>
          <w:spacing w:val="-3"/>
          <w:sz w:val="22"/>
          <w:szCs w:val="22"/>
        </w:rPr>
        <w:t xml:space="preserve"> </w:t>
      </w:r>
      <w:r w:rsidRPr="002C1510">
        <w:rPr>
          <w:sz w:val="22"/>
          <w:szCs w:val="22"/>
        </w:rPr>
        <w:t>eliminate</w:t>
      </w:r>
      <w:r w:rsidRPr="002C1510">
        <w:rPr>
          <w:spacing w:val="-3"/>
          <w:sz w:val="22"/>
          <w:szCs w:val="22"/>
        </w:rPr>
        <w:t xml:space="preserve"> </w:t>
      </w:r>
      <w:r w:rsidRPr="002C1510">
        <w:rPr>
          <w:sz w:val="22"/>
          <w:szCs w:val="22"/>
        </w:rPr>
        <w:t>any</w:t>
      </w:r>
      <w:r w:rsidRPr="002C1510">
        <w:rPr>
          <w:spacing w:val="-8"/>
          <w:sz w:val="22"/>
          <w:szCs w:val="22"/>
        </w:rPr>
        <w:t xml:space="preserve"> </w:t>
      </w:r>
      <w:r w:rsidRPr="002C1510">
        <w:rPr>
          <w:sz w:val="22"/>
          <w:szCs w:val="22"/>
        </w:rPr>
        <w:t>pet</w:t>
      </w:r>
      <w:r w:rsidRPr="002C1510">
        <w:rPr>
          <w:spacing w:val="-3"/>
          <w:sz w:val="22"/>
          <w:szCs w:val="22"/>
        </w:rPr>
        <w:t xml:space="preserve"> </w:t>
      </w:r>
      <w:r w:rsidRPr="002C1510">
        <w:rPr>
          <w:sz w:val="22"/>
          <w:szCs w:val="22"/>
        </w:rPr>
        <w:t>odors</w:t>
      </w:r>
      <w:r w:rsidRPr="002C1510">
        <w:rPr>
          <w:spacing w:val="-3"/>
          <w:sz w:val="22"/>
          <w:szCs w:val="22"/>
        </w:rPr>
        <w:t xml:space="preserve"> </w:t>
      </w:r>
      <w:r w:rsidRPr="002C1510">
        <w:rPr>
          <w:sz w:val="22"/>
          <w:szCs w:val="22"/>
        </w:rPr>
        <w:t>within</w:t>
      </w:r>
      <w:r w:rsidRPr="002C1510">
        <w:rPr>
          <w:spacing w:val="-3"/>
          <w:sz w:val="22"/>
          <w:szCs w:val="22"/>
        </w:rPr>
        <w:t xml:space="preserve"> </w:t>
      </w:r>
      <w:r w:rsidRPr="002C1510">
        <w:rPr>
          <w:sz w:val="22"/>
          <w:szCs w:val="22"/>
        </w:rPr>
        <w:t>or around the unit and to maintain the unit in a sanitary condition at all times.</w:t>
      </w:r>
    </w:p>
    <w:p w14:paraId="72A2F508" w14:textId="77777777" w:rsidR="00847C04" w:rsidRPr="002C1510" w:rsidRDefault="00847C04" w:rsidP="002C1510">
      <w:pPr>
        <w:pStyle w:val="BodyText"/>
        <w:spacing w:after="160" w:line="259" w:lineRule="auto"/>
        <w:rPr>
          <w:sz w:val="22"/>
          <w:szCs w:val="22"/>
        </w:rPr>
      </w:pPr>
      <w:r w:rsidRPr="002C1510">
        <w:rPr>
          <w:sz w:val="22"/>
          <w:szCs w:val="22"/>
        </w:rPr>
        <w:t>Litter</w:t>
      </w:r>
      <w:r w:rsidRPr="002C1510">
        <w:rPr>
          <w:spacing w:val="-4"/>
          <w:sz w:val="22"/>
          <w:szCs w:val="22"/>
        </w:rPr>
        <w:t xml:space="preserve"> </w:t>
      </w:r>
      <w:r w:rsidRPr="002C1510">
        <w:rPr>
          <w:sz w:val="22"/>
          <w:szCs w:val="22"/>
        </w:rPr>
        <w:t>box</w:t>
      </w:r>
      <w:r w:rsidRPr="002C1510">
        <w:rPr>
          <w:spacing w:val="1"/>
          <w:sz w:val="22"/>
          <w:szCs w:val="22"/>
        </w:rPr>
        <w:t xml:space="preserve"> </w:t>
      </w:r>
      <w:r w:rsidRPr="002C1510">
        <w:rPr>
          <w:spacing w:val="-2"/>
          <w:sz w:val="22"/>
          <w:szCs w:val="22"/>
        </w:rPr>
        <w:t>requirements:</w:t>
      </w:r>
    </w:p>
    <w:p w14:paraId="709F2D5D" w14:textId="77777777" w:rsidR="00847C04" w:rsidRPr="002C1510" w:rsidRDefault="00847C04" w:rsidP="007F177E">
      <w:pPr>
        <w:pStyle w:val="BodyText"/>
        <w:widowControl/>
        <w:numPr>
          <w:ilvl w:val="0"/>
          <w:numId w:val="105"/>
        </w:numPr>
        <w:autoSpaceDE/>
        <w:autoSpaceDN/>
        <w:spacing w:after="160" w:line="259" w:lineRule="auto"/>
        <w:jc w:val="both"/>
        <w:rPr>
          <w:sz w:val="22"/>
          <w:szCs w:val="22"/>
        </w:rPr>
      </w:pPr>
      <w:r w:rsidRPr="002C1510">
        <w:rPr>
          <w:sz w:val="22"/>
          <w:szCs w:val="22"/>
        </w:rPr>
        <w:t>Pet</w:t>
      </w:r>
      <w:r w:rsidRPr="002C1510">
        <w:rPr>
          <w:spacing w:val="-3"/>
          <w:sz w:val="22"/>
          <w:szCs w:val="22"/>
        </w:rPr>
        <w:t xml:space="preserve"> </w:t>
      </w:r>
      <w:r w:rsidRPr="002C1510">
        <w:rPr>
          <w:sz w:val="22"/>
          <w:szCs w:val="22"/>
        </w:rPr>
        <w:t>owners</w:t>
      </w:r>
      <w:r w:rsidRPr="002C1510">
        <w:rPr>
          <w:spacing w:val="-3"/>
          <w:sz w:val="22"/>
          <w:szCs w:val="22"/>
        </w:rPr>
        <w:t xml:space="preserve"> </w:t>
      </w:r>
      <w:r w:rsidRPr="002C1510">
        <w:rPr>
          <w:sz w:val="22"/>
          <w:szCs w:val="22"/>
        </w:rPr>
        <w:t>must</w:t>
      </w:r>
      <w:r w:rsidRPr="002C1510">
        <w:rPr>
          <w:spacing w:val="-3"/>
          <w:sz w:val="22"/>
          <w:szCs w:val="22"/>
        </w:rPr>
        <w:t xml:space="preserve"> </w:t>
      </w:r>
      <w:r w:rsidRPr="002C1510">
        <w:rPr>
          <w:sz w:val="22"/>
          <w:szCs w:val="22"/>
        </w:rPr>
        <w:t>promptly</w:t>
      </w:r>
      <w:r w:rsidRPr="002C1510">
        <w:rPr>
          <w:spacing w:val="-6"/>
          <w:sz w:val="22"/>
          <w:szCs w:val="22"/>
        </w:rPr>
        <w:t xml:space="preserve"> </w:t>
      </w:r>
      <w:r w:rsidRPr="002C1510">
        <w:rPr>
          <w:sz w:val="22"/>
          <w:szCs w:val="22"/>
        </w:rPr>
        <w:t>dispose</w:t>
      </w:r>
      <w:r w:rsidRPr="002C1510">
        <w:rPr>
          <w:spacing w:val="-4"/>
          <w:sz w:val="22"/>
          <w:szCs w:val="22"/>
        </w:rPr>
        <w:t xml:space="preserve"> </w:t>
      </w:r>
      <w:r w:rsidRPr="002C1510">
        <w:rPr>
          <w:sz w:val="22"/>
          <w:szCs w:val="22"/>
        </w:rPr>
        <w:t>of</w:t>
      </w:r>
      <w:r w:rsidRPr="002C1510">
        <w:rPr>
          <w:spacing w:val="-2"/>
          <w:sz w:val="22"/>
          <w:szCs w:val="22"/>
        </w:rPr>
        <w:t xml:space="preserve"> </w:t>
      </w:r>
      <w:r w:rsidRPr="002C1510">
        <w:rPr>
          <w:sz w:val="22"/>
          <w:szCs w:val="22"/>
        </w:rPr>
        <w:t>waste</w:t>
      </w:r>
      <w:r w:rsidRPr="002C1510">
        <w:rPr>
          <w:spacing w:val="-3"/>
          <w:sz w:val="22"/>
          <w:szCs w:val="22"/>
        </w:rPr>
        <w:t xml:space="preserve"> </w:t>
      </w:r>
      <w:r w:rsidRPr="002C1510">
        <w:rPr>
          <w:sz w:val="22"/>
          <w:szCs w:val="22"/>
        </w:rPr>
        <w:t>from</w:t>
      </w:r>
      <w:r w:rsidRPr="002C1510">
        <w:rPr>
          <w:spacing w:val="-3"/>
          <w:sz w:val="22"/>
          <w:szCs w:val="22"/>
        </w:rPr>
        <w:t xml:space="preserve"> </w:t>
      </w:r>
      <w:r w:rsidRPr="002C1510">
        <w:rPr>
          <w:sz w:val="22"/>
          <w:szCs w:val="22"/>
        </w:rPr>
        <w:t>litter</w:t>
      </w:r>
      <w:r w:rsidRPr="002C1510">
        <w:rPr>
          <w:spacing w:val="-3"/>
          <w:sz w:val="22"/>
          <w:szCs w:val="22"/>
        </w:rPr>
        <w:t xml:space="preserve"> </w:t>
      </w:r>
      <w:r w:rsidRPr="002C1510">
        <w:rPr>
          <w:sz w:val="22"/>
          <w:szCs w:val="22"/>
        </w:rPr>
        <w:t>boxes in</w:t>
      </w:r>
      <w:r w:rsidRPr="002C1510">
        <w:rPr>
          <w:spacing w:val="-3"/>
          <w:sz w:val="22"/>
          <w:szCs w:val="22"/>
        </w:rPr>
        <w:t xml:space="preserve"> </w:t>
      </w:r>
      <w:r w:rsidRPr="002C1510">
        <w:rPr>
          <w:sz w:val="22"/>
          <w:szCs w:val="22"/>
        </w:rPr>
        <w:t>sealed</w:t>
      </w:r>
      <w:r w:rsidRPr="002C1510">
        <w:rPr>
          <w:spacing w:val="-3"/>
          <w:sz w:val="22"/>
          <w:szCs w:val="22"/>
        </w:rPr>
        <w:t xml:space="preserve"> </w:t>
      </w:r>
      <w:r w:rsidRPr="002C1510">
        <w:rPr>
          <w:sz w:val="22"/>
          <w:szCs w:val="22"/>
        </w:rPr>
        <w:t xml:space="preserve">plastic trash bags, placed in a trash bin, and must maintain litter boxes in a sanitary </w:t>
      </w:r>
      <w:r w:rsidRPr="002C1510">
        <w:rPr>
          <w:spacing w:val="-2"/>
          <w:sz w:val="22"/>
          <w:szCs w:val="22"/>
        </w:rPr>
        <w:t>manner.</w:t>
      </w:r>
    </w:p>
    <w:p w14:paraId="259C338F" w14:textId="77777777" w:rsidR="00847C04" w:rsidRDefault="00847C04" w:rsidP="007F177E">
      <w:pPr>
        <w:pStyle w:val="BodyText"/>
        <w:widowControl/>
        <w:numPr>
          <w:ilvl w:val="0"/>
          <w:numId w:val="105"/>
        </w:numPr>
        <w:autoSpaceDE/>
        <w:autoSpaceDN/>
        <w:spacing w:after="160" w:line="259" w:lineRule="auto"/>
        <w:jc w:val="both"/>
        <w:rPr>
          <w:sz w:val="22"/>
          <w:szCs w:val="22"/>
        </w:rPr>
      </w:pPr>
      <w:r w:rsidRPr="002C1510">
        <w:rPr>
          <w:sz w:val="22"/>
          <w:szCs w:val="22"/>
        </w:rPr>
        <w:t>Litter</w:t>
      </w:r>
      <w:r w:rsidRPr="002C1510">
        <w:rPr>
          <w:spacing w:val="-5"/>
          <w:sz w:val="22"/>
          <w:szCs w:val="22"/>
        </w:rPr>
        <w:t xml:space="preserve"> </w:t>
      </w:r>
      <w:r w:rsidRPr="002C1510">
        <w:rPr>
          <w:sz w:val="22"/>
          <w:szCs w:val="22"/>
        </w:rPr>
        <w:t>shall</w:t>
      </w:r>
      <w:r w:rsidRPr="002C1510">
        <w:rPr>
          <w:spacing w:val="-3"/>
          <w:sz w:val="22"/>
          <w:szCs w:val="22"/>
        </w:rPr>
        <w:t xml:space="preserve"> </w:t>
      </w:r>
      <w:r w:rsidRPr="002C1510">
        <w:rPr>
          <w:sz w:val="22"/>
          <w:szCs w:val="22"/>
        </w:rPr>
        <w:t>not</w:t>
      </w:r>
      <w:r w:rsidRPr="002C1510">
        <w:rPr>
          <w:spacing w:val="-3"/>
          <w:sz w:val="22"/>
          <w:szCs w:val="22"/>
        </w:rPr>
        <w:t xml:space="preserve"> </w:t>
      </w:r>
      <w:r w:rsidRPr="002C1510">
        <w:rPr>
          <w:sz w:val="22"/>
          <w:szCs w:val="22"/>
        </w:rPr>
        <w:t>be</w:t>
      </w:r>
      <w:r w:rsidRPr="002C1510">
        <w:rPr>
          <w:spacing w:val="-4"/>
          <w:sz w:val="22"/>
          <w:szCs w:val="22"/>
        </w:rPr>
        <w:t xml:space="preserve"> </w:t>
      </w:r>
      <w:r w:rsidRPr="002C1510">
        <w:rPr>
          <w:sz w:val="22"/>
          <w:szCs w:val="22"/>
        </w:rPr>
        <w:t>disposed</w:t>
      </w:r>
      <w:r w:rsidRPr="002C1510">
        <w:rPr>
          <w:spacing w:val="-3"/>
          <w:sz w:val="22"/>
          <w:szCs w:val="22"/>
        </w:rPr>
        <w:t xml:space="preserve"> </w:t>
      </w:r>
      <w:r w:rsidRPr="002C1510">
        <w:rPr>
          <w:sz w:val="22"/>
          <w:szCs w:val="22"/>
        </w:rPr>
        <w:t>of</w:t>
      </w:r>
      <w:r w:rsidRPr="002C1510">
        <w:rPr>
          <w:spacing w:val="-3"/>
          <w:sz w:val="22"/>
          <w:szCs w:val="22"/>
        </w:rPr>
        <w:t xml:space="preserve"> </w:t>
      </w:r>
      <w:r w:rsidRPr="002C1510">
        <w:rPr>
          <w:sz w:val="22"/>
          <w:szCs w:val="22"/>
        </w:rPr>
        <w:t>by</w:t>
      </w:r>
      <w:r w:rsidRPr="002C1510">
        <w:rPr>
          <w:spacing w:val="-8"/>
          <w:sz w:val="22"/>
          <w:szCs w:val="22"/>
        </w:rPr>
        <w:t xml:space="preserve"> </w:t>
      </w:r>
      <w:r w:rsidRPr="002C1510">
        <w:rPr>
          <w:sz w:val="22"/>
          <w:szCs w:val="22"/>
        </w:rPr>
        <w:t>being</w:t>
      </w:r>
      <w:r w:rsidRPr="002C1510">
        <w:rPr>
          <w:spacing w:val="-6"/>
          <w:sz w:val="22"/>
          <w:szCs w:val="22"/>
        </w:rPr>
        <w:t xml:space="preserve"> </w:t>
      </w:r>
      <w:r w:rsidRPr="002C1510">
        <w:rPr>
          <w:sz w:val="22"/>
          <w:szCs w:val="22"/>
        </w:rPr>
        <w:t>flushed</w:t>
      </w:r>
      <w:r w:rsidRPr="002C1510">
        <w:rPr>
          <w:spacing w:val="-3"/>
          <w:sz w:val="22"/>
          <w:szCs w:val="22"/>
        </w:rPr>
        <w:t xml:space="preserve"> </w:t>
      </w:r>
      <w:r w:rsidRPr="002C1510">
        <w:rPr>
          <w:sz w:val="22"/>
          <w:szCs w:val="22"/>
        </w:rPr>
        <w:t>through</w:t>
      </w:r>
      <w:r w:rsidRPr="002C1510">
        <w:rPr>
          <w:spacing w:val="-1"/>
          <w:sz w:val="22"/>
          <w:szCs w:val="22"/>
        </w:rPr>
        <w:t xml:space="preserve"> </w:t>
      </w:r>
      <w:r w:rsidRPr="002C1510">
        <w:rPr>
          <w:sz w:val="22"/>
          <w:szCs w:val="22"/>
        </w:rPr>
        <w:t>a</w:t>
      </w:r>
      <w:r w:rsidRPr="002C1510">
        <w:rPr>
          <w:spacing w:val="-4"/>
          <w:sz w:val="22"/>
          <w:szCs w:val="22"/>
        </w:rPr>
        <w:t xml:space="preserve"> </w:t>
      </w:r>
      <w:r w:rsidRPr="002C1510">
        <w:rPr>
          <w:sz w:val="22"/>
          <w:szCs w:val="22"/>
        </w:rPr>
        <w:t>toilet. Litter boxes shall be kept inside the resident’s dwelling unit.</w:t>
      </w:r>
    </w:p>
    <w:p w14:paraId="7472C8A4" w14:textId="77777777" w:rsidR="001F0BE0" w:rsidRPr="002C1510" w:rsidRDefault="001F0BE0" w:rsidP="001F0BE0">
      <w:pPr>
        <w:pStyle w:val="BodyText"/>
        <w:widowControl/>
        <w:autoSpaceDE/>
        <w:autoSpaceDN/>
        <w:spacing w:after="160" w:line="259" w:lineRule="auto"/>
        <w:jc w:val="both"/>
        <w:rPr>
          <w:sz w:val="22"/>
          <w:szCs w:val="22"/>
        </w:rPr>
      </w:pPr>
      <w:r>
        <w:rPr>
          <w:sz w:val="22"/>
          <w:szCs w:val="22"/>
        </w:rPr>
        <w:t>Dishes or containers for food and water will be located within the owner’s apartment. Food and/or table scraps will not be deposited on the owner’s porches or yards.</w:t>
      </w:r>
    </w:p>
    <w:p w14:paraId="728837A8" w14:textId="77777777" w:rsidR="00847C04" w:rsidRPr="003824FB" w:rsidRDefault="00847C04" w:rsidP="00545624">
      <w:pPr>
        <w:pStyle w:val="Heading4"/>
      </w:pPr>
      <w:bookmarkStart w:id="2950" w:name="_Toc70048715"/>
      <w:bookmarkStart w:id="2951" w:name="_Toc106037968"/>
      <w:bookmarkStart w:id="2952" w:name="_Toc106201607"/>
      <w:bookmarkStart w:id="2953" w:name="_Toc106202126"/>
      <w:bookmarkStart w:id="2954" w:name="_Toc106202652"/>
      <w:bookmarkStart w:id="2955" w:name="_Toc113345108"/>
      <w:bookmarkStart w:id="2956" w:name="_Toc137461852"/>
      <w:bookmarkStart w:id="2957" w:name="_Toc137471443"/>
      <w:bookmarkStart w:id="2958" w:name="_Toc137471952"/>
      <w:r w:rsidRPr="003824FB">
        <w:t>Noise</w:t>
      </w:r>
      <w:bookmarkEnd w:id="2950"/>
      <w:bookmarkEnd w:id="2951"/>
      <w:bookmarkEnd w:id="2952"/>
      <w:bookmarkEnd w:id="2953"/>
      <w:bookmarkEnd w:id="2954"/>
      <w:bookmarkEnd w:id="2955"/>
      <w:bookmarkEnd w:id="2956"/>
      <w:bookmarkEnd w:id="2957"/>
      <w:bookmarkEnd w:id="2958"/>
    </w:p>
    <w:p w14:paraId="6ECC2070" w14:textId="77777777" w:rsidR="00847C04" w:rsidRDefault="00847C04" w:rsidP="00847C04">
      <w:r w:rsidRPr="00D81534">
        <w:t>Pet owners must agree to control the noise of pets so that such noise does not constitute a nuisance to other residents or interrupt their peaceful enjoyment of their housing unit or premises. This includes, but is not limited to loud or continuous barking, howling, whining, biting, scratching, chirping, or other such activities.</w:t>
      </w:r>
    </w:p>
    <w:p w14:paraId="280564FF" w14:textId="77777777" w:rsidR="00847C04" w:rsidRPr="003824FB" w:rsidRDefault="00847C04" w:rsidP="00545624">
      <w:pPr>
        <w:pStyle w:val="Heading4"/>
      </w:pPr>
      <w:bookmarkStart w:id="2959" w:name="_Toc106037969"/>
      <w:bookmarkStart w:id="2960" w:name="_Toc106201608"/>
      <w:bookmarkStart w:id="2961" w:name="_Toc106202127"/>
      <w:bookmarkStart w:id="2962" w:name="_Toc106202653"/>
      <w:bookmarkStart w:id="2963" w:name="_Toc113345109"/>
      <w:bookmarkStart w:id="2964" w:name="_Toc137461853"/>
      <w:bookmarkStart w:id="2965" w:name="_Toc137471444"/>
      <w:bookmarkStart w:id="2966" w:name="_Toc137471953"/>
      <w:r w:rsidRPr="003824FB">
        <w:t>Pet Care</w:t>
      </w:r>
      <w:bookmarkEnd w:id="2959"/>
      <w:bookmarkEnd w:id="2960"/>
      <w:bookmarkEnd w:id="2961"/>
      <w:bookmarkEnd w:id="2962"/>
      <w:bookmarkEnd w:id="2963"/>
      <w:bookmarkEnd w:id="2964"/>
      <w:bookmarkEnd w:id="2965"/>
      <w:bookmarkEnd w:id="2966"/>
    </w:p>
    <w:p w14:paraId="72004B4C" w14:textId="77777777" w:rsidR="00847C04" w:rsidRPr="00545624" w:rsidRDefault="00847C04" w:rsidP="00A258EB">
      <w:pPr>
        <w:pStyle w:val="BodyText"/>
        <w:spacing w:after="160" w:line="259" w:lineRule="auto"/>
        <w:ind w:right="-14"/>
        <w:jc w:val="both"/>
        <w:rPr>
          <w:rFonts w:eastAsiaTheme="minorHAnsi" w:cstheme="minorBidi"/>
          <w:kern w:val="2"/>
          <w:sz w:val="22"/>
          <w:szCs w:val="22"/>
          <w:lang w:bidi="ar-SA"/>
          <w14:ligatures w14:val="standardContextual"/>
        </w:rPr>
      </w:pPr>
      <w:r w:rsidRPr="00545624">
        <w:rPr>
          <w:rFonts w:eastAsiaTheme="minorHAnsi" w:cstheme="minorBidi"/>
          <w:kern w:val="2"/>
          <w:sz w:val="22"/>
          <w:szCs w:val="22"/>
          <w:lang w:bidi="ar-SA"/>
          <w14:ligatures w14:val="standardContextual"/>
        </w:rPr>
        <w:t xml:space="preserve">Each pet owner shall be responsible for adequate care, nutrition, exercise and medical attention for </w:t>
      </w:r>
      <w:r w:rsidR="00545624" w:rsidRPr="00545624">
        <w:rPr>
          <w:rFonts w:eastAsiaTheme="minorHAnsi" w:cstheme="minorBidi"/>
          <w:kern w:val="2"/>
          <w:sz w:val="22"/>
          <w:szCs w:val="22"/>
          <w:lang w:bidi="ar-SA"/>
          <w14:ligatures w14:val="standardContextual"/>
        </w:rPr>
        <w:t>their</w:t>
      </w:r>
      <w:r w:rsidRPr="00545624">
        <w:rPr>
          <w:rFonts w:eastAsiaTheme="minorHAnsi" w:cstheme="minorBidi"/>
          <w:kern w:val="2"/>
          <w:sz w:val="22"/>
          <w:szCs w:val="22"/>
          <w:lang w:bidi="ar-SA"/>
          <w14:ligatures w14:val="standardContextual"/>
        </w:rPr>
        <w:t xml:space="preserve"> pet.</w:t>
      </w:r>
    </w:p>
    <w:p w14:paraId="10559973" w14:textId="77777777" w:rsidR="00847C04" w:rsidRPr="00545624" w:rsidRDefault="00847C04" w:rsidP="007F177E">
      <w:pPr>
        <w:pStyle w:val="BodyText"/>
        <w:numPr>
          <w:ilvl w:val="0"/>
          <w:numId w:val="272"/>
        </w:numPr>
        <w:spacing w:after="160" w:line="259" w:lineRule="auto"/>
        <w:ind w:right="-14"/>
        <w:jc w:val="both"/>
        <w:rPr>
          <w:rFonts w:eastAsiaTheme="minorHAnsi" w:cstheme="minorBidi"/>
          <w:kern w:val="2"/>
          <w:sz w:val="22"/>
          <w:szCs w:val="22"/>
          <w:lang w:bidi="ar-SA"/>
          <w14:ligatures w14:val="standardContextual"/>
        </w:rPr>
      </w:pPr>
      <w:r w:rsidRPr="00545624">
        <w:rPr>
          <w:rFonts w:eastAsiaTheme="minorHAnsi" w:cstheme="minorBidi"/>
          <w:kern w:val="2"/>
          <w:sz w:val="22"/>
          <w:szCs w:val="22"/>
          <w:lang w:bidi="ar-SA"/>
          <w14:ligatures w14:val="standardContextual"/>
        </w:rPr>
        <w:t xml:space="preserve">Each pet owner shall be responsible for appropriately training and caring for </w:t>
      </w:r>
      <w:r w:rsidR="00545624" w:rsidRPr="00545624">
        <w:rPr>
          <w:rFonts w:eastAsiaTheme="minorHAnsi" w:cstheme="minorBidi"/>
          <w:kern w:val="2"/>
          <w:sz w:val="22"/>
          <w:szCs w:val="22"/>
          <w:lang w:bidi="ar-SA"/>
          <w14:ligatures w14:val="standardContextual"/>
        </w:rPr>
        <w:t>their</w:t>
      </w:r>
      <w:r w:rsidRPr="00545624">
        <w:rPr>
          <w:rFonts w:eastAsiaTheme="minorHAnsi" w:cstheme="minorBidi"/>
          <w:kern w:val="2"/>
          <w:sz w:val="22"/>
          <w:szCs w:val="22"/>
          <w:lang w:bidi="ar-SA"/>
          <w14:ligatures w14:val="standardContextual"/>
        </w:rPr>
        <w:t xml:space="preserve"> pet to ensure that the pet is not a nuisance or danger to other residents and does not damage HHA property.</w:t>
      </w:r>
    </w:p>
    <w:p w14:paraId="3EEC878D" w14:textId="77777777" w:rsidR="00847C04" w:rsidRPr="00545624" w:rsidRDefault="00847C04" w:rsidP="007F177E">
      <w:pPr>
        <w:pStyle w:val="BodyText"/>
        <w:numPr>
          <w:ilvl w:val="0"/>
          <w:numId w:val="272"/>
        </w:numPr>
        <w:spacing w:after="160" w:line="259" w:lineRule="auto"/>
        <w:ind w:right="-14"/>
        <w:jc w:val="both"/>
        <w:rPr>
          <w:rFonts w:eastAsiaTheme="minorHAnsi" w:cstheme="minorBidi"/>
          <w:kern w:val="2"/>
          <w:sz w:val="22"/>
          <w:szCs w:val="22"/>
          <w:lang w:bidi="ar-SA"/>
          <w14:ligatures w14:val="standardContextual"/>
        </w:rPr>
      </w:pPr>
      <w:r w:rsidRPr="00545624">
        <w:rPr>
          <w:rFonts w:eastAsiaTheme="minorHAnsi" w:cstheme="minorBidi"/>
          <w:kern w:val="2"/>
          <w:sz w:val="22"/>
          <w:szCs w:val="22"/>
          <w:lang w:bidi="ar-SA"/>
          <w14:ligatures w14:val="standardContextual"/>
        </w:rPr>
        <w:t>No animals may be tethered or chained inside or outside the dwelling unit at any time.</w:t>
      </w:r>
    </w:p>
    <w:p w14:paraId="1318FD99" w14:textId="77777777" w:rsidR="00847C04" w:rsidRPr="00545624" w:rsidRDefault="00847C04" w:rsidP="007F177E">
      <w:pPr>
        <w:pStyle w:val="BodyText"/>
        <w:numPr>
          <w:ilvl w:val="0"/>
          <w:numId w:val="272"/>
        </w:numPr>
        <w:spacing w:after="160" w:line="259" w:lineRule="auto"/>
        <w:ind w:right="-14"/>
        <w:jc w:val="both"/>
        <w:rPr>
          <w:rFonts w:eastAsiaTheme="minorHAnsi" w:cstheme="minorBidi"/>
          <w:kern w:val="2"/>
          <w:sz w:val="22"/>
          <w:szCs w:val="22"/>
          <w:lang w:bidi="ar-SA"/>
          <w14:ligatures w14:val="standardContextual"/>
        </w:rPr>
      </w:pPr>
      <w:r w:rsidRPr="00545624">
        <w:rPr>
          <w:rFonts w:eastAsiaTheme="minorHAnsi" w:cstheme="minorBidi"/>
          <w:kern w:val="2"/>
          <w:sz w:val="22"/>
          <w:szCs w:val="22"/>
          <w:lang w:bidi="ar-SA"/>
          <w14:ligatures w14:val="standardContextual"/>
        </w:rPr>
        <w:t>No pet (including fish) may be left unattended in any unit for a period in excess of 24 hours.</w:t>
      </w:r>
    </w:p>
    <w:p w14:paraId="40C59419" w14:textId="77777777" w:rsidR="00847C04" w:rsidRPr="00545624" w:rsidRDefault="00847C04" w:rsidP="007F177E">
      <w:pPr>
        <w:pStyle w:val="BodyText"/>
        <w:numPr>
          <w:ilvl w:val="0"/>
          <w:numId w:val="272"/>
        </w:numPr>
        <w:spacing w:after="160" w:line="259" w:lineRule="auto"/>
        <w:ind w:right="-14"/>
        <w:jc w:val="both"/>
        <w:rPr>
          <w:rFonts w:eastAsiaTheme="minorHAnsi" w:cstheme="minorBidi"/>
          <w:kern w:val="2"/>
          <w:sz w:val="22"/>
          <w:szCs w:val="22"/>
          <w:lang w:bidi="ar-SA"/>
          <w14:ligatures w14:val="standardContextual"/>
        </w:rPr>
      </w:pPr>
      <w:r w:rsidRPr="00545624">
        <w:rPr>
          <w:rFonts w:eastAsiaTheme="minorHAnsi" w:cstheme="minorBidi"/>
          <w:kern w:val="2"/>
          <w:sz w:val="22"/>
          <w:szCs w:val="22"/>
          <w:lang w:bidi="ar-SA"/>
          <w14:ligatures w14:val="standardContextual"/>
        </w:rPr>
        <w:t>Pet owners must exercise courtesy with respect to other residents and not allow the pet to cause any fear or illness to other residents.</w:t>
      </w:r>
    </w:p>
    <w:p w14:paraId="76CF61CA" w14:textId="77777777" w:rsidR="00847C04" w:rsidRPr="00545624" w:rsidRDefault="00847C04" w:rsidP="007F177E">
      <w:pPr>
        <w:pStyle w:val="BodyText"/>
        <w:numPr>
          <w:ilvl w:val="0"/>
          <w:numId w:val="272"/>
        </w:numPr>
        <w:spacing w:after="160" w:line="259" w:lineRule="auto"/>
        <w:ind w:right="-14"/>
        <w:jc w:val="both"/>
        <w:rPr>
          <w:rFonts w:eastAsiaTheme="minorHAnsi" w:cstheme="minorBidi"/>
          <w:kern w:val="2"/>
          <w:sz w:val="22"/>
          <w:szCs w:val="22"/>
          <w:lang w:bidi="ar-SA"/>
          <w14:ligatures w14:val="standardContextual"/>
        </w:rPr>
      </w:pPr>
      <w:r w:rsidRPr="00545624">
        <w:rPr>
          <w:rFonts w:eastAsiaTheme="minorHAnsi" w:cstheme="minorBidi"/>
          <w:kern w:val="2"/>
          <w:sz w:val="22"/>
          <w:szCs w:val="22"/>
          <w:lang w:bidi="ar-SA"/>
          <w14:ligatures w14:val="standardContextual"/>
        </w:rPr>
        <w:t>HHA may, after reasonable notice to the tenant, enter and inspect the unit, in addition to any other inspections allowed by HUD policy.</w:t>
      </w:r>
    </w:p>
    <w:p w14:paraId="0CE77301" w14:textId="77777777" w:rsidR="00847C04" w:rsidRPr="003824FB" w:rsidRDefault="00847C04" w:rsidP="00A258EB">
      <w:pPr>
        <w:pStyle w:val="Heading4"/>
      </w:pPr>
      <w:bookmarkStart w:id="2967" w:name="_Toc70048716"/>
      <w:bookmarkStart w:id="2968" w:name="_Toc106037970"/>
      <w:bookmarkStart w:id="2969" w:name="_Toc106201609"/>
      <w:bookmarkStart w:id="2970" w:name="_Toc106202128"/>
      <w:bookmarkStart w:id="2971" w:name="_Toc106202654"/>
      <w:bookmarkStart w:id="2972" w:name="_Toc113345110"/>
      <w:bookmarkStart w:id="2973" w:name="_Toc137461854"/>
      <w:bookmarkStart w:id="2974" w:name="_Toc137471445"/>
      <w:bookmarkStart w:id="2975" w:name="_Toc137471954"/>
      <w:r w:rsidRPr="003824FB">
        <w:t>Responsible Parties</w:t>
      </w:r>
      <w:bookmarkEnd w:id="2967"/>
      <w:bookmarkEnd w:id="2968"/>
      <w:bookmarkEnd w:id="2969"/>
      <w:bookmarkEnd w:id="2970"/>
      <w:bookmarkEnd w:id="2971"/>
      <w:bookmarkEnd w:id="2972"/>
      <w:bookmarkEnd w:id="2973"/>
      <w:bookmarkEnd w:id="2974"/>
      <w:bookmarkEnd w:id="2975"/>
    </w:p>
    <w:p w14:paraId="2633A124" w14:textId="77777777" w:rsidR="00847C04" w:rsidRPr="00A258EB" w:rsidRDefault="00847C04" w:rsidP="00A258EB">
      <w:pPr>
        <w:pStyle w:val="BodyText"/>
        <w:spacing w:after="160" w:line="259" w:lineRule="auto"/>
        <w:jc w:val="both"/>
        <w:rPr>
          <w:sz w:val="22"/>
          <w:szCs w:val="22"/>
        </w:rPr>
      </w:pPr>
      <w:r w:rsidRPr="00A258EB">
        <w:rPr>
          <w:sz w:val="22"/>
          <w:szCs w:val="22"/>
        </w:rPr>
        <w:t>The</w:t>
      </w:r>
      <w:r w:rsidRPr="00A258EB">
        <w:rPr>
          <w:spacing w:val="-5"/>
          <w:sz w:val="22"/>
          <w:szCs w:val="22"/>
        </w:rPr>
        <w:t xml:space="preserve"> </w:t>
      </w:r>
      <w:r w:rsidRPr="00A258EB">
        <w:rPr>
          <w:sz w:val="22"/>
          <w:szCs w:val="22"/>
        </w:rPr>
        <w:t>pet</w:t>
      </w:r>
      <w:r w:rsidRPr="00A258EB">
        <w:rPr>
          <w:spacing w:val="-3"/>
          <w:sz w:val="22"/>
          <w:szCs w:val="22"/>
        </w:rPr>
        <w:t xml:space="preserve"> </w:t>
      </w:r>
      <w:r w:rsidRPr="00A258EB">
        <w:rPr>
          <w:sz w:val="22"/>
          <w:szCs w:val="22"/>
        </w:rPr>
        <w:t>owner</w:t>
      </w:r>
      <w:r w:rsidRPr="00A258EB">
        <w:rPr>
          <w:spacing w:val="-3"/>
          <w:sz w:val="22"/>
          <w:szCs w:val="22"/>
        </w:rPr>
        <w:t xml:space="preserve"> </w:t>
      </w:r>
      <w:r w:rsidRPr="00A258EB">
        <w:rPr>
          <w:sz w:val="22"/>
          <w:szCs w:val="22"/>
        </w:rPr>
        <w:t>will</w:t>
      </w:r>
      <w:r w:rsidRPr="00A258EB">
        <w:rPr>
          <w:spacing w:val="-3"/>
          <w:sz w:val="22"/>
          <w:szCs w:val="22"/>
        </w:rPr>
        <w:t xml:space="preserve"> </w:t>
      </w:r>
      <w:r w:rsidRPr="00A258EB">
        <w:rPr>
          <w:sz w:val="22"/>
          <w:szCs w:val="22"/>
        </w:rPr>
        <w:t>be</w:t>
      </w:r>
      <w:r w:rsidRPr="00A258EB">
        <w:rPr>
          <w:spacing w:val="-3"/>
          <w:sz w:val="22"/>
          <w:szCs w:val="22"/>
        </w:rPr>
        <w:t xml:space="preserve"> </w:t>
      </w:r>
      <w:r w:rsidRPr="00A258EB">
        <w:rPr>
          <w:sz w:val="22"/>
          <w:szCs w:val="22"/>
        </w:rPr>
        <w:t>required</w:t>
      </w:r>
      <w:r w:rsidRPr="00A258EB">
        <w:rPr>
          <w:spacing w:val="-3"/>
          <w:sz w:val="22"/>
          <w:szCs w:val="22"/>
        </w:rPr>
        <w:t xml:space="preserve"> </w:t>
      </w:r>
      <w:r w:rsidRPr="00A258EB">
        <w:rPr>
          <w:sz w:val="22"/>
          <w:szCs w:val="22"/>
        </w:rPr>
        <w:t>to</w:t>
      </w:r>
      <w:r w:rsidRPr="00A258EB">
        <w:rPr>
          <w:spacing w:val="-3"/>
          <w:sz w:val="22"/>
          <w:szCs w:val="22"/>
        </w:rPr>
        <w:t xml:space="preserve"> </w:t>
      </w:r>
      <w:r w:rsidRPr="00A258EB">
        <w:rPr>
          <w:sz w:val="22"/>
          <w:szCs w:val="22"/>
        </w:rPr>
        <w:t>designate</w:t>
      </w:r>
      <w:r w:rsidRPr="00A258EB">
        <w:rPr>
          <w:spacing w:val="-3"/>
          <w:sz w:val="22"/>
          <w:szCs w:val="22"/>
        </w:rPr>
        <w:t xml:space="preserve"> </w:t>
      </w:r>
      <w:r w:rsidR="00DA7BBA">
        <w:rPr>
          <w:sz w:val="22"/>
          <w:szCs w:val="22"/>
        </w:rPr>
        <w:t>a</w:t>
      </w:r>
      <w:r w:rsidRPr="00A258EB">
        <w:rPr>
          <w:spacing w:val="-2"/>
          <w:sz w:val="22"/>
          <w:szCs w:val="22"/>
        </w:rPr>
        <w:t xml:space="preserve"> </w:t>
      </w:r>
      <w:r w:rsidRPr="00A258EB">
        <w:rPr>
          <w:sz w:val="22"/>
          <w:szCs w:val="22"/>
        </w:rPr>
        <w:t>responsible</w:t>
      </w:r>
      <w:r w:rsidRPr="00A258EB">
        <w:rPr>
          <w:spacing w:val="-3"/>
          <w:sz w:val="22"/>
          <w:szCs w:val="22"/>
        </w:rPr>
        <w:t xml:space="preserve"> </w:t>
      </w:r>
      <w:r w:rsidRPr="00A258EB">
        <w:rPr>
          <w:sz w:val="22"/>
          <w:szCs w:val="22"/>
        </w:rPr>
        <w:t>part</w:t>
      </w:r>
      <w:r w:rsidR="00DA7BBA">
        <w:rPr>
          <w:sz w:val="22"/>
          <w:szCs w:val="22"/>
        </w:rPr>
        <w:t>y</w:t>
      </w:r>
      <w:r w:rsidRPr="00A258EB">
        <w:rPr>
          <w:spacing w:val="-3"/>
          <w:sz w:val="22"/>
          <w:szCs w:val="22"/>
        </w:rPr>
        <w:t xml:space="preserve"> </w:t>
      </w:r>
      <w:r w:rsidRPr="00A258EB">
        <w:rPr>
          <w:sz w:val="22"/>
          <w:szCs w:val="22"/>
        </w:rPr>
        <w:t>for</w:t>
      </w:r>
      <w:r w:rsidRPr="00A258EB">
        <w:rPr>
          <w:spacing w:val="-4"/>
          <w:sz w:val="22"/>
          <w:szCs w:val="22"/>
        </w:rPr>
        <w:t xml:space="preserve"> </w:t>
      </w:r>
      <w:r w:rsidRPr="00A258EB">
        <w:rPr>
          <w:sz w:val="22"/>
          <w:szCs w:val="22"/>
        </w:rPr>
        <w:t>the</w:t>
      </w:r>
      <w:r w:rsidRPr="00A258EB">
        <w:rPr>
          <w:spacing w:val="-2"/>
          <w:sz w:val="22"/>
          <w:szCs w:val="22"/>
        </w:rPr>
        <w:t xml:space="preserve"> </w:t>
      </w:r>
      <w:r w:rsidRPr="00A258EB">
        <w:rPr>
          <w:sz w:val="22"/>
          <w:szCs w:val="22"/>
        </w:rPr>
        <w:t>care</w:t>
      </w:r>
      <w:r w:rsidRPr="00A258EB">
        <w:rPr>
          <w:spacing w:val="-5"/>
          <w:sz w:val="22"/>
          <w:szCs w:val="22"/>
        </w:rPr>
        <w:t xml:space="preserve"> </w:t>
      </w:r>
      <w:r w:rsidRPr="00A258EB">
        <w:rPr>
          <w:sz w:val="22"/>
          <w:szCs w:val="22"/>
        </w:rPr>
        <w:t>of</w:t>
      </w:r>
      <w:r w:rsidRPr="00A258EB">
        <w:rPr>
          <w:spacing w:val="-3"/>
          <w:sz w:val="22"/>
          <w:szCs w:val="22"/>
        </w:rPr>
        <w:t xml:space="preserve"> </w:t>
      </w:r>
      <w:r w:rsidRPr="00A258EB">
        <w:rPr>
          <w:sz w:val="22"/>
          <w:szCs w:val="22"/>
        </w:rPr>
        <w:t>the</w:t>
      </w:r>
      <w:r w:rsidRPr="00A258EB">
        <w:rPr>
          <w:spacing w:val="-5"/>
          <w:sz w:val="22"/>
          <w:szCs w:val="22"/>
        </w:rPr>
        <w:t xml:space="preserve"> </w:t>
      </w:r>
      <w:r w:rsidRPr="00A258EB">
        <w:rPr>
          <w:sz w:val="22"/>
          <w:szCs w:val="22"/>
        </w:rPr>
        <w:t>pet if the health or safety</w:t>
      </w:r>
      <w:r w:rsidRPr="00A258EB">
        <w:rPr>
          <w:spacing w:val="-4"/>
          <w:sz w:val="22"/>
          <w:szCs w:val="22"/>
        </w:rPr>
        <w:t xml:space="preserve"> </w:t>
      </w:r>
      <w:r w:rsidRPr="00A258EB">
        <w:rPr>
          <w:sz w:val="22"/>
          <w:szCs w:val="22"/>
        </w:rPr>
        <w:t>of the pet is threatened by</w:t>
      </w:r>
      <w:r w:rsidRPr="00A258EB">
        <w:rPr>
          <w:spacing w:val="-3"/>
          <w:sz w:val="22"/>
          <w:szCs w:val="22"/>
        </w:rPr>
        <w:t xml:space="preserve"> </w:t>
      </w:r>
      <w:r w:rsidRPr="00A258EB">
        <w:rPr>
          <w:sz w:val="22"/>
          <w:szCs w:val="22"/>
        </w:rPr>
        <w:t>the death or incapacity</w:t>
      </w:r>
      <w:r w:rsidRPr="00A258EB">
        <w:rPr>
          <w:spacing w:val="-3"/>
          <w:sz w:val="22"/>
          <w:szCs w:val="22"/>
        </w:rPr>
        <w:t xml:space="preserve"> </w:t>
      </w:r>
      <w:r w:rsidRPr="00A258EB">
        <w:rPr>
          <w:sz w:val="22"/>
          <w:szCs w:val="22"/>
        </w:rPr>
        <w:t>of the pet owner, or by other factors that render the pet owner unable to care for the pet.</w:t>
      </w:r>
    </w:p>
    <w:p w14:paraId="25B9A943" w14:textId="77777777" w:rsidR="00847C04" w:rsidRPr="00A258EB" w:rsidRDefault="00847C04" w:rsidP="00A258EB">
      <w:pPr>
        <w:pStyle w:val="BodyText"/>
        <w:spacing w:after="160" w:line="259" w:lineRule="auto"/>
        <w:jc w:val="both"/>
        <w:rPr>
          <w:sz w:val="22"/>
          <w:szCs w:val="22"/>
        </w:rPr>
      </w:pPr>
      <w:r w:rsidRPr="00A258EB">
        <w:rPr>
          <w:sz w:val="22"/>
          <w:szCs w:val="22"/>
        </w:rPr>
        <w:t>A</w:t>
      </w:r>
      <w:r w:rsidRPr="00A258EB">
        <w:rPr>
          <w:spacing w:val="-3"/>
          <w:sz w:val="22"/>
          <w:szCs w:val="22"/>
        </w:rPr>
        <w:t xml:space="preserve"> </w:t>
      </w:r>
      <w:r w:rsidRPr="00A258EB">
        <w:rPr>
          <w:sz w:val="22"/>
          <w:szCs w:val="22"/>
        </w:rPr>
        <w:t>resident</w:t>
      </w:r>
      <w:r w:rsidRPr="00A258EB">
        <w:rPr>
          <w:spacing w:val="-3"/>
          <w:sz w:val="22"/>
          <w:szCs w:val="22"/>
        </w:rPr>
        <w:t xml:space="preserve"> </w:t>
      </w:r>
      <w:r w:rsidRPr="00A258EB">
        <w:rPr>
          <w:sz w:val="22"/>
          <w:szCs w:val="22"/>
        </w:rPr>
        <w:t>who</w:t>
      </w:r>
      <w:r w:rsidRPr="00A258EB">
        <w:rPr>
          <w:spacing w:val="-3"/>
          <w:sz w:val="22"/>
          <w:szCs w:val="22"/>
        </w:rPr>
        <w:t xml:space="preserve"> </w:t>
      </w:r>
      <w:r w:rsidRPr="00A258EB">
        <w:rPr>
          <w:sz w:val="22"/>
          <w:szCs w:val="22"/>
        </w:rPr>
        <w:t>cares</w:t>
      </w:r>
      <w:r w:rsidRPr="00A258EB">
        <w:rPr>
          <w:spacing w:val="-3"/>
          <w:sz w:val="22"/>
          <w:szCs w:val="22"/>
        </w:rPr>
        <w:t xml:space="preserve"> </w:t>
      </w:r>
      <w:r w:rsidRPr="00A258EB">
        <w:rPr>
          <w:sz w:val="22"/>
          <w:szCs w:val="22"/>
        </w:rPr>
        <w:t>for</w:t>
      </w:r>
      <w:r w:rsidRPr="00A258EB">
        <w:rPr>
          <w:spacing w:val="-3"/>
          <w:sz w:val="22"/>
          <w:szCs w:val="22"/>
        </w:rPr>
        <w:t xml:space="preserve"> </w:t>
      </w:r>
      <w:r w:rsidRPr="00A258EB">
        <w:rPr>
          <w:sz w:val="22"/>
          <w:szCs w:val="22"/>
        </w:rPr>
        <w:t>another</w:t>
      </w:r>
      <w:r w:rsidRPr="00A258EB">
        <w:rPr>
          <w:spacing w:val="-3"/>
          <w:sz w:val="22"/>
          <w:szCs w:val="22"/>
        </w:rPr>
        <w:t xml:space="preserve"> </w:t>
      </w:r>
      <w:r w:rsidRPr="00A258EB">
        <w:rPr>
          <w:sz w:val="22"/>
          <w:szCs w:val="22"/>
        </w:rPr>
        <w:t>resident’s</w:t>
      </w:r>
      <w:r w:rsidRPr="00A258EB">
        <w:rPr>
          <w:spacing w:val="-2"/>
          <w:sz w:val="22"/>
          <w:szCs w:val="22"/>
        </w:rPr>
        <w:t xml:space="preserve"> </w:t>
      </w:r>
      <w:r w:rsidRPr="00A258EB">
        <w:rPr>
          <w:sz w:val="22"/>
          <w:szCs w:val="22"/>
        </w:rPr>
        <w:t>pet</w:t>
      </w:r>
      <w:r w:rsidRPr="00A258EB">
        <w:rPr>
          <w:spacing w:val="-3"/>
          <w:sz w:val="22"/>
          <w:szCs w:val="22"/>
        </w:rPr>
        <w:t xml:space="preserve"> </w:t>
      </w:r>
      <w:r w:rsidRPr="00A258EB">
        <w:rPr>
          <w:sz w:val="22"/>
          <w:szCs w:val="22"/>
        </w:rPr>
        <w:t>must</w:t>
      </w:r>
      <w:r w:rsidRPr="00A258EB">
        <w:rPr>
          <w:spacing w:val="-3"/>
          <w:sz w:val="22"/>
          <w:szCs w:val="22"/>
        </w:rPr>
        <w:t xml:space="preserve"> </w:t>
      </w:r>
      <w:r w:rsidRPr="00A258EB">
        <w:rPr>
          <w:sz w:val="22"/>
          <w:szCs w:val="22"/>
        </w:rPr>
        <w:t>notify</w:t>
      </w:r>
      <w:r w:rsidRPr="00A258EB">
        <w:rPr>
          <w:spacing w:val="-8"/>
          <w:sz w:val="22"/>
          <w:szCs w:val="22"/>
        </w:rPr>
        <w:t xml:space="preserve"> </w:t>
      </w:r>
      <w:r w:rsidRPr="00A258EB">
        <w:rPr>
          <w:sz w:val="22"/>
          <w:szCs w:val="22"/>
        </w:rPr>
        <w:t>HHA</w:t>
      </w:r>
      <w:r w:rsidRPr="00A258EB">
        <w:rPr>
          <w:spacing w:val="-4"/>
          <w:sz w:val="22"/>
          <w:szCs w:val="22"/>
        </w:rPr>
        <w:t xml:space="preserve"> </w:t>
      </w:r>
      <w:r w:rsidRPr="00A258EB">
        <w:rPr>
          <w:sz w:val="22"/>
          <w:szCs w:val="22"/>
        </w:rPr>
        <w:t>and</w:t>
      </w:r>
      <w:r w:rsidRPr="00A258EB">
        <w:rPr>
          <w:spacing w:val="-3"/>
          <w:sz w:val="22"/>
          <w:szCs w:val="22"/>
        </w:rPr>
        <w:t xml:space="preserve"> </w:t>
      </w:r>
      <w:r w:rsidRPr="00A258EB">
        <w:rPr>
          <w:sz w:val="22"/>
          <w:szCs w:val="22"/>
        </w:rPr>
        <w:t>sign</w:t>
      </w:r>
      <w:r w:rsidRPr="00A258EB">
        <w:rPr>
          <w:spacing w:val="-3"/>
          <w:sz w:val="22"/>
          <w:szCs w:val="22"/>
        </w:rPr>
        <w:t xml:space="preserve"> </w:t>
      </w:r>
      <w:r w:rsidRPr="00A258EB">
        <w:rPr>
          <w:sz w:val="22"/>
          <w:szCs w:val="22"/>
        </w:rPr>
        <w:t>a statement that they agree to abide by all of the pet rules.</w:t>
      </w:r>
    </w:p>
    <w:p w14:paraId="5E9F383E" w14:textId="77777777" w:rsidR="00847C04" w:rsidRPr="003824FB" w:rsidRDefault="00847C04" w:rsidP="00226531">
      <w:pPr>
        <w:pStyle w:val="Heading4"/>
      </w:pPr>
      <w:bookmarkStart w:id="2976" w:name="_Toc70048717"/>
      <w:bookmarkStart w:id="2977" w:name="_Toc106037971"/>
      <w:bookmarkStart w:id="2978" w:name="_Toc106201610"/>
      <w:bookmarkStart w:id="2979" w:name="_Toc106202129"/>
      <w:bookmarkStart w:id="2980" w:name="_Toc106202655"/>
      <w:bookmarkStart w:id="2981" w:name="_Toc113345111"/>
      <w:bookmarkStart w:id="2982" w:name="_Toc137461855"/>
      <w:bookmarkStart w:id="2983" w:name="_Toc137471446"/>
      <w:bookmarkStart w:id="2984" w:name="_Toc137471955"/>
      <w:r w:rsidRPr="003824FB">
        <w:t>Pets Temporarily on the Premises</w:t>
      </w:r>
      <w:bookmarkEnd w:id="2976"/>
      <w:bookmarkEnd w:id="2977"/>
      <w:bookmarkEnd w:id="2978"/>
      <w:bookmarkEnd w:id="2979"/>
      <w:bookmarkEnd w:id="2980"/>
      <w:bookmarkEnd w:id="2981"/>
      <w:bookmarkEnd w:id="2982"/>
      <w:bookmarkEnd w:id="2983"/>
      <w:bookmarkEnd w:id="2984"/>
    </w:p>
    <w:p w14:paraId="1D3D989D" w14:textId="77777777" w:rsidR="00847C04" w:rsidRPr="00FA038F" w:rsidRDefault="00847C04" w:rsidP="00847C04">
      <w:r w:rsidRPr="00FA038F">
        <w:t>Pets that are not owned by a tenant are not allowed on the premises. Tenants are prohibited from feeding</w:t>
      </w:r>
      <w:r w:rsidR="00346F5E">
        <w:t>, watering,</w:t>
      </w:r>
      <w:r w:rsidRPr="00FA038F">
        <w:t xml:space="preserve"> or harboring stray animals</w:t>
      </w:r>
      <w:r w:rsidR="00346F5E">
        <w:t xml:space="preserve"> or wild animals</w:t>
      </w:r>
      <w:r w:rsidRPr="00FA038F">
        <w:t>.</w:t>
      </w:r>
    </w:p>
    <w:p w14:paraId="5F147CB3" w14:textId="77777777" w:rsidR="00847C04" w:rsidRDefault="00847C04" w:rsidP="00847C04">
      <w:r w:rsidRPr="002965D3">
        <w:t>This rule does not apply to assistance animals or to</w:t>
      </w:r>
      <w:r w:rsidRPr="002965D3">
        <w:rPr>
          <w:spacing w:val="-1"/>
        </w:rPr>
        <w:t xml:space="preserve"> </w:t>
      </w:r>
      <w:r w:rsidRPr="002965D3">
        <w:t>visiting</w:t>
      </w:r>
      <w:r w:rsidRPr="002965D3">
        <w:rPr>
          <w:spacing w:val="-5"/>
        </w:rPr>
        <w:t xml:space="preserve"> </w:t>
      </w:r>
      <w:r w:rsidRPr="002965D3">
        <w:t>pet</w:t>
      </w:r>
      <w:r w:rsidRPr="002965D3">
        <w:rPr>
          <w:spacing w:val="-2"/>
        </w:rPr>
        <w:t xml:space="preserve"> </w:t>
      </w:r>
      <w:r w:rsidRPr="002965D3">
        <w:t>programs</w:t>
      </w:r>
      <w:r w:rsidRPr="002965D3">
        <w:rPr>
          <w:spacing w:val="-2"/>
        </w:rPr>
        <w:t xml:space="preserve"> </w:t>
      </w:r>
      <w:r w:rsidRPr="002965D3">
        <w:t>sponsored</w:t>
      </w:r>
      <w:r w:rsidRPr="002965D3">
        <w:rPr>
          <w:spacing w:val="-2"/>
        </w:rPr>
        <w:t xml:space="preserve"> </w:t>
      </w:r>
      <w:r w:rsidRPr="002965D3">
        <w:t>by</w:t>
      </w:r>
      <w:r w:rsidRPr="002965D3">
        <w:rPr>
          <w:spacing w:val="-7"/>
        </w:rPr>
        <w:t xml:space="preserve"> </w:t>
      </w:r>
      <w:r w:rsidRPr="002965D3">
        <w:t>a</w:t>
      </w:r>
      <w:r w:rsidRPr="002965D3">
        <w:rPr>
          <w:spacing w:val="-3"/>
        </w:rPr>
        <w:t xml:space="preserve"> </w:t>
      </w:r>
      <w:r w:rsidRPr="002965D3">
        <w:t>humane</w:t>
      </w:r>
      <w:r w:rsidRPr="002965D3">
        <w:rPr>
          <w:spacing w:val="-3"/>
        </w:rPr>
        <w:t xml:space="preserve"> </w:t>
      </w:r>
      <w:r w:rsidRPr="002965D3">
        <w:t>society</w:t>
      </w:r>
      <w:r w:rsidRPr="002965D3">
        <w:rPr>
          <w:spacing w:val="-7"/>
        </w:rPr>
        <w:t xml:space="preserve"> </w:t>
      </w:r>
      <w:r w:rsidRPr="002965D3">
        <w:t>or</w:t>
      </w:r>
      <w:r w:rsidRPr="002965D3">
        <w:rPr>
          <w:spacing w:val="-2"/>
        </w:rPr>
        <w:t xml:space="preserve"> </w:t>
      </w:r>
      <w:r w:rsidRPr="002965D3">
        <w:t xml:space="preserve">other non-profit organizations, and approved by </w:t>
      </w:r>
      <w:r>
        <w:t>HHA</w:t>
      </w:r>
      <w:r w:rsidRPr="002965D3">
        <w:t>.</w:t>
      </w:r>
    </w:p>
    <w:p w14:paraId="3000CBAD" w14:textId="77777777" w:rsidR="00847C04" w:rsidRPr="003F7DD7" w:rsidRDefault="00847C04" w:rsidP="00871509">
      <w:pPr>
        <w:pStyle w:val="Heading4"/>
      </w:pPr>
      <w:bookmarkStart w:id="2985" w:name="_Toc70048718"/>
      <w:bookmarkStart w:id="2986" w:name="_Toc106037972"/>
      <w:bookmarkStart w:id="2987" w:name="_Toc106201611"/>
      <w:bookmarkStart w:id="2988" w:name="_Toc106202130"/>
      <w:bookmarkStart w:id="2989" w:name="_Toc106202656"/>
      <w:bookmarkStart w:id="2990" w:name="_Toc113345112"/>
      <w:bookmarkStart w:id="2991" w:name="_Toc137461856"/>
      <w:bookmarkStart w:id="2992" w:name="_Toc137471447"/>
      <w:bookmarkStart w:id="2993" w:name="_Toc137471956"/>
      <w:r w:rsidRPr="003F7DD7">
        <w:t>Additional Rules</w:t>
      </w:r>
      <w:bookmarkEnd w:id="2985"/>
      <w:bookmarkEnd w:id="2986"/>
      <w:bookmarkEnd w:id="2987"/>
      <w:bookmarkEnd w:id="2988"/>
      <w:bookmarkEnd w:id="2989"/>
      <w:bookmarkEnd w:id="2990"/>
      <w:bookmarkEnd w:id="2991"/>
      <w:bookmarkEnd w:id="2992"/>
      <w:bookmarkEnd w:id="2993"/>
    </w:p>
    <w:p w14:paraId="29926DDC" w14:textId="77777777" w:rsidR="00847C04" w:rsidRPr="002965D3" w:rsidRDefault="00847C04" w:rsidP="00847C04">
      <w:r w:rsidRPr="002965D3">
        <w:t>Dog owners are required to comply with state and local public heath, animal control and animal anti-cruelty laws and regulations.</w:t>
      </w:r>
    </w:p>
    <w:p w14:paraId="718D6BBB" w14:textId="77777777" w:rsidR="00847C04" w:rsidRPr="002965D3" w:rsidRDefault="00847C04" w:rsidP="00847C04">
      <w:r w:rsidRPr="002965D3">
        <w:t>Pet owners must prevent pets from gnawing, chewing, scratching or otherwise defacing doors, walls, windows and floors and other fixtures of the tenant’s unit and common areas.</w:t>
      </w:r>
    </w:p>
    <w:p w14:paraId="596AEAD4" w14:textId="77777777" w:rsidR="00847C04" w:rsidRPr="002965D3" w:rsidRDefault="00847C04" w:rsidP="00847C04">
      <w:r w:rsidRPr="002965D3">
        <w:t>The presence of a pet may not interfere with the routine pest extermination, routine repairs and/or inspection of the unit. The tenant is responsible for removing or otherwise protecting pets every time extermination or maintenance is scheduled.</w:t>
      </w:r>
    </w:p>
    <w:p w14:paraId="75BFB7A1" w14:textId="77777777" w:rsidR="00847C04" w:rsidRDefault="00847C04" w:rsidP="00847C04">
      <w:r w:rsidRPr="002965D3">
        <w:t xml:space="preserve">Pet owners will not allow pets to disturb the health, safety, rights, comfort or quiet enjoyment of other tenants. Repeated, substantiated complaints from other tenants, neighbors or </w:t>
      </w:r>
      <w:r>
        <w:t>HHA</w:t>
      </w:r>
      <w:r w:rsidRPr="002965D3">
        <w:t xml:space="preserve"> personnel regarding pets disturbing the peaceful enjoyment of the premises through noise, smell, animal waste or other nuisance will result in the tenant having to remove the pet or be subject to lease violation procedures.</w:t>
      </w:r>
    </w:p>
    <w:p w14:paraId="56F49BEA" w14:textId="77777777" w:rsidR="00847C04" w:rsidRPr="002965D3" w:rsidRDefault="00847C04" w:rsidP="00677451">
      <w:pPr>
        <w:pStyle w:val="Heading3"/>
      </w:pPr>
      <w:bookmarkStart w:id="2994" w:name="_Toc70048719"/>
      <w:bookmarkStart w:id="2995" w:name="_Toc106037973"/>
      <w:bookmarkStart w:id="2996" w:name="_Toc106201612"/>
      <w:bookmarkStart w:id="2997" w:name="_Toc106202131"/>
      <w:bookmarkStart w:id="2998" w:name="_Toc106202657"/>
      <w:bookmarkStart w:id="2999" w:name="_Toc113345113"/>
      <w:bookmarkStart w:id="3000" w:name="_Toc137461857"/>
      <w:bookmarkStart w:id="3001" w:name="_Toc137471448"/>
      <w:bookmarkStart w:id="3002" w:name="_Toc137471957"/>
      <w:bookmarkStart w:id="3003" w:name="_Toc200375797"/>
      <w:r w:rsidRPr="002965D3">
        <w:t>Pet Rule Violations</w:t>
      </w:r>
      <w:bookmarkEnd w:id="2994"/>
      <w:bookmarkEnd w:id="2995"/>
      <w:bookmarkEnd w:id="2996"/>
      <w:bookmarkEnd w:id="2997"/>
      <w:bookmarkEnd w:id="2998"/>
      <w:bookmarkEnd w:id="2999"/>
      <w:bookmarkEnd w:id="3000"/>
      <w:bookmarkEnd w:id="3001"/>
      <w:bookmarkEnd w:id="3002"/>
      <w:bookmarkEnd w:id="3003"/>
    </w:p>
    <w:p w14:paraId="010E46BD" w14:textId="77777777" w:rsidR="00847C04" w:rsidRPr="002965D3" w:rsidRDefault="00847C04" w:rsidP="00847C04">
      <w:r w:rsidRPr="002965D3">
        <w:t xml:space="preserve">Any repeated offenses of the pet ownership rules may be considered grounds for lease termination. All lease enforcement and eviction actions taken as a result of this policy shall comply with </w:t>
      </w:r>
      <w:r>
        <w:t>HHA</w:t>
      </w:r>
      <w:r w:rsidRPr="002965D3">
        <w:t>’s lease and grievance procedures.</w:t>
      </w:r>
    </w:p>
    <w:p w14:paraId="1BBC7543" w14:textId="77777777" w:rsidR="00847C04" w:rsidRPr="002965D3" w:rsidRDefault="00847C04" w:rsidP="00847C04">
      <w:r w:rsidRPr="002965D3">
        <w:t xml:space="preserve">In addition to failure to comply with the lease, if </w:t>
      </w:r>
      <w:r>
        <w:t>HHA</w:t>
      </w:r>
      <w:r w:rsidRPr="002965D3">
        <w:t xml:space="preserve"> determines that the presence of a pet constitutes a risk of damage to </w:t>
      </w:r>
      <w:r>
        <w:t>HHA</w:t>
      </w:r>
      <w:r w:rsidRPr="002965D3">
        <w:t xml:space="preserve"> property or creates a threat to the health and safety of any member of the public housing community, or neighborhood, including tenants, household members, guests and/or employees, </w:t>
      </w:r>
      <w:r>
        <w:t>HHA</w:t>
      </w:r>
      <w:r w:rsidRPr="002965D3">
        <w:t xml:space="preserve"> may require the removal of the tenant’s pet upon 48 hours written notice. Failure to comply with this notice shall be deemed a lease violation. Any violation shall give rise to all appropriate remedies under the lease, including institution of eviction proceedings. In the case of vicious dogs, </w:t>
      </w:r>
      <w:r>
        <w:t>HHA</w:t>
      </w:r>
      <w:r w:rsidRPr="002965D3">
        <w:t xml:space="preserve"> may make a complaint to the appropriate local entity.</w:t>
      </w:r>
    </w:p>
    <w:p w14:paraId="27EB5273" w14:textId="77777777" w:rsidR="00847C04" w:rsidRPr="0087239F" w:rsidRDefault="00847C04" w:rsidP="0087239F">
      <w:r w:rsidRPr="0087239F">
        <w:t>All complaints of cruelty and all dog bites will be referred to animal control or an applicable agency for investigation and enforcement.</w:t>
      </w:r>
    </w:p>
    <w:p w14:paraId="09C6D338" w14:textId="77777777" w:rsidR="00847C04" w:rsidRPr="0087239F" w:rsidRDefault="00847C04" w:rsidP="0087239F">
      <w:r w:rsidRPr="0087239F">
        <w:t xml:space="preserve">If a determination is made on objective facts supported by written statements, that a resident/pet owner has violated the pet rules, written notice will be served. The notice will contain a brief statement of the factual basis for the determination and the pet rule(s) that were violated. </w:t>
      </w:r>
    </w:p>
    <w:p w14:paraId="2BA1C77A" w14:textId="77777777" w:rsidR="00847C04" w:rsidRPr="00A805ED" w:rsidRDefault="00847C04" w:rsidP="00302F07">
      <w:pPr>
        <w:pStyle w:val="Heading4"/>
      </w:pPr>
      <w:bookmarkStart w:id="3004" w:name="_Toc70048720"/>
      <w:bookmarkStart w:id="3005" w:name="_Toc106037974"/>
      <w:bookmarkStart w:id="3006" w:name="_Toc106201613"/>
      <w:bookmarkStart w:id="3007" w:name="_Toc106202132"/>
      <w:bookmarkStart w:id="3008" w:name="_Toc106202658"/>
      <w:bookmarkStart w:id="3009" w:name="_Toc113345114"/>
      <w:bookmarkStart w:id="3010" w:name="_Toc137461858"/>
      <w:bookmarkStart w:id="3011" w:name="_Toc137471449"/>
      <w:bookmarkStart w:id="3012" w:name="_Toc137471958"/>
      <w:r w:rsidRPr="00A805ED">
        <w:t>Unauthorized Pets</w:t>
      </w:r>
      <w:bookmarkEnd w:id="3004"/>
      <w:bookmarkEnd w:id="3005"/>
      <w:bookmarkEnd w:id="3006"/>
      <w:bookmarkEnd w:id="3007"/>
      <w:bookmarkEnd w:id="3008"/>
      <w:bookmarkEnd w:id="3009"/>
      <w:bookmarkEnd w:id="3010"/>
      <w:bookmarkEnd w:id="3011"/>
      <w:bookmarkEnd w:id="3012"/>
    </w:p>
    <w:p w14:paraId="786E5105" w14:textId="77777777" w:rsidR="00847C04" w:rsidRPr="00302F07" w:rsidRDefault="00847C04" w:rsidP="00302F07">
      <w:r w:rsidRPr="00302F07">
        <w:t xml:space="preserve">If an unauthorized pet is seen in a tenant’s unit, a letter of violation will be given to the tenant. This letter shall state that the tenant must remove </w:t>
      </w:r>
      <w:r w:rsidRPr="005673AE">
        <w:t xml:space="preserve">the pet within </w:t>
      </w:r>
      <w:r w:rsidR="005673AE" w:rsidRPr="005673AE">
        <w:t>15 calendar</w:t>
      </w:r>
      <w:r w:rsidRPr="005673AE">
        <w:t xml:space="preserve"> days or eviction proceedings will commence. </w:t>
      </w:r>
      <w:r w:rsidR="005673AE" w:rsidRPr="005673AE">
        <w:t>Fifteen (15) calendar</w:t>
      </w:r>
      <w:r w:rsidRPr="005673AE">
        <w:t xml:space="preserve"> days after this letter is given to the tenant, HHA staff will inspect the unit and verify whether the pet has been</w:t>
      </w:r>
      <w:r w:rsidRPr="00302F07">
        <w:t xml:space="preserve"> removed from the unit.</w:t>
      </w:r>
    </w:p>
    <w:p w14:paraId="3B273021" w14:textId="77777777" w:rsidR="00847C04" w:rsidRPr="00302F07" w:rsidRDefault="00847C04" w:rsidP="00302F07">
      <w:r w:rsidRPr="00302F07">
        <w:t xml:space="preserve">If the tenant still has the pet or has not otherwise responded to the violation letter, the pet owner will be served with a notice consistent with HHA’s </w:t>
      </w:r>
      <w:r w:rsidR="00BD7A87" w:rsidRPr="00BD7A87">
        <w:rPr>
          <w:b/>
          <w:bCs/>
          <w:color w:val="0070C0"/>
        </w:rPr>
        <w:fldChar w:fldCharType="begin"/>
      </w:r>
      <w:r w:rsidR="00BD7A87" w:rsidRPr="00BD7A87">
        <w:rPr>
          <w:b/>
          <w:bCs/>
          <w:color w:val="0070C0"/>
        </w:rPr>
        <w:instrText xml:space="preserve"> REF _Ref151016957 \h </w:instrText>
      </w:r>
      <w:r w:rsidR="00BD7A87">
        <w:rPr>
          <w:b/>
          <w:bCs/>
          <w:color w:val="0070C0"/>
        </w:rPr>
        <w:instrText xml:space="preserve"> \* MERGEFORMAT </w:instrText>
      </w:r>
      <w:r w:rsidR="00BD7A87" w:rsidRPr="00BD7A87">
        <w:rPr>
          <w:b/>
          <w:bCs/>
          <w:color w:val="0070C0"/>
        </w:rPr>
      </w:r>
      <w:r w:rsidR="00BD7A87" w:rsidRPr="00BD7A87">
        <w:rPr>
          <w:b/>
          <w:bCs/>
          <w:color w:val="0070C0"/>
        </w:rPr>
        <w:fldChar w:fldCharType="separate"/>
      </w:r>
      <w:r w:rsidR="00BD7A87" w:rsidRPr="00BD7A87">
        <w:rPr>
          <w:b/>
          <w:bCs/>
          <w:color w:val="0070C0"/>
        </w:rPr>
        <w:t>LEASE TERMINATIONS</w:t>
      </w:r>
      <w:r w:rsidR="00BD7A87" w:rsidRPr="00BD7A87">
        <w:rPr>
          <w:b/>
          <w:bCs/>
          <w:color w:val="0070C0"/>
        </w:rPr>
        <w:fldChar w:fldCharType="end"/>
      </w:r>
      <w:r w:rsidRPr="00302F07">
        <w:t xml:space="preserve"> policy. </w:t>
      </w:r>
    </w:p>
    <w:p w14:paraId="696E353B" w14:textId="77777777" w:rsidR="00847C04" w:rsidRPr="00302F07" w:rsidRDefault="00847C04" w:rsidP="00302F07">
      <w:r w:rsidRPr="00302F07">
        <w:t>In order to avoid termination for an unauthorized pet, the tenant must timely:</w:t>
      </w:r>
    </w:p>
    <w:p w14:paraId="43FD1111" w14:textId="77777777" w:rsidR="00847C04" w:rsidRPr="00302F07" w:rsidRDefault="00847C04" w:rsidP="007F177E">
      <w:pPr>
        <w:numPr>
          <w:ilvl w:val="0"/>
          <w:numId w:val="273"/>
        </w:numPr>
      </w:pPr>
      <w:r w:rsidRPr="00302F07">
        <w:t>Agree to correct the lease violation;</w:t>
      </w:r>
    </w:p>
    <w:p w14:paraId="5E84A3F2" w14:textId="77777777" w:rsidR="00847C04" w:rsidRPr="00302F07" w:rsidRDefault="00847C04" w:rsidP="007F177E">
      <w:pPr>
        <w:numPr>
          <w:ilvl w:val="0"/>
          <w:numId w:val="273"/>
        </w:numPr>
      </w:pPr>
      <w:r w:rsidRPr="00302F07">
        <w:t>Provide alternative evidence and/or explanations;</w:t>
      </w:r>
    </w:p>
    <w:p w14:paraId="219274E6" w14:textId="77777777" w:rsidR="00847C04" w:rsidRPr="00302F07" w:rsidRDefault="00847C04" w:rsidP="007F177E">
      <w:pPr>
        <w:numPr>
          <w:ilvl w:val="0"/>
          <w:numId w:val="273"/>
        </w:numPr>
      </w:pPr>
      <w:r w:rsidRPr="00302F07">
        <w:t>Already have corrected the problem; or</w:t>
      </w:r>
    </w:p>
    <w:p w14:paraId="0A9B6A4F" w14:textId="77777777" w:rsidR="00847C04" w:rsidRPr="00302F07" w:rsidRDefault="00847C04" w:rsidP="007F177E">
      <w:pPr>
        <w:numPr>
          <w:ilvl w:val="0"/>
          <w:numId w:val="273"/>
        </w:numPr>
      </w:pPr>
      <w:r w:rsidRPr="00302F07">
        <w:t>Follow the procedures in the pet policy to submit an application to house a pet.</w:t>
      </w:r>
    </w:p>
    <w:p w14:paraId="074A0882" w14:textId="77777777" w:rsidR="00847C04" w:rsidRPr="00302F07" w:rsidRDefault="00847C04" w:rsidP="00302F07">
      <w:r w:rsidRPr="00302F07">
        <w:t>HHA staff shall follow-up to verify that the tenant has removed the pet within a week or has otherwise complied with the pet policy. Should the tenant refuse to comply, or if the tenant has been a repeat offender of the pet policy, HHA will proceed with eviction.</w:t>
      </w:r>
    </w:p>
    <w:p w14:paraId="3E35125B" w14:textId="77777777" w:rsidR="00847C04" w:rsidRPr="002965D3" w:rsidRDefault="00847C04" w:rsidP="00302F07">
      <w:pPr>
        <w:pStyle w:val="Heading4"/>
      </w:pPr>
      <w:bookmarkStart w:id="3013" w:name="_Toc70048722"/>
      <w:bookmarkStart w:id="3014" w:name="_Toc106037975"/>
      <w:bookmarkStart w:id="3015" w:name="_Toc106201614"/>
      <w:bookmarkStart w:id="3016" w:name="_Toc106202133"/>
      <w:bookmarkStart w:id="3017" w:name="_Toc106202659"/>
      <w:bookmarkStart w:id="3018" w:name="_Toc113345115"/>
      <w:bookmarkStart w:id="3019" w:name="_Toc137461859"/>
      <w:bookmarkStart w:id="3020" w:name="_Toc137471450"/>
      <w:bookmarkStart w:id="3021" w:name="_Toc137471959"/>
      <w:r w:rsidRPr="002965D3">
        <w:t>Notice for Pet Removal</w:t>
      </w:r>
      <w:bookmarkEnd w:id="3013"/>
      <w:bookmarkEnd w:id="3014"/>
      <w:bookmarkEnd w:id="3015"/>
      <w:bookmarkEnd w:id="3016"/>
      <w:bookmarkEnd w:id="3017"/>
      <w:bookmarkEnd w:id="3018"/>
      <w:bookmarkEnd w:id="3019"/>
      <w:bookmarkEnd w:id="3020"/>
      <w:bookmarkEnd w:id="3021"/>
    </w:p>
    <w:p w14:paraId="150E1091" w14:textId="77777777" w:rsidR="00847C04" w:rsidRPr="00302F07" w:rsidRDefault="00847C04" w:rsidP="00302F07">
      <w:r w:rsidRPr="00302F07">
        <w:t>If the pet owner and HHA are unable to resolve the violation or the pet owner fails to correct the violation in the time period allotted by HHA, HHA will serve a leave violation notice</w:t>
      </w:r>
      <w:r w:rsidR="00035DB5">
        <w:t>.</w:t>
      </w:r>
      <w:r w:rsidRPr="00302F07">
        <w:t xml:space="preserve"> </w:t>
      </w:r>
    </w:p>
    <w:p w14:paraId="579E468B" w14:textId="77777777" w:rsidR="00847C04" w:rsidRPr="00302F07" w:rsidRDefault="00847C04" w:rsidP="00302F07">
      <w:pPr>
        <w:pStyle w:val="BodyText"/>
        <w:spacing w:after="160" w:line="259" w:lineRule="auto"/>
        <w:jc w:val="both"/>
        <w:rPr>
          <w:sz w:val="22"/>
          <w:szCs w:val="22"/>
        </w:rPr>
      </w:pPr>
      <w:r w:rsidRPr="00302F07">
        <w:rPr>
          <w:sz w:val="22"/>
          <w:szCs w:val="22"/>
        </w:rPr>
        <w:t xml:space="preserve">The pet owner </w:t>
      </w:r>
      <w:r w:rsidRPr="005673AE">
        <w:rPr>
          <w:sz w:val="22"/>
          <w:szCs w:val="22"/>
        </w:rPr>
        <w:t xml:space="preserve">has </w:t>
      </w:r>
      <w:r w:rsidR="005673AE" w:rsidRPr="005673AE">
        <w:rPr>
          <w:sz w:val="22"/>
          <w:szCs w:val="22"/>
        </w:rPr>
        <w:t>15 calendar</w:t>
      </w:r>
      <w:r w:rsidRPr="005673AE">
        <w:rPr>
          <w:sz w:val="22"/>
          <w:szCs w:val="22"/>
        </w:rPr>
        <w:t xml:space="preserve"> days from the effective date of the service of notice</w:t>
      </w:r>
      <w:r w:rsidRPr="005673AE">
        <w:rPr>
          <w:spacing w:val="-4"/>
          <w:sz w:val="22"/>
          <w:szCs w:val="22"/>
        </w:rPr>
        <w:t xml:space="preserve"> </w:t>
      </w:r>
      <w:r w:rsidRPr="005673AE">
        <w:rPr>
          <w:sz w:val="22"/>
          <w:szCs w:val="22"/>
        </w:rPr>
        <w:t>to</w:t>
      </w:r>
      <w:r w:rsidRPr="005673AE">
        <w:rPr>
          <w:spacing w:val="-3"/>
          <w:sz w:val="22"/>
          <w:szCs w:val="22"/>
        </w:rPr>
        <w:t xml:space="preserve"> </w:t>
      </w:r>
      <w:r w:rsidRPr="005673AE">
        <w:rPr>
          <w:sz w:val="22"/>
          <w:szCs w:val="22"/>
        </w:rPr>
        <w:t>correct</w:t>
      </w:r>
      <w:r w:rsidRPr="005673AE">
        <w:rPr>
          <w:spacing w:val="-3"/>
          <w:sz w:val="22"/>
          <w:szCs w:val="22"/>
        </w:rPr>
        <w:t xml:space="preserve"> </w:t>
      </w:r>
      <w:r w:rsidRPr="005673AE">
        <w:rPr>
          <w:sz w:val="22"/>
          <w:szCs w:val="22"/>
        </w:rPr>
        <w:t>the</w:t>
      </w:r>
      <w:r w:rsidRPr="005673AE">
        <w:rPr>
          <w:spacing w:val="-4"/>
          <w:sz w:val="22"/>
          <w:szCs w:val="22"/>
        </w:rPr>
        <w:t xml:space="preserve"> </w:t>
      </w:r>
      <w:r w:rsidRPr="005673AE">
        <w:rPr>
          <w:sz w:val="22"/>
          <w:szCs w:val="22"/>
        </w:rPr>
        <w:t>violation</w:t>
      </w:r>
      <w:r w:rsidRPr="005673AE">
        <w:rPr>
          <w:spacing w:val="-3"/>
          <w:sz w:val="22"/>
          <w:szCs w:val="22"/>
        </w:rPr>
        <w:t xml:space="preserve"> </w:t>
      </w:r>
      <w:r w:rsidRPr="005673AE">
        <w:rPr>
          <w:sz w:val="22"/>
          <w:szCs w:val="22"/>
        </w:rPr>
        <w:t>or</w:t>
      </w:r>
      <w:r w:rsidRPr="005673AE">
        <w:rPr>
          <w:spacing w:val="-1"/>
          <w:sz w:val="22"/>
          <w:szCs w:val="22"/>
        </w:rPr>
        <w:t xml:space="preserve"> </w:t>
      </w:r>
      <w:r w:rsidRPr="005673AE">
        <w:rPr>
          <w:sz w:val="22"/>
          <w:szCs w:val="22"/>
        </w:rPr>
        <w:t>make</w:t>
      </w:r>
      <w:r w:rsidRPr="005673AE">
        <w:rPr>
          <w:spacing w:val="-5"/>
          <w:sz w:val="22"/>
          <w:szCs w:val="22"/>
        </w:rPr>
        <w:t xml:space="preserve"> </w:t>
      </w:r>
      <w:r w:rsidRPr="005673AE">
        <w:rPr>
          <w:sz w:val="22"/>
          <w:szCs w:val="22"/>
        </w:rPr>
        <w:t>written</w:t>
      </w:r>
      <w:r w:rsidRPr="005673AE">
        <w:rPr>
          <w:spacing w:val="-3"/>
          <w:sz w:val="22"/>
          <w:szCs w:val="22"/>
        </w:rPr>
        <w:t xml:space="preserve"> </w:t>
      </w:r>
      <w:r w:rsidRPr="005673AE">
        <w:rPr>
          <w:sz w:val="22"/>
          <w:szCs w:val="22"/>
        </w:rPr>
        <w:t>request</w:t>
      </w:r>
      <w:r w:rsidRPr="005673AE">
        <w:rPr>
          <w:spacing w:val="-3"/>
          <w:sz w:val="22"/>
          <w:szCs w:val="22"/>
        </w:rPr>
        <w:t xml:space="preserve"> </w:t>
      </w:r>
      <w:r w:rsidRPr="005673AE">
        <w:rPr>
          <w:sz w:val="22"/>
          <w:szCs w:val="22"/>
        </w:rPr>
        <w:t>for</w:t>
      </w:r>
      <w:r w:rsidRPr="005673AE">
        <w:rPr>
          <w:spacing w:val="-4"/>
          <w:sz w:val="22"/>
          <w:szCs w:val="22"/>
        </w:rPr>
        <w:t xml:space="preserve"> </w:t>
      </w:r>
      <w:r w:rsidRPr="005673AE">
        <w:rPr>
          <w:sz w:val="22"/>
          <w:szCs w:val="22"/>
        </w:rPr>
        <w:t>a</w:t>
      </w:r>
      <w:r w:rsidRPr="00302F07">
        <w:rPr>
          <w:spacing w:val="-4"/>
          <w:sz w:val="22"/>
          <w:szCs w:val="22"/>
        </w:rPr>
        <w:t xml:space="preserve"> </w:t>
      </w:r>
      <w:r w:rsidRPr="00302F07">
        <w:rPr>
          <w:sz w:val="22"/>
          <w:szCs w:val="22"/>
        </w:rPr>
        <w:t>meeting</w:t>
      </w:r>
      <w:r w:rsidRPr="00302F07">
        <w:rPr>
          <w:spacing w:val="-6"/>
          <w:sz w:val="22"/>
          <w:szCs w:val="22"/>
        </w:rPr>
        <w:t xml:space="preserve"> </w:t>
      </w:r>
      <w:r w:rsidRPr="00302F07">
        <w:rPr>
          <w:sz w:val="22"/>
          <w:szCs w:val="22"/>
        </w:rPr>
        <w:t>to</w:t>
      </w:r>
      <w:r w:rsidRPr="00302F07">
        <w:rPr>
          <w:spacing w:val="-3"/>
          <w:sz w:val="22"/>
          <w:szCs w:val="22"/>
        </w:rPr>
        <w:t xml:space="preserve"> </w:t>
      </w:r>
      <w:r w:rsidRPr="00302F07">
        <w:rPr>
          <w:sz w:val="22"/>
          <w:szCs w:val="22"/>
        </w:rPr>
        <w:t>discuss</w:t>
      </w:r>
      <w:r w:rsidRPr="00302F07">
        <w:rPr>
          <w:spacing w:val="-3"/>
          <w:sz w:val="22"/>
          <w:szCs w:val="22"/>
        </w:rPr>
        <w:t xml:space="preserve"> </w:t>
      </w:r>
      <w:r w:rsidRPr="00302F07">
        <w:rPr>
          <w:sz w:val="22"/>
          <w:szCs w:val="22"/>
        </w:rPr>
        <w:t xml:space="preserve">the </w:t>
      </w:r>
      <w:r w:rsidRPr="00302F07">
        <w:rPr>
          <w:spacing w:val="-2"/>
          <w:sz w:val="22"/>
          <w:szCs w:val="22"/>
        </w:rPr>
        <w:t>violation</w:t>
      </w:r>
      <w:r w:rsidRPr="00302F07">
        <w:rPr>
          <w:sz w:val="22"/>
          <w:szCs w:val="22"/>
        </w:rPr>
        <w:t>. The pet owner’s failure to correct the violation, request a meeting, or appear at</w:t>
      </w:r>
      <w:r w:rsidRPr="00302F07">
        <w:rPr>
          <w:spacing w:val="-3"/>
          <w:sz w:val="22"/>
          <w:szCs w:val="22"/>
        </w:rPr>
        <w:t xml:space="preserve"> </w:t>
      </w:r>
      <w:r w:rsidRPr="00302F07">
        <w:rPr>
          <w:sz w:val="22"/>
          <w:szCs w:val="22"/>
        </w:rPr>
        <w:t>a</w:t>
      </w:r>
      <w:r w:rsidRPr="00302F07">
        <w:rPr>
          <w:spacing w:val="-3"/>
          <w:sz w:val="22"/>
          <w:szCs w:val="22"/>
        </w:rPr>
        <w:t xml:space="preserve"> </w:t>
      </w:r>
      <w:r w:rsidRPr="00302F07">
        <w:rPr>
          <w:sz w:val="22"/>
          <w:szCs w:val="22"/>
        </w:rPr>
        <w:t>requested</w:t>
      </w:r>
      <w:r w:rsidRPr="00302F07">
        <w:rPr>
          <w:spacing w:val="-3"/>
          <w:sz w:val="22"/>
          <w:szCs w:val="22"/>
        </w:rPr>
        <w:t xml:space="preserve"> </w:t>
      </w:r>
      <w:r w:rsidRPr="00302F07">
        <w:rPr>
          <w:sz w:val="22"/>
          <w:szCs w:val="22"/>
        </w:rPr>
        <w:t>meeting</w:t>
      </w:r>
      <w:r w:rsidRPr="00302F07">
        <w:rPr>
          <w:spacing w:val="-6"/>
          <w:sz w:val="22"/>
          <w:szCs w:val="22"/>
        </w:rPr>
        <w:t xml:space="preserve"> </w:t>
      </w:r>
      <w:r w:rsidRPr="00302F07">
        <w:rPr>
          <w:sz w:val="22"/>
          <w:szCs w:val="22"/>
        </w:rPr>
        <w:t>may</w:t>
      </w:r>
      <w:r w:rsidRPr="00302F07">
        <w:rPr>
          <w:spacing w:val="-6"/>
          <w:sz w:val="22"/>
          <w:szCs w:val="22"/>
        </w:rPr>
        <w:t xml:space="preserve"> </w:t>
      </w:r>
      <w:r w:rsidRPr="00302F07">
        <w:rPr>
          <w:sz w:val="22"/>
          <w:szCs w:val="22"/>
        </w:rPr>
        <w:t>result</w:t>
      </w:r>
      <w:r w:rsidRPr="00302F07">
        <w:rPr>
          <w:spacing w:val="-3"/>
          <w:sz w:val="22"/>
          <w:szCs w:val="22"/>
        </w:rPr>
        <w:t xml:space="preserve"> </w:t>
      </w:r>
      <w:r w:rsidRPr="00302F07">
        <w:rPr>
          <w:sz w:val="22"/>
          <w:szCs w:val="22"/>
        </w:rPr>
        <w:t>in</w:t>
      </w:r>
      <w:r w:rsidRPr="00302F07">
        <w:rPr>
          <w:spacing w:val="-3"/>
          <w:sz w:val="22"/>
          <w:szCs w:val="22"/>
        </w:rPr>
        <w:t xml:space="preserve"> </w:t>
      </w:r>
      <w:r w:rsidRPr="00302F07">
        <w:rPr>
          <w:sz w:val="22"/>
          <w:szCs w:val="22"/>
        </w:rPr>
        <w:t>initiation</w:t>
      </w:r>
      <w:r w:rsidRPr="00302F07">
        <w:rPr>
          <w:spacing w:val="-3"/>
          <w:sz w:val="22"/>
          <w:szCs w:val="22"/>
        </w:rPr>
        <w:t xml:space="preserve"> </w:t>
      </w:r>
      <w:r w:rsidRPr="00302F07">
        <w:rPr>
          <w:sz w:val="22"/>
          <w:szCs w:val="22"/>
        </w:rPr>
        <w:t>of</w:t>
      </w:r>
      <w:r w:rsidRPr="00302F07">
        <w:rPr>
          <w:spacing w:val="-3"/>
          <w:sz w:val="22"/>
          <w:szCs w:val="22"/>
        </w:rPr>
        <w:t xml:space="preserve"> </w:t>
      </w:r>
      <w:r w:rsidRPr="00302F07">
        <w:rPr>
          <w:sz w:val="22"/>
          <w:szCs w:val="22"/>
        </w:rPr>
        <w:t>procedures</w:t>
      </w:r>
      <w:r w:rsidRPr="00302F07">
        <w:rPr>
          <w:spacing w:val="-3"/>
          <w:sz w:val="22"/>
          <w:szCs w:val="22"/>
        </w:rPr>
        <w:t xml:space="preserve"> </w:t>
      </w:r>
      <w:r w:rsidRPr="00302F07">
        <w:rPr>
          <w:sz w:val="22"/>
          <w:szCs w:val="22"/>
        </w:rPr>
        <w:t>to remove</w:t>
      </w:r>
      <w:r w:rsidRPr="00302F07">
        <w:rPr>
          <w:spacing w:val="-3"/>
          <w:sz w:val="22"/>
          <w:szCs w:val="22"/>
        </w:rPr>
        <w:t xml:space="preserve"> </w:t>
      </w:r>
      <w:r w:rsidRPr="00302F07">
        <w:rPr>
          <w:sz w:val="22"/>
          <w:szCs w:val="22"/>
        </w:rPr>
        <w:t>the</w:t>
      </w:r>
      <w:r w:rsidRPr="00302F07">
        <w:rPr>
          <w:spacing w:val="-2"/>
          <w:sz w:val="22"/>
          <w:szCs w:val="22"/>
        </w:rPr>
        <w:t xml:space="preserve"> </w:t>
      </w:r>
      <w:r w:rsidRPr="00302F07">
        <w:rPr>
          <w:sz w:val="22"/>
          <w:szCs w:val="22"/>
        </w:rPr>
        <w:t>pet,</w:t>
      </w:r>
      <w:r w:rsidRPr="00302F07">
        <w:rPr>
          <w:spacing w:val="-3"/>
          <w:sz w:val="22"/>
          <w:szCs w:val="22"/>
        </w:rPr>
        <w:t xml:space="preserve"> </w:t>
      </w:r>
      <w:r w:rsidRPr="00302F07">
        <w:rPr>
          <w:sz w:val="22"/>
          <w:szCs w:val="22"/>
        </w:rPr>
        <w:t>or to terminate the pet owner’s tenancy.</w:t>
      </w:r>
    </w:p>
    <w:p w14:paraId="6E05215A" w14:textId="77777777" w:rsidR="00847C04" w:rsidRPr="008C0462" w:rsidRDefault="00847C04" w:rsidP="00854A60">
      <w:pPr>
        <w:pStyle w:val="Heading4"/>
      </w:pPr>
      <w:bookmarkStart w:id="3022" w:name="_Toc70048724"/>
      <w:bookmarkStart w:id="3023" w:name="_Toc106037977"/>
      <w:bookmarkStart w:id="3024" w:name="_Toc106201616"/>
      <w:bookmarkStart w:id="3025" w:name="_Toc106202135"/>
      <w:bookmarkStart w:id="3026" w:name="_Toc106202661"/>
      <w:bookmarkStart w:id="3027" w:name="_Toc113345117"/>
      <w:bookmarkStart w:id="3028" w:name="_Toc137461861"/>
      <w:bookmarkStart w:id="3029" w:name="_Toc137471452"/>
      <w:bookmarkStart w:id="3030" w:name="_Toc137471961"/>
      <w:r w:rsidRPr="008C0462">
        <w:t>Termination of Tenancy</w:t>
      </w:r>
      <w:bookmarkEnd w:id="3022"/>
      <w:bookmarkEnd w:id="3023"/>
      <w:bookmarkEnd w:id="3024"/>
      <w:bookmarkEnd w:id="3025"/>
      <w:bookmarkEnd w:id="3026"/>
      <w:bookmarkEnd w:id="3027"/>
      <w:bookmarkEnd w:id="3028"/>
      <w:bookmarkEnd w:id="3029"/>
      <w:bookmarkEnd w:id="3030"/>
    </w:p>
    <w:p w14:paraId="55DD7840" w14:textId="77777777" w:rsidR="00847C04" w:rsidRPr="008C0462" w:rsidRDefault="00847C04" w:rsidP="00C35AEE">
      <w:r>
        <w:t>HHA</w:t>
      </w:r>
      <w:r w:rsidRPr="008C0462">
        <w:t xml:space="preserve"> may initiate procedures for </w:t>
      </w:r>
      <w:r>
        <w:t>lease termination</w:t>
      </w:r>
      <w:r w:rsidRPr="008C0462">
        <w:t xml:space="preserve"> based on a pet rule violation if:</w:t>
      </w:r>
    </w:p>
    <w:p w14:paraId="2C5B0126" w14:textId="77777777" w:rsidR="00847C04" w:rsidRPr="008C0462" w:rsidRDefault="00847C04" w:rsidP="007F177E">
      <w:pPr>
        <w:numPr>
          <w:ilvl w:val="0"/>
          <w:numId w:val="101"/>
        </w:numPr>
      </w:pPr>
      <w:r w:rsidRPr="008C0462">
        <w:t>The pet owner has failed to remove the pet or correct a pet rule violation within the time period specified; or</w:t>
      </w:r>
    </w:p>
    <w:p w14:paraId="3A47D6BD" w14:textId="77777777" w:rsidR="00847C04" w:rsidRPr="008C0462" w:rsidRDefault="00847C04" w:rsidP="007F177E">
      <w:pPr>
        <w:numPr>
          <w:ilvl w:val="0"/>
          <w:numId w:val="101"/>
        </w:numPr>
      </w:pPr>
      <w:r w:rsidRPr="008C0462">
        <w:t>The pet rule violation is sufficient to begin procedures to terminate tenancy under terms of the lease.</w:t>
      </w:r>
    </w:p>
    <w:p w14:paraId="7105D285" w14:textId="77777777" w:rsidR="00847C04" w:rsidRPr="00081CC5" w:rsidRDefault="00847C04" w:rsidP="00677451">
      <w:pPr>
        <w:pStyle w:val="Heading3"/>
      </w:pPr>
      <w:bookmarkStart w:id="3031" w:name="_Toc70048725"/>
      <w:bookmarkStart w:id="3032" w:name="_Toc106037978"/>
      <w:bookmarkStart w:id="3033" w:name="_Toc106201617"/>
      <w:bookmarkStart w:id="3034" w:name="_Toc106202136"/>
      <w:bookmarkStart w:id="3035" w:name="_Toc106202662"/>
      <w:bookmarkStart w:id="3036" w:name="_Toc113345118"/>
      <w:bookmarkStart w:id="3037" w:name="_Toc137461862"/>
      <w:bookmarkStart w:id="3038" w:name="_Toc137471453"/>
      <w:bookmarkStart w:id="3039" w:name="_Toc137471962"/>
      <w:bookmarkStart w:id="3040" w:name="_Toc200375798"/>
      <w:r w:rsidRPr="00081CC5">
        <w:t>Emergencies</w:t>
      </w:r>
      <w:bookmarkEnd w:id="3031"/>
      <w:bookmarkEnd w:id="3032"/>
      <w:bookmarkEnd w:id="3033"/>
      <w:bookmarkEnd w:id="3034"/>
      <w:bookmarkEnd w:id="3035"/>
      <w:bookmarkEnd w:id="3036"/>
      <w:bookmarkEnd w:id="3037"/>
      <w:bookmarkEnd w:id="3038"/>
      <w:bookmarkEnd w:id="3039"/>
      <w:bookmarkEnd w:id="3040"/>
    </w:p>
    <w:p w14:paraId="076A2B8F" w14:textId="77777777" w:rsidR="00847C04" w:rsidRPr="00131F26" w:rsidRDefault="00847C04" w:rsidP="00847C04">
      <w:r>
        <w:t>HHA</w:t>
      </w:r>
      <w:r w:rsidRPr="00131F26">
        <w:t xml:space="preserve"> will take all necessary steps to ensure that pets who become vicious, display symptoms of severe illness, or demonstrate behavior that constitutes an immediate threat to the health or safety of others, are immediately removed from the premises by referring the situation to the appropriate state or local entity authorized to remove such animals.</w:t>
      </w:r>
    </w:p>
    <w:p w14:paraId="0F15CE84" w14:textId="77777777" w:rsidR="00847C04" w:rsidRPr="00131F26" w:rsidRDefault="00847C04" w:rsidP="00847C04">
      <w:r w:rsidRPr="00131F26">
        <w:t xml:space="preserve">If it is necessary for </w:t>
      </w:r>
      <w:r>
        <w:t>HHA</w:t>
      </w:r>
      <w:r w:rsidRPr="00131F26">
        <w:t xml:space="preserve"> to place the pet in a shelter facility, the cost will be the responsibility of the pet owner.</w:t>
      </w:r>
    </w:p>
    <w:p w14:paraId="52A04EF5" w14:textId="77777777" w:rsidR="00847C04" w:rsidRDefault="00847C04" w:rsidP="00847C04">
      <w:r w:rsidRPr="00131F26">
        <w:t>If the pet is removed as a result of any aggressive act on the part of the pet, the pet will not be allowed back on the premises.</w:t>
      </w:r>
    </w:p>
    <w:p w14:paraId="6B01DEE6" w14:textId="77777777" w:rsidR="00081CC5" w:rsidRPr="00081CC5" w:rsidRDefault="00081CC5" w:rsidP="00677451">
      <w:pPr>
        <w:pStyle w:val="Heading3"/>
      </w:pPr>
      <w:bookmarkStart w:id="3041" w:name="_Toc200375799"/>
      <w:r w:rsidRPr="00081CC5">
        <w:t>Protection of the Pet</w:t>
      </w:r>
      <w:bookmarkEnd w:id="3041"/>
    </w:p>
    <w:p w14:paraId="41D10BD9" w14:textId="77777777" w:rsidR="00081CC5" w:rsidRPr="008C0462" w:rsidRDefault="00081CC5" w:rsidP="00081CC5">
      <w:r w:rsidRPr="008C0462">
        <w:t>If the death or incapacitation of the pet owner threatens the health or safety of the pet, or other factors occur that render the owner unable to care for the pet, the situation will be reported to the responsible party designated by the pet owner.</w:t>
      </w:r>
    </w:p>
    <w:p w14:paraId="0BC06C10" w14:textId="77777777" w:rsidR="00081CC5" w:rsidRDefault="00081CC5" w:rsidP="00081CC5">
      <w:r w:rsidRPr="008C0462">
        <w:t xml:space="preserve">If the responsible party is unwilling or unable to care for the pet, or if </w:t>
      </w:r>
      <w:r>
        <w:t>HHA</w:t>
      </w:r>
      <w:r w:rsidRPr="008C0462">
        <w:t xml:space="preserve"> after reasonable efforts cannot contact the responsible party, </w:t>
      </w:r>
      <w:r>
        <w:t>HHA</w:t>
      </w:r>
      <w:r w:rsidRPr="008C0462">
        <w:t xml:space="preserve"> may contact the appropriate state or local agency and request the removal of the pet.</w:t>
      </w:r>
    </w:p>
    <w:p w14:paraId="6FFE4853" w14:textId="77777777" w:rsidR="00450117" w:rsidRDefault="00450117" w:rsidP="00921602">
      <w:bookmarkStart w:id="3042" w:name="_Toc106037980"/>
      <w:bookmarkStart w:id="3043" w:name="_Toc106201619"/>
      <w:bookmarkStart w:id="3044" w:name="_Toc106202138"/>
      <w:bookmarkStart w:id="3045" w:name="_Toc106202664"/>
      <w:bookmarkStart w:id="3046" w:name="_Toc113345120"/>
      <w:bookmarkStart w:id="3047" w:name="_Toc137461864"/>
      <w:bookmarkStart w:id="3048" w:name="_Toc137471455"/>
      <w:bookmarkStart w:id="3049" w:name="_Toc137471964"/>
      <w:r w:rsidRPr="00450117">
        <w:t xml:space="preserve">If none of the above actions produce results, the HHA or property management may enter the pet owner’s unit, remove the pet, and place the pet in a facility that will provide care and shelter until the pet owner or a representative of the pet owner is able to assume responsibility for the pet, but no longer than thirty (30) days. The cost of the animal care facility provided under this section shall be charged to the pet owner. </w:t>
      </w:r>
    </w:p>
    <w:p w14:paraId="09297FEF" w14:textId="77777777" w:rsidR="000C6FAA" w:rsidRPr="00131F26" w:rsidRDefault="000C6FAA" w:rsidP="00677451">
      <w:pPr>
        <w:pStyle w:val="Heading3"/>
      </w:pPr>
      <w:bookmarkStart w:id="3050" w:name="_Toc106037981"/>
      <w:bookmarkStart w:id="3051" w:name="_Toc106201620"/>
      <w:bookmarkStart w:id="3052" w:name="_Toc106202139"/>
      <w:bookmarkStart w:id="3053" w:name="_Toc106202665"/>
      <w:bookmarkStart w:id="3054" w:name="_Toc113345121"/>
      <w:bookmarkStart w:id="3055" w:name="_Toc137461865"/>
      <w:bookmarkStart w:id="3056" w:name="_Toc137471456"/>
      <w:bookmarkStart w:id="3057" w:name="_Toc137471965"/>
      <w:bookmarkStart w:id="3058" w:name="_Toc200375800"/>
      <w:r w:rsidRPr="00131F26">
        <w:t>Charges for Pet-Related Damages During Occupancy</w:t>
      </w:r>
      <w:bookmarkEnd w:id="3050"/>
      <w:bookmarkEnd w:id="3051"/>
      <w:bookmarkEnd w:id="3052"/>
      <w:bookmarkEnd w:id="3053"/>
      <w:bookmarkEnd w:id="3054"/>
      <w:bookmarkEnd w:id="3055"/>
      <w:bookmarkEnd w:id="3056"/>
      <w:bookmarkEnd w:id="3057"/>
      <w:bookmarkEnd w:id="3058"/>
    </w:p>
    <w:p w14:paraId="181D96F8" w14:textId="77777777" w:rsidR="000C6FAA" w:rsidRPr="00C70BB5" w:rsidRDefault="000C6FAA" w:rsidP="000C6FAA">
      <w:pPr>
        <w:pStyle w:val="BodyText"/>
        <w:spacing w:after="160" w:line="259" w:lineRule="auto"/>
        <w:jc w:val="both"/>
        <w:rPr>
          <w:sz w:val="22"/>
          <w:szCs w:val="22"/>
        </w:rPr>
      </w:pPr>
      <w:r w:rsidRPr="00C70BB5">
        <w:rPr>
          <w:sz w:val="22"/>
          <w:szCs w:val="22"/>
        </w:rPr>
        <w:t>All reasonable expenses incurred by HHA as a result of damages directly attributable</w:t>
      </w:r>
      <w:r w:rsidRPr="00C70BB5">
        <w:rPr>
          <w:spacing w:val="-3"/>
          <w:sz w:val="22"/>
          <w:szCs w:val="22"/>
        </w:rPr>
        <w:t xml:space="preserve"> </w:t>
      </w:r>
      <w:r w:rsidRPr="00C70BB5">
        <w:rPr>
          <w:sz w:val="22"/>
          <w:szCs w:val="22"/>
        </w:rPr>
        <w:t>to</w:t>
      </w:r>
      <w:r w:rsidRPr="00C70BB5">
        <w:rPr>
          <w:spacing w:val="-3"/>
          <w:sz w:val="22"/>
          <w:szCs w:val="22"/>
        </w:rPr>
        <w:t xml:space="preserve"> </w:t>
      </w:r>
      <w:r w:rsidRPr="00C70BB5">
        <w:rPr>
          <w:sz w:val="22"/>
          <w:szCs w:val="22"/>
        </w:rPr>
        <w:t>the</w:t>
      </w:r>
      <w:r w:rsidRPr="00C70BB5">
        <w:rPr>
          <w:spacing w:val="-3"/>
          <w:sz w:val="22"/>
          <w:szCs w:val="22"/>
        </w:rPr>
        <w:t xml:space="preserve"> </w:t>
      </w:r>
      <w:r w:rsidRPr="00C70BB5">
        <w:rPr>
          <w:sz w:val="22"/>
          <w:szCs w:val="22"/>
        </w:rPr>
        <w:t>presence</w:t>
      </w:r>
      <w:r w:rsidRPr="00C70BB5">
        <w:rPr>
          <w:spacing w:val="-4"/>
          <w:sz w:val="22"/>
          <w:szCs w:val="22"/>
        </w:rPr>
        <w:t xml:space="preserve"> </w:t>
      </w:r>
      <w:r w:rsidRPr="00C70BB5">
        <w:rPr>
          <w:sz w:val="22"/>
          <w:szCs w:val="22"/>
        </w:rPr>
        <w:t>of</w:t>
      </w:r>
      <w:r w:rsidRPr="00C70BB5">
        <w:rPr>
          <w:spacing w:val="-3"/>
          <w:sz w:val="22"/>
          <w:szCs w:val="22"/>
        </w:rPr>
        <w:t xml:space="preserve"> </w:t>
      </w:r>
      <w:r w:rsidRPr="00C70BB5">
        <w:rPr>
          <w:sz w:val="22"/>
          <w:szCs w:val="22"/>
        </w:rPr>
        <w:t>the</w:t>
      </w:r>
      <w:r w:rsidRPr="00C70BB5">
        <w:rPr>
          <w:spacing w:val="-5"/>
          <w:sz w:val="22"/>
          <w:szCs w:val="22"/>
        </w:rPr>
        <w:t xml:space="preserve"> </w:t>
      </w:r>
      <w:r w:rsidRPr="00C70BB5">
        <w:rPr>
          <w:sz w:val="22"/>
          <w:szCs w:val="22"/>
        </w:rPr>
        <w:t>pet</w:t>
      </w:r>
      <w:r w:rsidRPr="00C70BB5">
        <w:rPr>
          <w:spacing w:val="-3"/>
          <w:sz w:val="22"/>
          <w:szCs w:val="22"/>
        </w:rPr>
        <w:t xml:space="preserve"> </w:t>
      </w:r>
      <w:r w:rsidRPr="00C70BB5">
        <w:rPr>
          <w:sz w:val="22"/>
          <w:szCs w:val="22"/>
        </w:rPr>
        <w:t>in</w:t>
      </w:r>
      <w:r w:rsidRPr="00C70BB5">
        <w:rPr>
          <w:spacing w:val="-3"/>
          <w:sz w:val="22"/>
          <w:szCs w:val="22"/>
        </w:rPr>
        <w:t xml:space="preserve"> </w:t>
      </w:r>
      <w:r w:rsidRPr="00C70BB5">
        <w:rPr>
          <w:sz w:val="22"/>
          <w:szCs w:val="22"/>
        </w:rPr>
        <w:t>the</w:t>
      </w:r>
      <w:r w:rsidRPr="00C70BB5">
        <w:rPr>
          <w:spacing w:val="-3"/>
          <w:sz w:val="22"/>
          <w:szCs w:val="22"/>
        </w:rPr>
        <w:t xml:space="preserve"> </w:t>
      </w:r>
      <w:r w:rsidRPr="00C70BB5">
        <w:rPr>
          <w:sz w:val="22"/>
          <w:szCs w:val="22"/>
        </w:rPr>
        <w:t>project</w:t>
      </w:r>
      <w:r w:rsidRPr="00C70BB5">
        <w:rPr>
          <w:spacing w:val="-1"/>
          <w:sz w:val="22"/>
          <w:szCs w:val="22"/>
        </w:rPr>
        <w:t xml:space="preserve"> </w:t>
      </w:r>
      <w:r w:rsidRPr="00C70BB5">
        <w:rPr>
          <w:sz w:val="22"/>
          <w:szCs w:val="22"/>
        </w:rPr>
        <w:t>will</w:t>
      </w:r>
      <w:r w:rsidRPr="00C70BB5">
        <w:rPr>
          <w:spacing w:val="-3"/>
          <w:sz w:val="22"/>
          <w:szCs w:val="22"/>
        </w:rPr>
        <w:t xml:space="preserve"> </w:t>
      </w:r>
      <w:r w:rsidRPr="00C70BB5">
        <w:rPr>
          <w:sz w:val="22"/>
          <w:szCs w:val="22"/>
        </w:rPr>
        <w:t>be</w:t>
      </w:r>
      <w:r w:rsidRPr="00C70BB5">
        <w:rPr>
          <w:spacing w:val="-3"/>
          <w:sz w:val="22"/>
          <w:szCs w:val="22"/>
        </w:rPr>
        <w:t xml:space="preserve"> </w:t>
      </w:r>
      <w:r w:rsidRPr="00C70BB5">
        <w:rPr>
          <w:sz w:val="22"/>
          <w:szCs w:val="22"/>
        </w:rPr>
        <w:t>the</w:t>
      </w:r>
      <w:r w:rsidRPr="00C70BB5">
        <w:rPr>
          <w:spacing w:val="-4"/>
          <w:sz w:val="22"/>
          <w:szCs w:val="22"/>
        </w:rPr>
        <w:t xml:space="preserve"> </w:t>
      </w:r>
      <w:r w:rsidRPr="00C70BB5">
        <w:rPr>
          <w:sz w:val="22"/>
          <w:szCs w:val="22"/>
        </w:rPr>
        <w:t>responsibility</w:t>
      </w:r>
      <w:r w:rsidRPr="00C70BB5">
        <w:rPr>
          <w:spacing w:val="-6"/>
          <w:sz w:val="22"/>
          <w:szCs w:val="22"/>
        </w:rPr>
        <w:t xml:space="preserve"> </w:t>
      </w:r>
      <w:r w:rsidRPr="00C70BB5">
        <w:rPr>
          <w:sz w:val="22"/>
          <w:szCs w:val="22"/>
        </w:rPr>
        <w:t>of</w:t>
      </w:r>
      <w:r w:rsidRPr="00C70BB5">
        <w:rPr>
          <w:spacing w:val="-4"/>
          <w:sz w:val="22"/>
          <w:szCs w:val="22"/>
        </w:rPr>
        <w:t xml:space="preserve"> </w:t>
      </w:r>
      <w:r w:rsidRPr="00C70BB5">
        <w:rPr>
          <w:sz w:val="22"/>
          <w:szCs w:val="22"/>
        </w:rPr>
        <w:t>the resident, including:</w:t>
      </w:r>
    </w:p>
    <w:p w14:paraId="423562D6" w14:textId="77777777" w:rsidR="000C6FAA" w:rsidRPr="00C70BB5" w:rsidRDefault="000C6FAA" w:rsidP="007F177E">
      <w:pPr>
        <w:pStyle w:val="BodyText"/>
        <w:widowControl/>
        <w:numPr>
          <w:ilvl w:val="0"/>
          <w:numId w:val="186"/>
        </w:numPr>
        <w:autoSpaceDE/>
        <w:autoSpaceDN/>
        <w:spacing w:after="160" w:line="259" w:lineRule="auto"/>
        <w:jc w:val="both"/>
        <w:rPr>
          <w:sz w:val="22"/>
          <w:szCs w:val="22"/>
        </w:rPr>
      </w:pPr>
      <w:r w:rsidRPr="00C70BB5">
        <w:rPr>
          <w:sz w:val="22"/>
          <w:szCs w:val="22"/>
        </w:rPr>
        <w:t>The</w:t>
      </w:r>
      <w:r w:rsidRPr="00C70BB5">
        <w:rPr>
          <w:spacing w:val="-6"/>
          <w:sz w:val="22"/>
          <w:szCs w:val="22"/>
        </w:rPr>
        <w:t xml:space="preserve"> </w:t>
      </w:r>
      <w:r w:rsidRPr="00C70BB5">
        <w:rPr>
          <w:sz w:val="22"/>
          <w:szCs w:val="22"/>
        </w:rPr>
        <w:t>cost</w:t>
      </w:r>
      <w:r w:rsidRPr="00C70BB5">
        <w:rPr>
          <w:spacing w:val="-4"/>
          <w:sz w:val="22"/>
          <w:szCs w:val="22"/>
        </w:rPr>
        <w:t xml:space="preserve"> </w:t>
      </w:r>
      <w:r w:rsidRPr="00C70BB5">
        <w:rPr>
          <w:sz w:val="22"/>
          <w:szCs w:val="22"/>
        </w:rPr>
        <w:t>of</w:t>
      </w:r>
      <w:r w:rsidRPr="00C70BB5">
        <w:rPr>
          <w:spacing w:val="-4"/>
          <w:sz w:val="22"/>
          <w:szCs w:val="22"/>
        </w:rPr>
        <w:t xml:space="preserve"> </w:t>
      </w:r>
      <w:r w:rsidRPr="00C70BB5">
        <w:rPr>
          <w:sz w:val="22"/>
          <w:szCs w:val="22"/>
        </w:rPr>
        <w:t>repairs</w:t>
      </w:r>
      <w:r w:rsidRPr="00C70BB5">
        <w:rPr>
          <w:spacing w:val="-4"/>
          <w:sz w:val="22"/>
          <w:szCs w:val="22"/>
        </w:rPr>
        <w:t xml:space="preserve"> </w:t>
      </w:r>
      <w:r w:rsidRPr="00C70BB5">
        <w:rPr>
          <w:sz w:val="22"/>
          <w:szCs w:val="22"/>
        </w:rPr>
        <w:t>and</w:t>
      </w:r>
      <w:r w:rsidRPr="00C70BB5">
        <w:rPr>
          <w:spacing w:val="-2"/>
          <w:sz w:val="22"/>
          <w:szCs w:val="22"/>
        </w:rPr>
        <w:t xml:space="preserve"> </w:t>
      </w:r>
      <w:r w:rsidRPr="00C70BB5">
        <w:rPr>
          <w:sz w:val="22"/>
          <w:szCs w:val="22"/>
        </w:rPr>
        <w:t>replacements</w:t>
      </w:r>
      <w:r w:rsidRPr="00C70BB5">
        <w:rPr>
          <w:spacing w:val="-4"/>
          <w:sz w:val="22"/>
          <w:szCs w:val="22"/>
        </w:rPr>
        <w:t xml:space="preserve"> </w:t>
      </w:r>
      <w:r w:rsidRPr="00C70BB5">
        <w:rPr>
          <w:sz w:val="22"/>
          <w:szCs w:val="22"/>
        </w:rPr>
        <w:t>to</w:t>
      </w:r>
      <w:r w:rsidRPr="00C70BB5">
        <w:rPr>
          <w:spacing w:val="-4"/>
          <w:sz w:val="22"/>
          <w:szCs w:val="22"/>
        </w:rPr>
        <w:t xml:space="preserve"> </w:t>
      </w:r>
      <w:r w:rsidRPr="00C70BB5">
        <w:rPr>
          <w:sz w:val="22"/>
          <w:szCs w:val="22"/>
        </w:rPr>
        <w:t>the</w:t>
      </w:r>
      <w:r w:rsidRPr="00C70BB5">
        <w:rPr>
          <w:spacing w:val="-4"/>
          <w:sz w:val="22"/>
          <w:szCs w:val="22"/>
        </w:rPr>
        <w:t xml:space="preserve"> </w:t>
      </w:r>
      <w:r w:rsidRPr="00C70BB5">
        <w:rPr>
          <w:sz w:val="22"/>
          <w:szCs w:val="22"/>
        </w:rPr>
        <w:t>resident’s</w:t>
      </w:r>
      <w:r w:rsidRPr="00C70BB5">
        <w:rPr>
          <w:spacing w:val="-4"/>
          <w:sz w:val="22"/>
          <w:szCs w:val="22"/>
        </w:rPr>
        <w:t xml:space="preserve"> </w:t>
      </w:r>
      <w:r w:rsidRPr="00C70BB5">
        <w:rPr>
          <w:sz w:val="22"/>
          <w:szCs w:val="22"/>
        </w:rPr>
        <w:t>dwelling</w:t>
      </w:r>
      <w:r w:rsidRPr="00C70BB5">
        <w:rPr>
          <w:spacing w:val="-7"/>
          <w:sz w:val="22"/>
          <w:szCs w:val="22"/>
        </w:rPr>
        <w:t xml:space="preserve"> </w:t>
      </w:r>
      <w:r w:rsidRPr="00C70BB5">
        <w:rPr>
          <w:sz w:val="22"/>
          <w:szCs w:val="22"/>
        </w:rPr>
        <w:t xml:space="preserve">unit, common areas or other units damaged by the owner’s pet; </w:t>
      </w:r>
    </w:p>
    <w:p w14:paraId="151D952B" w14:textId="77777777" w:rsidR="000C6FAA" w:rsidRPr="00C70BB5" w:rsidRDefault="000C6FAA" w:rsidP="007F177E">
      <w:pPr>
        <w:numPr>
          <w:ilvl w:val="0"/>
          <w:numId w:val="186"/>
        </w:numPr>
      </w:pPr>
      <w:r w:rsidRPr="00C70BB5">
        <w:t>Cleaning, deodorizing and sanitizing carpeting and other floor coverings in the apartment or common area as necessitated by the presence of the pet;</w:t>
      </w:r>
    </w:p>
    <w:p w14:paraId="2AF05BE7" w14:textId="77777777" w:rsidR="000C6FAA" w:rsidRPr="00C70BB5" w:rsidRDefault="000C6FAA" w:rsidP="007F177E">
      <w:pPr>
        <w:numPr>
          <w:ilvl w:val="0"/>
          <w:numId w:val="186"/>
        </w:numPr>
      </w:pPr>
      <w:r w:rsidRPr="00C70BB5">
        <w:t>Short- and long-term pet care or disposition necessitated by the inability or unwillingness of the tenant or tenant’s designated caretaker to assume responsibility for the pet; and</w:t>
      </w:r>
    </w:p>
    <w:p w14:paraId="6202791E" w14:textId="77777777" w:rsidR="000C6FAA" w:rsidRPr="00C70BB5" w:rsidRDefault="000C6FAA" w:rsidP="007F177E">
      <w:pPr>
        <w:numPr>
          <w:ilvl w:val="0"/>
          <w:numId w:val="186"/>
        </w:numPr>
      </w:pPr>
      <w:r w:rsidRPr="00C70BB5">
        <w:t>Any pet-related insect infestation. HHA reserves the right to exterminate and charge the tenant for such services.</w:t>
      </w:r>
    </w:p>
    <w:p w14:paraId="13ED69B0" w14:textId="77777777" w:rsidR="000C6FAA" w:rsidRPr="00C70BB5" w:rsidRDefault="000C6FAA" w:rsidP="000C6FAA">
      <w:r w:rsidRPr="00C70BB5">
        <w:rPr>
          <w:rFonts w:cs="Arial"/>
        </w:rPr>
        <w:t>If</w:t>
      </w:r>
      <w:r w:rsidRPr="00C70BB5">
        <w:rPr>
          <w:rFonts w:cs="Arial"/>
          <w:spacing w:val="-2"/>
        </w:rPr>
        <w:t xml:space="preserve"> </w:t>
      </w:r>
      <w:r w:rsidRPr="00C70BB5">
        <w:rPr>
          <w:rFonts w:cs="Arial"/>
        </w:rPr>
        <w:t>the</w:t>
      </w:r>
      <w:r w:rsidRPr="00C70BB5">
        <w:rPr>
          <w:rFonts w:cs="Arial"/>
          <w:spacing w:val="-3"/>
        </w:rPr>
        <w:t xml:space="preserve"> </w:t>
      </w:r>
      <w:r w:rsidRPr="00C70BB5">
        <w:rPr>
          <w:rFonts w:cs="Arial"/>
        </w:rPr>
        <w:t>resident</w:t>
      </w:r>
      <w:r w:rsidRPr="00C70BB5">
        <w:rPr>
          <w:rFonts w:cs="Arial"/>
          <w:spacing w:val="-3"/>
        </w:rPr>
        <w:t xml:space="preserve"> </w:t>
      </w:r>
      <w:r w:rsidRPr="00C70BB5">
        <w:rPr>
          <w:rFonts w:cs="Arial"/>
        </w:rPr>
        <w:t>is</w:t>
      </w:r>
      <w:r w:rsidRPr="00C70BB5">
        <w:rPr>
          <w:rFonts w:cs="Arial"/>
          <w:spacing w:val="-3"/>
        </w:rPr>
        <w:t xml:space="preserve"> </w:t>
      </w:r>
      <w:r w:rsidRPr="00C70BB5">
        <w:rPr>
          <w:rFonts w:cs="Arial"/>
        </w:rPr>
        <w:t>in</w:t>
      </w:r>
      <w:r w:rsidRPr="00C70BB5">
        <w:rPr>
          <w:rFonts w:cs="Arial"/>
          <w:spacing w:val="-3"/>
        </w:rPr>
        <w:t xml:space="preserve"> </w:t>
      </w:r>
      <w:r w:rsidRPr="00C70BB5">
        <w:rPr>
          <w:rFonts w:cs="Arial"/>
        </w:rPr>
        <w:t>occupancy</w:t>
      </w:r>
      <w:r w:rsidRPr="00C70BB5">
        <w:rPr>
          <w:rFonts w:cs="Arial"/>
          <w:spacing w:val="-7"/>
        </w:rPr>
        <w:t xml:space="preserve"> </w:t>
      </w:r>
      <w:r w:rsidRPr="00C70BB5">
        <w:rPr>
          <w:rFonts w:cs="Arial"/>
        </w:rPr>
        <w:t>when</w:t>
      </w:r>
      <w:r w:rsidRPr="00C70BB5">
        <w:rPr>
          <w:rFonts w:cs="Arial"/>
          <w:spacing w:val="-3"/>
        </w:rPr>
        <w:t xml:space="preserve"> </w:t>
      </w:r>
      <w:r w:rsidRPr="00C70BB5">
        <w:rPr>
          <w:rFonts w:cs="Arial"/>
        </w:rPr>
        <w:t>such</w:t>
      </w:r>
      <w:r w:rsidRPr="00C70BB5">
        <w:rPr>
          <w:rFonts w:cs="Arial"/>
          <w:spacing w:val="-3"/>
        </w:rPr>
        <w:t xml:space="preserve"> </w:t>
      </w:r>
      <w:r w:rsidRPr="00C70BB5">
        <w:rPr>
          <w:rFonts w:cs="Arial"/>
        </w:rPr>
        <w:t>costs</w:t>
      </w:r>
      <w:r w:rsidRPr="00C70BB5">
        <w:rPr>
          <w:rFonts w:cs="Arial"/>
          <w:spacing w:val="-3"/>
        </w:rPr>
        <w:t xml:space="preserve"> </w:t>
      </w:r>
      <w:r w:rsidRPr="00C70BB5">
        <w:rPr>
          <w:rFonts w:cs="Arial"/>
        </w:rPr>
        <w:t>occur,</w:t>
      </w:r>
      <w:r w:rsidRPr="00C70BB5">
        <w:rPr>
          <w:rFonts w:cs="Arial"/>
          <w:spacing w:val="-3"/>
        </w:rPr>
        <w:t xml:space="preserve"> </w:t>
      </w:r>
      <w:r w:rsidRPr="00C70BB5">
        <w:rPr>
          <w:rFonts w:cs="Arial"/>
        </w:rPr>
        <w:t>the</w:t>
      </w:r>
      <w:r w:rsidRPr="00C70BB5">
        <w:rPr>
          <w:rFonts w:cs="Arial"/>
          <w:spacing w:val="-3"/>
        </w:rPr>
        <w:t xml:space="preserve"> </w:t>
      </w:r>
      <w:r w:rsidRPr="00C70BB5">
        <w:rPr>
          <w:rFonts w:cs="Arial"/>
        </w:rPr>
        <w:t>resident</w:t>
      </w:r>
      <w:r w:rsidRPr="00C70BB5">
        <w:rPr>
          <w:rFonts w:cs="Arial"/>
          <w:spacing w:val="-3"/>
        </w:rPr>
        <w:t xml:space="preserve"> </w:t>
      </w:r>
      <w:r w:rsidRPr="00C70BB5">
        <w:rPr>
          <w:rFonts w:cs="Arial"/>
        </w:rPr>
        <w:t>shall</w:t>
      </w:r>
      <w:r w:rsidRPr="00C70BB5">
        <w:rPr>
          <w:rFonts w:cs="Arial"/>
          <w:spacing w:val="-3"/>
        </w:rPr>
        <w:t xml:space="preserve"> </w:t>
      </w:r>
      <w:r w:rsidRPr="00C70BB5">
        <w:rPr>
          <w:rFonts w:cs="Arial"/>
        </w:rPr>
        <w:t>be</w:t>
      </w:r>
      <w:r w:rsidRPr="00C70BB5">
        <w:rPr>
          <w:rFonts w:cs="Arial"/>
          <w:spacing w:val="-2"/>
        </w:rPr>
        <w:t xml:space="preserve"> </w:t>
      </w:r>
      <w:r w:rsidRPr="00C70BB5">
        <w:rPr>
          <w:rFonts w:cs="Arial"/>
        </w:rPr>
        <w:t>billed</w:t>
      </w:r>
      <w:r w:rsidRPr="00C70BB5">
        <w:rPr>
          <w:rFonts w:cs="Arial"/>
          <w:spacing w:val="-3"/>
        </w:rPr>
        <w:t xml:space="preserve"> </w:t>
      </w:r>
      <w:r w:rsidRPr="00C70BB5">
        <w:rPr>
          <w:rFonts w:cs="Arial"/>
        </w:rPr>
        <w:t>for</w:t>
      </w:r>
      <w:r w:rsidRPr="00C70BB5">
        <w:rPr>
          <w:rFonts w:cs="Arial"/>
          <w:spacing w:val="-4"/>
        </w:rPr>
        <w:t xml:space="preserve"> </w:t>
      </w:r>
      <w:r w:rsidRPr="00C70BB5">
        <w:rPr>
          <w:rFonts w:cs="Arial"/>
        </w:rPr>
        <w:t xml:space="preserve">such costs in accordance with this ACOP. </w:t>
      </w:r>
      <w:r w:rsidRPr="00C70BB5">
        <w:t xml:space="preserve">The tenant shall pay promptly, upon receipt of a bill, the cost of all materials and/or labor for repair of any damage caused by the tenant’s pet. </w:t>
      </w:r>
      <w:r w:rsidRPr="00C70BB5">
        <w:rPr>
          <w:rFonts w:cs="Arial"/>
        </w:rPr>
        <w:t xml:space="preserve">Pet deposits will not be applied to the costs of pet-related damages during </w:t>
      </w:r>
      <w:r w:rsidRPr="00C70BB5">
        <w:rPr>
          <w:rFonts w:cs="Arial"/>
          <w:spacing w:val="-2"/>
        </w:rPr>
        <w:t>occupancy.</w:t>
      </w:r>
    </w:p>
    <w:p w14:paraId="15FC4D19" w14:textId="77777777" w:rsidR="000C6FAA" w:rsidRDefault="000C6FAA" w:rsidP="000C6FAA">
      <w:r w:rsidRPr="00C70BB5">
        <w:t>Charges for pet-related damage are not part of rent payable by the tenant.</w:t>
      </w:r>
    </w:p>
    <w:p w14:paraId="0B26687D" w14:textId="77777777" w:rsidR="00847C04" w:rsidRPr="00B82BC3" w:rsidRDefault="00847C04" w:rsidP="00677451">
      <w:pPr>
        <w:pStyle w:val="Heading3"/>
      </w:pPr>
      <w:bookmarkStart w:id="3059" w:name="_Toc200375801"/>
      <w:r w:rsidRPr="00B82BC3">
        <w:t>Refund of Pet Deposit</w:t>
      </w:r>
      <w:bookmarkEnd w:id="3042"/>
      <w:bookmarkEnd w:id="3043"/>
      <w:bookmarkEnd w:id="3044"/>
      <w:bookmarkEnd w:id="3045"/>
      <w:bookmarkEnd w:id="3046"/>
      <w:bookmarkEnd w:id="3047"/>
      <w:bookmarkEnd w:id="3048"/>
      <w:bookmarkEnd w:id="3049"/>
      <w:bookmarkEnd w:id="3059"/>
    </w:p>
    <w:p w14:paraId="5B8343EC" w14:textId="77777777" w:rsidR="00847C04" w:rsidRPr="00C35AEE" w:rsidRDefault="00847C04" w:rsidP="00C35AEE">
      <w:pPr>
        <w:pStyle w:val="BodyText"/>
        <w:spacing w:after="160" w:line="259" w:lineRule="auto"/>
        <w:ind w:right="216"/>
        <w:jc w:val="both"/>
        <w:rPr>
          <w:spacing w:val="-2"/>
          <w:sz w:val="22"/>
          <w:szCs w:val="22"/>
        </w:rPr>
      </w:pPr>
      <w:r w:rsidRPr="00C35AEE">
        <w:rPr>
          <w:sz w:val="22"/>
          <w:szCs w:val="22"/>
        </w:rPr>
        <w:t>HHA will refund the pet deposit to the resident, less the costs of any damages caused</w:t>
      </w:r>
      <w:r w:rsidRPr="00C35AEE">
        <w:rPr>
          <w:spacing w:val="-3"/>
          <w:sz w:val="22"/>
          <w:szCs w:val="22"/>
        </w:rPr>
        <w:t xml:space="preserve"> </w:t>
      </w:r>
      <w:r w:rsidRPr="00C35AEE">
        <w:rPr>
          <w:sz w:val="22"/>
          <w:szCs w:val="22"/>
        </w:rPr>
        <w:t>by</w:t>
      </w:r>
      <w:r w:rsidRPr="00C35AEE">
        <w:rPr>
          <w:spacing w:val="-7"/>
          <w:sz w:val="22"/>
          <w:szCs w:val="22"/>
        </w:rPr>
        <w:t xml:space="preserve"> </w:t>
      </w:r>
      <w:r w:rsidRPr="00C35AEE">
        <w:rPr>
          <w:sz w:val="22"/>
          <w:szCs w:val="22"/>
        </w:rPr>
        <w:t>the</w:t>
      </w:r>
      <w:r w:rsidRPr="00C35AEE">
        <w:rPr>
          <w:spacing w:val="-2"/>
          <w:sz w:val="22"/>
          <w:szCs w:val="22"/>
        </w:rPr>
        <w:t xml:space="preserve"> </w:t>
      </w:r>
      <w:r w:rsidRPr="00C35AEE">
        <w:rPr>
          <w:sz w:val="22"/>
          <w:szCs w:val="22"/>
        </w:rPr>
        <w:t>pet</w:t>
      </w:r>
      <w:r w:rsidRPr="00C35AEE">
        <w:rPr>
          <w:spacing w:val="-2"/>
          <w:sz w:val="22"/>
          <w:szCs w:val="22"/>
        </w:rPr>
        <w:t xml:space="preserve"> to the dwelling unit or common areas within </w:t>
      </w:r>
      <w:r w:rsidR="00835B74">
        <w:rPr>
          <w:spacing w:val="-2"/>
          <w:sz w:val="22"/>
          <w:szCs w:val="22"/>
        </w:rPr>
        <w:t>30</w:t>
      </w:r>
      <w:r w:rsidRPr="00C35AEE">
        <w:rPr>
          <w:spacing w:val="-2"/>
          <w:sz w:val="22"/>
          <w:szCs w:val="22"/>
        </w:rPr>
        <w:t xml:space="preserve"> days of the move-out </w:t>
      </w:r>
      <w:r w:rsidRPr="00C35AEE">
        <w:rPr>
          <w:sz w:val="22"/>
          <w:szCs w:val="22"/>
        </w:rPr>
        <w:t>inspection or removal of</w:t>
      </w:r>
      <w:r w:rsidRPr="00C35AEE">
        <w:rPr>
          <w:spacing w:val="-2"/>
          <w:sz w:val="22"/>
          <w:szCs w:val="22"/>
        </w:rPr>
        <w:t xml:space="preserve"> pet from the unit. </w:t>
      </w:r>
    </w:p>
    <w:p w14:paraId="55D19DA2" w14:textId="77777777" w:rsidR="00847C04" w:rsidRPr="00C35AEE" w:rsidRDefault="00847C04" w:rsidP="00C35AEE">
      <w:pPr>
        <w:pStyle w:val="BodyText"/>
        <w:spacing w:after="160" w:line="259" w:lineRule="auto"/>
        <w:ind w:right="216"/>
        <w:jc w:val="both"/>
        <w:rPr>
          <w:spacing w:val="-2"/>
          <w:sz w:val="22"/>
          <w:szCs w:val="22"/>
        </w:rPr>
      </w:pPr>
      <w:r w:rsidRPr="00C35AEE">
        <w:rPr>
          <w:spacing w:val="-2"/>
          <w:sz w:val="22"/>
          <w:szCs w:val="22"/>
        </w:rPr>
        <w:t>The resident will be billed for any amount that exceeds the pet deposit.</w:t>
      </w:r>
    </w:p>
    <w:p w14:paraId="65993514" w14:textId="77777777" w:rsidR="00847C04" w:rsidRPr="00C35AEE" w:rsidRDefault="00847C04" w:rsidP="00C35AEE">
      <w:pPr>
        <w:pStyle w:val="BodyText"/>
        <w:spacing w:after="160" w:line="259" w:lineRule="auto"/>
        <w:ind w:right="216"/>
        <w:jc w:val="both"/>
        <w:rPr>
          <w:spacing w:val="-2"/>
          <w:sz w:val="22"/>
          <w:szCs w:val="22"/>
        </w:rPr>
      </w:pPr>
      <w:r w:rsidRPr="00C35AEE">
        <w:rPr>
          <w:spacing w:val="-2"/>
          <w:sz w:val="22"/>
          <w:szCs w:val="22"/>
        </w:rPr>
        <w:t>HHA will provide the resident with a written list of any charges against the pet deposit. If the resident disagrees with the amount charged to the pet deposit, HHA will provide a meeting to discuss the charges.</w:t>
      </w:r>
    </w:p>
    <w:p w14:paraId="41962951" w14:textId="77777777" w:rsidR="00A8765B" w:rsidRDefault="00A8765B" w:rsidP="00C70BB5"/>
    <w:p w14:paraId="38BBD53A" w14:textId="77777777" w:rsidR="00A8765B" w:rsidRDefault="00A8765B" w:rsidP="00C70BB5"/>
    <w:p w14:paraId="18EFF2E1" w14:textId="77777777" w:rsidR="00A8765B" w:rsidRPr="00C70BB5" w:rsidRDefault="00A8765B" w:rsidP="00C70BB5"/>
    <w:p w14:paraId="48456F4A" w14:textId="77777777" w:rsidR="00485FA3" w:rsidRDefault="00485FA3">
      <w:pPr>
        <w:jc w:val="left"/>
        <w:rPr>
          <w:rFonts w:cs="Arial"/>
          <w:kern w:val="0"/>
          <w:sz w:val="20"/>
          <w:szCs w:val="20"/>
          <w14:ligatures w14:val="none"/>
        </w:rPr>
      </w:pPr>
      <w:r>
        <w:br w:type="page"/>
      </w:r>
    </w:p>
    <w:p w14:paraId="2ACB43A6" w14:textId="77777777" w:rsidR="00A95B1E" w:rsidRPr="00D57EF6" w:rsidRDefault="00BE78E6" w:rsidP="00BE78E6">
      <w:pPr>
        <w:pStyle w:val="Heading1"/>
        <w:ind w:left="0" w:firstLine="0"/>
      </w:pPr>
      <w:bookmarkStart w:id="3060" w:name="_Ref150424972"/>
      <w:bookmarkStart w:id="3061" w:name="_Ref150430393"/>
      <w:bookmarkStart w:id="3062" w:name="_Ref151015514"/>
      <w:bookmarkStart w:id="3063" w:name="_Toc173222753"/>
      <w:bookmarkStart w:id="3064" w:name="_Toc200375802"/>
      <w:bookmarkStart w:id="3065" w:name="_Toc200377019"/>
      <w:r w:rsidRPr="00D57EF6">
        <w:t>COMMUNITY SERVICE</w:t>
      </w:r>
      <w:bookmarkEnd w:id="3060"/>
      <w:bookmarkEnd w:id="3061"/>
      <w:bookmarkEnd w:id="3062"/>
      <w:bookmarkEnd w:id="3063"/>
      <w:bookmarkEnd w:id="3064"/>
      <w:bookmarkEnd w:id="3065"/>
    </w:p>
    <w:p w14:paraId="52EF0202" w14:textId="77777777" w:rsidR="00822559" w:rsidRPr="00A27522" w:rsidRDefault="00822559" w:rsidP="00822559">
      <w:pPr>
        <w:pStyle w:val="Heading2"/>
      </w:pPr>
      <w:bookmarkStart w:id="3066" w:name="_Toc106037985"/>
      <w:bookmarkStart w:id="3067" w:name="_Toc106201624"/>
      <w:bookmarkStart w:id="3068" w:name="_Toc106202143"/>
      <w:bookmarkStart w:id="3069" w:name="_Toc106202669"/>
      <w:bookmarkStart w:id="3070" w:name="_Toc113345124"/>
      <w:bookmarkStart w:id="3071" w:name="_Toc137460425"/>
      <w:bookmarkStart w:id="3072" w:name="_Toc137460670"/>
      <w:bookmarkStart w:id="3073" w:name="_Toc137460915"/>
      <w:bookmarkStart w:id="3074" w:name="_Toc137461868"/>
      <w:bookmarkStart w:id="3075" w:name="_Toc137471459"/>
      <w:bookmarkStart w:id="3076" w:name="_Toc137471968"/>
      <w:bookmarkStart w:id="3077" w:name="_Toc173222754"/>
      <w:bookmarkStart w:id="3078" w:name="_Toc200375803"/>
      <w:bookmarkStart w:id="3079" w:name="_Toc200377020"/>
      <w:r w:rsidRPr="00A27522">
        <w:t>Introduction</w:t>
      </w:r>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p>
    <w:p w14:paraId="362CE43D" w14:textId="77777777" w:rsidR="00822559" w:rsidRPr="00A27522" w:rsidRDefault="00822559" w:rsidP="00822559">
      <w:r w:rsidRPr="00A27522">
        <w:t>Community service is the performance of voluntary work or duties that are a public benefit, and that serve to improve the quality of life, enhance tenant self-sufficiency, or increase tenant self-responsibility in the community. Community service is not employment and may not include political activities.</w:t>
      </w:r>
      <w:r w:rsidRPr="00A27522">
        <w:rPr>
          <w:b/>
        </w:rPr>
        <w:t xml:space="preserve"> </w:t>
      </w:r>
      <w:r w:rsidRPr="00A27522">
        <w:t xml:space="preserve">In administering community service requirements, </w:t>
      </w:r>
      <w:r w:rsidR="005C6CA7">
        <w:t>HHA</w:t>
      </w:r>
      <w:r w:rsidRPr="00A27522">
        <w:t xml:space="preserve"> will comply with all nondiscrimination and equal opportunity requirements. </w:t>
      </w:r>
    </w:p>
    <w:p w14:paraId="733CC602" w14:textId="77777777" w:rsidR="00822559" w:rsidRDefault="00822559" w:rsidP="00822559">
      <w:r w:rsidRPr="002965D3">
        <w:t xml:space="preserve">In the event that HUD stays the community service requirement, this policy will be suspended, in accordance with any applicable HUD guidelines, until HUD otherwise notifies </w:t>
      </w:r>
      <w:r w:rsidR="005C6CA7">
        <w:t>HHA</w:t>
      </w:r>
      <w:r w:rsidRPr="002965D3">
        <w:t>.</w:t>
      </w:r>
    </w:p>
    <w:p w14:paraId="7D85305C" w14:textId="77777777" w:rsidR="005C6CA7" w:rsidRPr="00A27522" w:rsidRDefault="00EF6A9C" w:rsidP="005C6CA7">
      <w:pPr>
        <w:pStyle w:val="Heading2"/>
      </w:pPr>
      <w:bookmarkStart w:id="3080" w:name="_Toc195334433"/>
      <w:bookmarkStart w:id="3081" w:name="_Toc349228892"/>
      <w:bookmarkStart w:id="3082" w:name="_Toc428276910"/>
      <w:bookmarkStart w:id="3083" w:name="_Toc70048730"/>
      <w:bookmarkStart w:id="3084" w:name="_Toc106037986"/>
      <w:bookmarkStart w:id="3085" w:name="_Toc106201625"/>
      <w:bookmarkStart w:id="3086" w:name="_Toc106202144"/>
      <w:bookmarkStart w:id="3087" w:name="_Toc106202670"/>
      <w:bookmarkStart w:id="3088" w:name="_Toc113345126"/>
      <w:bookmarkStart w:id="3089" w:name="_Toc137460427"/>
      <w:bookmarkStart w:id="3090" w:name="_Toc137460672"/>
      <w:bookmarkStart w:id="3091" w:name="_Toc137460917"/>
      <w:bookmarkStart w:id="3092" w:name="_Toc137461870"/>
      <w:bookmarkStart w:id="3093" w:name="_Toc137471461"/>
      <w:bookmarkStart w:id="3094" w:name="_Toc137471970"/>
      <w:bookmarkStart w:id="3095" w:name="_Toc173222755"/>
      <w:bookmarkStart w:id="3096" w:name="_Toc200375804"/>
      <w:bookmarkStart w:id="3097" w:name="_Toc200377021"/>
      <w:r w:rsidRPr="00A27522">
        <w:t xml:space="preserve">Basic Community Service </w:t>
      </w:r>
      <w:r>
        <w:t>and</w:t>
      </w:r>
      <w:r w:rsidRPr="00A27522">
        <w:t xml:space="preserve"> Self-Sufficiency</w:t>
      </w:r>
      <w:bookmarkEnd w:id="3080"/>
      <w:bookmarkEnd w:id="3081"/>
      <w:bookmarkEnd w:id="3082"/>
      <w:r w:rsidRPr="00A27522">
        <w:t xml:space="preserve"> Requirements</w:t>
      </w:r>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p>
    <w:p w14:paraId="799D4084" w14:textId="77777777" w:rsidR="005C6CA7" w:rsidRPr="00EF6A9C" w:rsidRDefault="005C6CA7" w:rsidP="00EF6A9C">
      <w:pPr>
        <w:pStyle w:val="BodyText"/>
        <w:spacing w:after="160" w:line="259" w:lineRule="auto"/>
        <w:rPr>
          <w:sz w:val="22"/>
          <w:szCs w:val="22"/>
        </w:rPr>
      </w:pPr>
      <w:r w:rsidRPr="00EF6A9C">
        <w:rPr>
          <w:sz w:val="22"/>
          <w:szCs w:val="22"/>
        </w:rPr>
        <w:t>Each</w:t>
      </w:r>
      <w:r w:rsidRPr="00EF6A9C">
        <w:rPr>
          <w:spacing w:val="-2"/>
          <w:sz w:val="22"/>
          <w:szCs w:val="22"/>
        </w:rPr>
        <w:t xml:space="preserve"> </w:t>
      </w:r>
      <w:r w:rsidRPr="00EF6A9C">
        <w:rPr>
          <w:sz w:val="22"/>
          <w:szCs w:val="22"/>
        </w:rPr>
        <w:t>adult</w:t>
      </w:r>
      <w:r w:rsidRPr="00EF6A9C">
        <w:rPr>
          <w:spacing w:val="-1"/>
          <w:sz w:val="22"/>
          <w:szCs w:val="22"/>
        </w:rPr>
        <w:t xml:space="preserve"> </w:t>
      </w:r>
      <w:r w:rsidRPr="00EF6A9C">
        <w:rPr>
          <w:sz w:val="22"/>
          <w:szCs w:val="22"/>
        </w:rPr>
        <w:t>resident</w:t>
      </w:r>
      <w:r w:rsidRPr="00EF6A9C">
        <w:rPr>
          <w:spacing w:val="-1"/>
          <w:sz w:val="22"/>
          <w:szCs w:val="22"/>
        </w:rPr>
        <w:t xml:space="preserve"> </w:t>
      </w:r>
      <w:r w:rsidRPr="00EF6A9C">
        <w:rPr>
          <w:sz w:val="22"/>
          <w:szCs w:val="22"/>
        </w:rPr>
        <w:t>of</w:t>
      </w:r>
      <w:r w:rsidRPr="00EF6A9C">
        <w:rPr>
          <w:spacing w:val="-1"/>
          <w:sz w:val="22"/>
          <w:szCs w:val="22"/>
        </w:rPr>
        <w:t xml:space="preserve"> </w:t>
      </w:r>
      <w:r w:rsidR="00EF6A9C" w:rsidRPr="00EF6A9C">
        <w:rPr>
          <w:sz w:val="22"/>
          <w:szCs w:val="22"/>
        </w:rPr>
        <w:t>HHA</w:t>
      </w:r>
      <w:r w:rsidRPr="00EF6A9C">
        <w:rPr>
          <w:sz w:val="22"/>
          <w:szCs w:val="22"/>
        </w:rPr>
        <w:t>,</w:t>
      </w:r>
      <w:r w:rsidRPr="00EF6A9C">
        <w:rPr>
          <w:spacing w:val="-2"/>
          <w:sz w:val="22"/>
          <w:szCs w:val="22"/>
        </w:rPr>
        <w:t xml:space="preserve"> </w:t>
      </w:r>
      <w:r w:rsidRPr="00EF6A9C">
        <w:rPr>
          <w:sz w:val="22"/>
          <w:szCs w:val="22"/>
        </w:rPr>
        <w:t>who</w:t>
      </w:r>
      <w:r w:rsidRPr="00EF6A9C">
        <w:rPr>
          <w:spacing w:val="-1"/>
          <w:sz w:val="22"/>
          <w:szCs w:val="22"/>
        </w:rPr>
        <w:t xml:space="preserve"> </w:t>
      </w:r>
      <w:r w:rsidRPr="00EF6A9C">
        <w:rPr>
          <w:sz w:val="22"/>
          <w:szCs w:val="22"/>
        </w:rPr>
        <w:t>is</w:t>
      </w:r>
      <w:r w:rsidRPr="00EF6A9C">
        <w:rPr>
          <w:spacing w:val="-1"/>
          <w:sz w:val="22"/>
          <w:szCs w:val="22"/>
        </w:rPr>
        <w:t xml:space="preserve"> </w:t>
      </w:r>
      <w:r w:rsidRPr="00EF6A9C">
        <w:rPr>
          <w:sz w:val="22"/>
          <w:szCs w:val="22"/>
        </w:rPr>
        <w:t>not</w:t>
      </w:r>
      <w:r w:rsidRPr="00EF6A9C">
        <w:rPr>
          <w:spacing w:val="-1"/>
          <w:sz w:val="22"/>
          <w:szCs w:val="22"/>
        </w:rPr>
        <w:t xml:space="preserve"> </w:t>
      </w:r>
      <w:r w:rsidRPr="00EF6A9C">
        <w:rPr>
          <w:sz w:val="22"/>
          <w:szCs w:val="22"/>
        </w:rPr>
        <w:t xml:space="preserve">exempt (see </w:t>
      </w:r>
      <w:r w:rsidRPr="00EF6A9C">
        <w:rPr>
          <w:b/>
          <w:bCs/>
          <w:color w:val="0070C0"/>
          <w:sz w:val="22"/>
          <w:szCs w:val="22"/>
        </w:rPr>
        <w:fldChar w:fldCharType="begin"/>
      </w:r>
      <w:r w:rsidRPr="00EF6A9C">
        <w:rPr>
          <w:b/>
          <w:bCs/>
          <w:color w:val="0070C0"/>
          <w:sz w:val="22"/>
          <w:szCs w:val="22"/>
        </w:rPr>
        <w:instrText xml:space="preserve"> REF _Ref102044173 \h  \* MERGEFORMAT </w:instrText>
      </w:r>
      <w:r w:rsidRPr="00EF6A9C">
        <w:rPr>
          <w:b/>
          <w:bCs/>
          <w:color w:val="0070C0"/>
          <w:sz w:val="22"/>
          <w:szCs w:val="22"/>
        </w:rPr>
      </w:r>
      <w:r w:rsidRPr="00EF6A9C">
        <w:rPr>
          <w:b/>
          <w:bCs/>
          <w:color w:val="0070C0"/>
          <w:sz w:val="22"/>
          <w:szCs w:val="22"/>
        </w:rPr>
        <w:fldChar w:fldCharType="separate"/>
      </w:r>
      <w:r w:rsidR="008C20B5" w:rsidRPr="008C20B5">
        <w:rPr>
          <w:b/>
          <w:bCs/>
          <w:color w:val="0070C0"/>
          <w:sz w:val="22"/>
          <w:szCs w:val="22"/>
        </w:rPr>
        <w:t>Exempt Tenants</w:t>
      </w:r>
      <w:r w:rsidRPr="00EF6A9C">
        <w:rPr>
          <w:b/>
          <w:bCs/>
          <w:color w:val="0070C0"/>
          <w:sz w:val="22"/>
          <w:szCs w:val="22"/>
        </w:rPr>
        <w:fldChar w:fldCharType="end"/>
      </w:r>
      <w:r w:rsidRPr="00EF6A9C">
        <w:rPr>
          <w:sz w:val="22"/>
          <w:szCs w:val="22"/>
        </w:rPr>
        <w:t>), must</w:t>
      </w:r>
      <w:r w:rsidRPr="00EF6A9C">
        <w:rPr>
          <w:spacing w:val="-2"/>
          <w:sz w:val="22"/>
          <w:szCs w:val="22"/>
        </w:rPr>
        <w:t>:</w:t>
      </w:r>
    </w:p>
    <w:p w14:paraId="20C0F4FA" w14:textId="77777777" w:rsidR="005C6CA7" w:rsidRPr="00EF6A9C" w:rsidRDefault="005C6CA7" w:rsidP="007F177E">
      <w:pPr>
        <w:pStyle w:val="ListParagraph"/>
        <w:widowControl w:val="0"/>
        <w:numPr>
          <w:ilvl w:val="0"/>
          <w:numId w:val="274"/>
        </w:numPr>
        <w:autoSpaceDE w:val="0"/>
        <w:autoSpaceDN w:val="0"/>
        <w:contextualSpacing w:val="0"/>
        <w:jc w:val="left"/>
        <w:rPr>
          <w:rFonts w:cs="Arial"/>
        </w:rPr>
      </w:pPr>
      <w:r w:rsidRPr="00EF6A9C">
        <w:rPr>
          <w:rFonts w:cs="Arial"/>
        </w:rPr>
        <w:t>Contribute</w:t>
      </w:r>
      <w:r w:rsidRPr="00EF6A9C">
        <w:rPr>
          <w:rFonts w:cs="Arial"/>
          <w:spacing w:val="-3"/>
        </w:rPr>
        <w:t xml:space="preserve"> </w:t>
      </w:r>
      <w:r w:rsidRPr="00EF6A9C">
        <w:rPr>
          <w:rFonts w:cs="Arial"/>
        </w:rPr>
        <w:t>8</w:t>
      </w:r>
      <w:r w:rsidRPr="00EF6A9C">
        <w:rPr>
          <w:rFonts w:cs="Arial"/>
          <w:spacing w:val="-1"/>
        </w:rPr>
        <w:t xml:space="preserve"> </w:t>
      </w:r>
      <w:r w:rsidRPr="00EF6A9C">
        <w:rPr>
          <w:rFonts w:cs="Arial"/>
        </w:rPr>
        <w:t>hours</w:t>
      </w:r>
      <w:r w:rsidRPr="00EF6A9C">
        <w:rPr>
          <w:rFonts w:cs="Arial"/>
          <w:spacing w:val="-1"/>
        </w:rPr>
        <w:t xml:space="preserve"> </w:t>
      </w:r>
      <w:r w:rsidRPr="00EF6A9C">
        <w:rPr>
          <w:rFonts w:cs="Arial"/>
        </w:rPr>
        <w:t>per</w:t>
      </w:r>
      <w:r w:rsidRPr="00EF6A9C">
        <w:rPr>
          <w:rFonts w:cs="Arial"/>
          <w:spacing w:val="-3"/>
        </w:rPr>
        <w:t xml:space="preserve"> </w:t>
      </w:r>
      <w:r w:rsidRPr="00EF6A9C">
        <w:rPr>
          <w:rFonts w:cs="Arial"/>
        </w:rPr>
        <w:t>month</w:t>
      </w:r>
      <w:r w:rsidRPr="00EF6A9C">
        <w:rPr>
          <w:rFonts w:cs="Arial"/>
          <w:spacing w:val="-1"/>
        </w:rPr>
        <w:t xml:space="preserve"> </w:t>
      </w:r>
      <w:r w:rsidRPr="00EF6A9C">
        <w:rPr>
          <w:rFonts w:cs="Arial"/>
        </w:rPr>
        <w:t>of</w:t>
      </w:r>
      <w:r w:rsidRPr="00EF6A9C">
        <w:rPr>
          <w:rFonts w:cs="Arial"/>
          <w:spacing w:val="-1"/>
        </w:rPr>
        <w:t xml:space="preserve"> </w:t>
      </w:r>
      <w:r w:rsidRPr="00EF6A9C">
        <w:rPr>
          <w:rFonts w:cs="Arial"/>
        </w:rPr>
        <w:t>community</w:t>
      </w:r>
      <w:r w:rsidRPr="00EF6A9C">
        <w:rPr>
          <w:rFonts w:cs="Arial"/>
          <w:spacing w:val="-8"/>
        </w:rPr>
        <w:t xml:space="preserve"> </w:t>
      </w:r>
      <w:r w:rsidRPr="00EF6A9C">
        <w:rPr>
          <w:rFonts w:cs="Arial"/>
        </w:rPr>
        <w:t>service;</w:t>
      </w:r>
      <w:r w:rsidRPr="00EF6A9C">
        <w:rPr>
          <w:rFonts w:cs="Arial"/>
          <w:spacing w:val="-1"/>
        </w:rPr>
        <w:t xml:space="preserve"> </w:t>
      </w:r>
      <w:r w:rsidRPr="00EF6A9C">
        <w:rPr>
          <w:rFonts w:cs="Arial"/>
          <w:spacing w:val="-5"/>
        </w:rPr>
        <w:t>or</w:t>
      </w:r>
    </w:p>
    <w:p w14:paraId="2582D963" w14:textId="77777777" w:rsidR="005C6CA7" w:rsidRPr="00EF6A9C" w:rsidRDefault="005C6CA7" w:rsidP="007F177E">
      <w:pPr>
        <w:pStyle w:val="ListParagraph"/>
        <w:widowControl w:val="0"/>
        <w:numPr>
          <w:ilvl w:val="0"/>
          <w:numId w:val="274"/>
        </w:numPr>
        <w:autoSpaceDE w:val="0"/>
        <w:autoSpaceDN w:val="0"/>
        <w:ind w:right="228"/>
        <w:contextualSpacing w:val="0"/>
        <w:jc w:val="left"/>
        <w:rPr>
          <w:rFonts w:cs="Arial"/>
        </w:rPr>
      </w:pPr>
      <w:r w:rsidRPr="00EF6A9C">
        <w:rPr>
          <w:rFonts w:cs="Arial"/>
        </w:rPr>
        <w:t>Participate</w:t>
      </w:r>
      <w:r w:rsidRPr="00EF6A9C">
        <w:rPr>
          <w:rFonts w:cs="Arial"/>
          <w:spacing w:val="-5"/>
        </w:rPr>
        <w:t xml:space="preserve"> </w:t>
      </w:r>
      <w:r w:rsidRPr="00EF6A9C">
        <w:rPr>
          <w:rFonts w:cs="Arial"/>
        </w:rPr>
        <w:t>in</w:t>
      </w:r>
      <w:r w:rsidRPr="00EF6A9C">
        <w:rPr>
          <w:rFonts w:cs="Arial"/>
          <w:spacing w:val="-5"/>
        </w:rPr>
        <w:t xml:space="preserve"> </w:t>
      </w:r>
      <w:r w:rsidRPr="00EF6A9C">
        <w:rPr>
          <w:rFonts w:cs="Arial"/>
        </w:rPr>
        <w:t>an</w:t>
      </w:r>
      <w:r w:rsidRPr="00EF6A9C">
        <w:rPr>
          <w:rFonts w:cs="Arial"/>
          <w:spacing w:val="-5"/>
        </w:rPr>
        <w:t xml:space="preserve"> </w:t>
      </w:r>
      <w:r w:rsidRPr="00EF6A9C">
        <w:rPr>
          <w:rFonts w:cs="Arial"/>
        </w:rPr>
        <w:t>economic</w:t>
      </w:r>
      <w:r w:rsidRPr="00EF6A9C">
        <w:rPr>
          <w:rFonts w:cs="Arial"/>
          <w:spacing w:val="-6"/>
        </w:rPr>
        <w:t xml:space="preserve"> </w:t>
      </w:r>
      <w:r w:rsidRPr="00EF6A9C">
        <w:rPr>
          <w:rFonts w:cs="Arial"/>
        </w:rPr>
        <w:t>self-sufficiency</w:t>
      </w:r>
      <w:r w:rsidRPr="00EF6A9C">
        <w:rPr>
          <w:rFonts w:cs="Arial"/>
          <w:spacing w:val="-12"/>
        </w:rPr>
        <w:t xml:space="preserve"> </w:t>
      </w:r>
      <w:r w:rsidRPr="00EF6A9C">
        <w:rPr>
          <w:rFonts w:cs="Arial"/>
        </w:rPr>
        <w:t>program</w:t>
      </w:r>
      <w:r w:rsidRPr="00EF6A9C">
        <w:rPr>
          <w:rFonts w:cs="Arial"/>
          <w:spacing w:val="-5"/>
        </w:rPr>
        <w:t xml:space="preserve"> </w:t>
      </w:r>
      <w:r w:rsidRPr="00EF6A9C">
        <w:rPr>
          <w:rFonts w:cs="Arial"/>
        </w:rPr>
        <w:t>(as</w:t>
      </w:r>
      <w:r w:rsidRPr="00EF6A9C">
        <w:rPr>
          <w:rFonts w:cs="Arial"/>
          <w:spacing w:val="-5"/>
        </w:rPr>
        <w:t xml:space="preserve"> </w:t>
      </w:r>
      <w:r w:rsidRPr="00EF6A9C">
        <w:rPr>
          <w:rFonts w:cs="Arial"/>
        </w:rPr>
        <w:t>defined</w:t>
      </w:r>
      <w:r w:rsidRPr="00EF6A9C">
        <w:rPr>
          <w:rFonts w:cs="Arial"/>
          <w:spacing w:val="-5"/>
        </w:rPr>
        <w:t xml:space="preserve"> </w:t>
      </w:r>
      <w:r w:rsidRPr="00EF6A9C">
        <w:rPr>
          <w:rFonts w:cs="Arial"/>
        </w:rPr>
        <w:t>in</w:t>
      </w:r>
      <w:r w:rsidRPr="00EF6A9C">
        <w:rPr>
          <w:rFonts w:cs="Arial"/>
          <w:spacing w:val="-5"/>
        </w:rPr>
        <w:t xml:space="preserve"> </w:t>
      </w:r>
      <w:r w:rsidRPr="00EF6A9C">
        <w:rPr>
          <w:rFonts w:cs="Arial"/>
        </w:rPr>
        <w:t>the</w:t>
      </w:r>
      <w:r w:rsidRPr="00EF6A9C">
        <w:rPr>
          <w:rFonts w:cs="Arial"/>
          <w:spacing w:val="-5"/>
        </w:rPr>
        <w:t xml:space="preserve"> </w:t>
      </w:r>
      <w:r w:rsidRPr="00EF6A9C">
        <w:rPr>
          <w:rFonts w:cs="Arial"/>
        </w:rPr>
        <w:t>regulations)</w:t>
      </w:r>
      <w:r w:rsidRPr="00EF6A9C">
        <w:rPr>
          <w:rFonts w:cs="Arial"/>
          <w:spacing w:val="-5"/>
        </w:rPr>
        <w:t xml:space="preserve"> </w:t>
      </w:r>
      <w:r w:rsidRPr="00EF6A9C">
        <w:rPr>
          <w:rFonts w:cs="Arial"/>
        </w:rPr>
        <w:t>for</w:t>
      </w:r>
      <w:r w:rsidRPr="00EF6A9C">
        <w:rPr>
          <w:rFonts w:cs="Arial"/>
          <w:spacing w:val="-6"/>
        </w:rPr>
        <w:t xml:space="preserve"> </w:t>
      </w:r>
      <w:r w:rsidRPr="00EF6A9C">
        <w:rPr>
          <w:rFonts w:cs="Arial"/>
        </w:rPr>
        <w:t>8</w:t>
      </w:r>
      <w:r w:rsidRPr="00EF6A9C">
        <w:rPr>
          <w:rFonts w:cs="Arial"/>
          <w:spacing w:val="-5"/>
        </w:rPr>
        <w:t xml:space="preserve"> </w:t>
      </w:r>
      <w:r w:rsidRPr="00EF6A9C">
        <w:rPr>
          <w:rFonts w:cs="Arial"/>
        </w:rPr>
        <w:t>hours per month; or</w:t>
      </w:r>
    </w:p>
    <w:p w14:paraId="27DA7825" w14:textId="77777777" w:rsidR="005C6CA7" w:rsidRPr="00EF6A9C" w:rsidRDefault="005C6CA7" w:rsidP="007F177E">
      <w:pPr>
        <w:pStyle w:val="ListParagraph"/>
        <w:widowControl w:val="0"/>
        <w:numPr>
          <w:ilvl w:val="0"/>
          <w:numId w:val="274"/>
        </w:numPr>
        <w:autoSpaceDE w:val="0"/>
        <w:autoSpaceDN w:val="0"/>
        <w:ind w:right="582"/>
        <w:contextualSpacing w:val="0"/>
        <w:jc w:val="left"/>
        <w:rPr>
          <w:rFonts w:cs="Arial"/>
        </w:rPr>
      </w:pPr>
      <w:r w:rsidRPr="00EF6A9C">
        <w:rPr>
          <w:rFonts w:cs="Arial"/>
        </w:rPr>
        <w:t>Perform</w:t>
      </w:r>
      <w:r w:rsidRPr="00EF6A9C">
        <w:rPr>
          <w:rFonts w:cs="Arial"/>
          <w:spacing w:val="-4"/>
        </w:rPr>
        <w:t xml:space="preserve"> </w:t>
      </w:r>
      <w:r w:rsidRPr="00EF6A9C">
        <w:rPr>
          <w:rFonts w:cs="Arial"/>
        </w:rPr>
        <w:t>8</w:t>
      </w:r>
      <w:r w:rsidRPr="00EF6A9C">
        <w:rPr>
          <w:rFonts w:cs="Arial"/>
          <w:spacing w:val="-4"/>
        </w:rPr>
        <w:t xml:space="preserve"> </w:t>
      </w:r>
      <w:r w:rsidRPr="00EF6A9C">
        <w:rPr>
          <w:rFonts w:cs="Arial"/>
        </w:rPr>
        <w:t>hours</w:t>
      </w:r>
      <w:r w:rsidRPr="00EF6A9C">
        <w:rPr>
          <w:rFonts w:cs="Arial"/>
          <w:spacing w:val="-4"/>
        </w:rPr>
        <w:t xml:space="preserve"> </w:t>
      </w:r>
      <w:r w:rsidRPr="00EF6A9C">
        <w:rPr>
          <w:rFonts w:cs="Arial"/>
        </w:rPr>
        <w:t>per</w:t>
      </w:r>
      <w:r w:rsidRPr="00EF6A9C">
        <w:rPr>
          <w:rFonts w:cs="Arial"/>
          <w:spacing w:val="-4"/>
        </w:rPr>
        <w:t xml:space="preserve"> </w:t>
      </w:r>
      <w:r w:rsidRPr="00EF6A9C">
        <w:rPr>
          <w:rFonts w:cs="Arial"/>
        </w:rPr>
        <w:t>month</w:t>
      </w:r>
      <w:r w:rsidRPr="00EF6A9C">
        <w:rPr>
          <w:rFonts w:cs="Arial"/>
          <w:spacing w:val="-4"/>
        </w:rPr>
        <w:t xml:space="preserve"> </w:t>
      </w:r>
      <w:r w:rsidRPr="00EF6A9C">
        <w:rPr>
          <w:rFonts w:cs="Arial"/>
        </w:rPr>
        <w:t>of</w:t>
      </w:r>
      <w:r w:rsidRPr="00EF6A9C">
        <w:rPr>
          <w:rFonts w:cs="Arial"/>
          <w:spacing w:val="-4"/>
        </w:rPr>
        <w:t xml:space="preserve"> </w:t>
      </w:r>
      <w:r w:rsidRPr="00EF6A9C">
        <w:rPr>
          <w:rFonts w:cs="Arial"/>
        </w:rPr>
        <w:t>combined</w:t>
      </w:r>
      <w:r w:rsidRPr="00EF6A9C">
        <w:rPr>
          <w:rFonts w:cs="Arial"/>
          <w:spacing w:val="-4"/>
        </w:rPr>
        <w:t xml:space="preserve"> </w:t>
      </w:r>
      <w:r w:rsidRPr="00EF6A9C">
        <w:rPr>
          <w:rFonts w:cs="Arial"/>
        </w:rPr>
        <w:t>activities</w:t>
      </w:r>
      <w:r w:rsidRPr="00EF6A9C">
        <w:rPr>
          <w:rFonts w:cs="Arial"/>
          <w:spacing w:val="-4"/>
        </w:rPr>
        <w:t xml:space="preserve"> </w:t>
      </w:r>
      <w:r w:rsidRPr="00EF6A9C">
        <w:rPr>
          <w:rFonts w:cs="Arial"/>
        </w:rPr>
        <w:t>(community</w:t>
      </w:r>
      <w:r w:rsidRPr="00EF6A9C">
        <w:rPr>
          <w:rFonts w:cs="Arial"/>
          <w:spacing w:val="-12"/>
        </w:rPr>
        <w:t xml:space="preserve"> </w:t>
      </w:r>
      <w:r w:rsidRPr="00EF6A9C">
        <w:rPr>
          <w:rFonts w:cs="Arial"/>
        </w:rPr>
        <w:t>service</w:t>
      </w:r>
      <w:r w:rsidRPr="00EF6A9C">
        <w:rPr>
          <w:rFonts w:cs="Arial"/>
          <w:spacing w:val="-6"/>
        </w:rPr>
        <w:t xml:space="preserve"> </w:t>
      </w:r>
      <w:r w:rsidRPr="00EF6A9C">
        <w:rPr>
          <w:rFonts w:cs="Arial"/>
        </w:rPr>
        <w:t>and</w:t>
      </w:r>
      <w:r w:rsidRPr="00EF6A9C">
        <w:rPr>
          <w:rFonts w:cs="Arial"/>
          <w:spacing w:val="-4"/>
        </w:rPr>
        <w:t xml:space="preserve"> </w:t>
      </w:r>
      <w:r w:rsidRPr="00EF6A9C">
        <w:rPr>
          <w:rFonts w:cs="Arial"/>
        </w:rPr>
        <w:t>economic</w:t>
      </w:r>
      <w:r w:rsidRPr="00EF6A9C">
        <w:rPr>
          <w:rFonts w:cs="Arial"/>
          <w:spacing w:val="-5"/>
        </w:rPr>
        <w:t xml:space="preserve"> </w:t>
      </w:r>
      <w:r w:rsidRPr="00EF6A9C">
        <w:rPr>
          <w:rFonts w:cs="Arial"/>
        </w:rPr>
        <w:t>self- sufficiency programs).</w:t>
      </w:r>
    </w:p>
    <w:p w14:paraId="033FDA5E" w14:textId="77777777" w:rsidR="005C6CA7" w:rsidRPr="00EF6A9C" w:rsidRDefault="005C6CA7" w:rsidP="00EF6A9C">
      <w:pPr>
        <w:rPr>
          <w:strike/>
          <w:color w:val="FF0000"/>
        </w:rPr>
      </w:pPr>
      <w:r w:rsidRPr="00EF6A9C">
        <w:rPr>
          <w:bCs/>
        </w:rPr>
        <w:t xml:space="preserve">The required community service or self-sufficiency activity may be completed 8 hours each month or may be aggregated across a year. Any blocking of hours is acceptable as long as 96 hours is completed by each annual certification of compliance. </w:t>
      </w:r>
    </w:p>
    <w:p w14:paraId="43A90118" w14:textId="77777777" w:rsidR="005C6CA7" w:rsidRPr="002965D3" w:rsidRDefault="005C6CA7" w:rsidP="005C6CA7">
      <w:pPr>
        <w:rPr>
          <w:b/>
        </w:rPr>
      </w:pPr>
      <w:r w:rsidRPr="002965D3">
        <w:t xml:space="preserve">Tenants must provide notice to </w:t>
      </w:r>
      <w:r>
        <w:t>HHA</w:t>
      </w:r>
      <w:r w:rsidRPr="002965D3">
        <w:t xml:space="preserve"> of a change in exempt status. See policy under </w:t>
      </w:r>
      <w:r w:rsidRPr="002965D3">
        <w:rPr>
          <w:b/>
          <w:bCs/>
          <w:color w:val="0070C0"/>
        </w:rPr>
        <w:fldChar w:fldCharType="begin"/>
      </w:r>
      <w:r w:rsidRPr="002965D3">
        <w:rPr>
          <w:b/>
          <w:bCs/>
          <w:color w:val="0070C0"/>
        </w:rPr>
        <w:instrText xml:space="preserve"> REF _Ref105676283 \h  \* MERGEFORMAT </w:instrText>
      </w:r>
      <w:r w:rsidRPr="002965D3">
        <w:rPr>
          <w:b/>
          <w:bCs/>
          <w:color w:val="0070C0"/>
        </w:rPr>
      </w:r>
      <w:r w:rsidRPr="002965D3">
        <w:rPr>
          <w:b/>
          <w:bCs/>
          <w:color w:val="0070C0"/>
        </w:rPr>
        <w:fldChar w:fldCharType="separate"/>
      </w:r>
      <w:r w:rsidRPr="007219AE">
        <w:rPr>
          <w:b/>
          <w:bCs/>
          <w:color w:val="0070C0"/>
        </w:rPr>
        <w:t>Change in Status between Annual Determination</w:t>
      </w:r>
      <w:r w:rsidRPr="002965D3">
        <w:rPr>
          <w:b/>
          <w:bCs/>
          <w:color w:val="0070C0"/>
        </w:rPr>
        <w:fldChar w:fldCharType="end"/>
      </w:r>
      <w:r w:rsidRPr="002965D3">
        <w:t>.</w:t>
      </w:r>
    </w:p>
    <w:p w14:paraId="459BD15C" w14:textId="77777777" w:rsidR="005C6CA7" w:rsidRPr="002965D3" w:rsidRDefault="008C20B5" w:rsidP="005C6CA7">
      <w:pPr>
        <w:pStyle w:val="Heading2"/>
      </w:pPr>
      <w:bookmarkStart w:id="3098" w:name="_Toc428276913"/>
      <w:bookmarkStart w:id="3099" w:name="_Toc70048732"/>
      <w:bookmarkStart w:id="3100" w:name="_Ref102044173"/>
      <w:bookmarkStart w:id="3101" w:name="_Toc106037987"/>
      <w:bookmarkStart w:id="3102" w:name="_Toc106201626"/>
      <w:bookmarkStart w:id="3103" w:name="_Toc106202145"/>
      <w:bookmarkStart w:id="3104" w:name="_Toc106202671"/>
      <w:bookmarkStart w:id="3105" w:name="_Toc113345127"/>
      <w:bookmarkStart w:id="3106" w:name="_Toc137460428"/>
      <w:bookmarkStart w:id="3107" w:name="_Toc137460673"/>
      <w:bookmarkStart w:id="3108" w:name="_Toc137460918"/>
      <w:bookmarkStart w:id="3109" w:name="_Toc137461871"/>
      <w:bookmarkStart w:id="3110" w:name="_Toc137471462"/>
      <w:bookmarkStart w:id="3111" w:name="_Toc137471971"/>
      <w:bookmarkStart w:id="3112" w:name="_Toc173222756"/>
      <w:bookmarkStart w:id="3113" w:name="_Toc200375805"/>
      <w:bookmarkStart w:id="3114" w:name="_Toc200377022"/>
      <w:r w:rsidRPr="002965D3">
        <w:t>Exempt Tenants</w:t>
      </w:r>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r w:rsidRPr="002965D3">
        <w:t xml:space="preserve"> </w:t>
      </w:r>
    </w:p>
    <w:p w14:paraId="05BB8686" w14:textId="77777777" w:rsidR="005C6CA7" w:rsidRPr="006561E7" w:rsidRDefault="005C6CA7" w:rsidP="006561E7">
      <w:r w:rsidRPr="006561E7">
        <w:t xml:space="preserve">An </w:t>
      </w:r>
      <w:r w:rsidRPr="006561E7">
        <w:rPr>
          <w:i/>
          <w:iCs/>
        </w:rPr>
        <w:t>exempt individual</w:t>
      </w:r>
      <w:r w:rsidRPr="006561E7">
        <w:t>—that is, a person who is exempt from the</w:t>
      </w:r>
      <w:r w:rsidR="00437968">
        <w:t xml:space="preserve"> Community Service and Self-Sufficiency Requirement</w:t>
      </w:r>
      <w:r w:rsidRPr="006561E7">
        <w:t xml:space="preserve"> </w:t>
      </w:r>
      <w:r w:rsidR="00437968">
        <w:t>(</w:t>
      </w:r>
      <w:r w:rsidRPr="006561E7">
        <w:t>CSSR</w:t>
      </w:r>
      <w:r w:rsidR="00437968">
        <w:t>)</w:t>
      </w:r>
      <w:r w:rsidRPr="006561E7">
        <w:t>—is an adult who:</w:t>
      </w:r>
    </w:p>
    <w:p w14:paraId="06247CD4" w14:textId="77777777" w:rsidR="005C6CA7" w:rsidRPr="006561E7" w:rsidRDefault="005C6CA7" w:rsidP="007F177E">
      <w:pPr>
        <w:pStyle w:val="ListParagraph"/>
        <w:numPr>
          <w:ilvl w:val="0"/>
          <w:numId w:val="275"/>
        </w:numPr>
        <w:contextualSpacing w:val="0"/>
      </w:pPr>
      <w:r w:rsidRPr="006561E7">
        <w:t>Is 62 years of age or older;</w:t>
      </w:r>
    </w:p>
    <w:p w14:paraId="40D582B2" w14:textId="77777777" w:rsidR="005C6CA7" w:rsidRPr="006561E7" w:rsidRDefault="005C6CA7" w:rsidP="007F177E">
      <w:pPr>
        <w:pStyle w:val="ListParagraph"/>
        <w:numPr>
          <w:ilvl w:val="0"/>
          <w:numId w:val="275"/>
        </w:numPr>
        <w:contextualSpacing w:val="0"/>
      </w:pPr>
      <w:r w:rsidRPr="006561E7">
        <w:t xml:space="preserve">Blind or disabled, as defined under 216(i)(1) or 1614 of the Social Security Act (42 U.S.C. Section 416(i)(1); Section 1382c), and who certify that, because of this disability, she or he is unable to comply with the service provisions of this subpart, </w:t>
      </w:r>
    </w:p>
    <w:p w14:paraId="5A03AA8C" w14:textId="77777777" w:rsidR="005C6CA7" w:rsidRPr="006561E7" w:rsidRDefault="005C6CA7" w:rsidP="007F177E">
      <w:pPr>
        <w:pStyle w:val="ListParagraph"/>
        <w:numPr>
          <w:ilvl w:val="0"/>
          <w:numId w:val="275"/>
        </w:numPr>
        <w:contextualSpacing w:val="0"/>
      </w:pPr>
      <w:r w:rsidRPr="006561E7">
        <w:t xml:space="preserve">Is a primary caretaker of a person who is blind or disabled; </w:t>
      </w:r>
    </w:p>
    <w:p w14:paraId="59B2AC6D" w14:textId="77777777" w:rsidR="005C6CA7" w:rsidRPr="006561E7" w:rsidRDefault="005C6CA7" w:rsidP="007F177E">
      <w:pPr>
        <w:pStyle w:val="ListParagraph"/>
        <w:numPr>
          <w:ilvl w:val="0"/>
          <w:numId w:val="275"/>
        </w:numPr>
        <w:contextualSpacing w:val="0"/>
      </w:pPr>
      <w:r w:rsidRPr="006561E7">
        <w:t xml:space="preserve">Is engaged in work activities (see </w:t>
      </w:r>
      <w:r w:rsidRPr="006561E7">
        <w:rPr>
          <w:b/>
          <w:bCs/>
          <w:color w:val="0070C0"/>
        </w:rPr>
        <w:fldChar w:fldCharType="begin"/>
      </w:r>
      <w:r w:rsidRPr="006561E7">
        <w:rPr>
          <w:b/>
          <w:bCs/>
          <w:color w:val="0070C0"/>
        </w:rPr>
        <w:instrText xml:space="preserve"> REF _Ref428265639 \h  \* MERGEFORMAT </w:instrText>
      </w:r>
      <w:r w:rsidRPr="006561E7">
        <w:rPr>
          <w:b/>
          <w:bCs/>
          <w:color w:val="0070C0"/>
        </w:rPr>
      </w:r>
      <w:r w:rsidRPr="006561E7">
        <w:rPr>
          <w:b/>
          <w:bCs/>
          <w:color w:val="0070C0"/>
        </w:rPr>
        <w:fldChar w:fldCharType="separate"/>
      </w:r>
      <w:r w:rsidR="006561E7" w:rsidRPr="006561E7">
        <w:rPr>
          <w:b/>
          <w:bCs/>
          <w:color w:val="0070C0"/>
        </w:rPr>
        <w:t>Work Activities</w:t>
      </w:r>
      <w:r w:rsidRPr="006561E7">
        <w:rPr>
          <w:b/>
          <w:bCs/>
          <w:color w:val="0070C0"/>
        </w:rPr>
        <w:fldChar w:fldCharType="end"/>
      </w:r>
      <w:r w:rsidRPr="006561E7">
        <w:t>) at least 8 hours per week;</w:t>
      </w:r>
    </w:p>
    <w:p w14:paraId="368DBD32" w14:textId="77777777" w:rsidR="005C6CA7" w:rsidRPr="006561E7" w:rsidRDefault="005C6CA7" w:rsidP="007F177E">
      <w:pPr>
        <w:pStyle w:val="ListParagraph"/>
        <w:widowControl w:val="0"/>
        <w:numPr>
          <w:ilvl w:val="0"/>
          <w:numId w:val="275"/>
        </w:numPr>
        <w:autoSpaceDE w:val="0"/>
        <w:autoSpaceDN w:val="0"/>
        <w:contextualSpacing w:val="0"/>
      </w:pPr>
      <w:r w:rsidRPr="006561E7">
        <w:t>Is</w:t>
      </w:r>
      <w:r w:rsidRPr="006561E7">
        <w:rPr>
          <w:spacing w:val="-2"/>
        </w:rPr>
        <w:t xml:space="preserve"> </w:t>
      </w:r>
      <w:r w:rsidRPr="006561E7">
        <w:t>able</w:t>
      </w:r>
      <w:r w:rsidRPr="006561E7">
        <w:rPr>
          <w:spacing w:val="-4"/>
        </w:rPr>
        <w:t xml:space="preserve"> </w:t>
      </w:r>
      <w:r w:rsidRPr="006561E7">
        <w:t>to</w:t>
      </w:r>
      <w:r w:rsidRPr="006561E7">
        <w:rPr>
          <w:spacing w:val="-2"/>
        </w:rPr>
        <w:t xml:space="preserve"> </w:t>
      </w:r>
      <w:r w:rsidRPr="006561E7">
        <w:t>meet</w:t>
      </w:r>
      <w:r w:rsidRPr="006561E7">
        <w:rPr>
          <w:spacing w:val="-2"/>
        </w:rPr>
        <w:t xml:space="preserve"> </w:t>
      </w:r>
      <w:r w:rsidRPr="006561E7">
        <w:t>requirements</w:t>
      </w:r>
      <w:r w:rsidRPr="006561E7">
        <w:rPr>
          <w:spacing w:val="-2"/>
        </w:rPr>
        <w:t xml:space="preserve"> </w:t>
      </w:r>
      <w:r w:rsidRPr="006561E7">
        <w:t>under</w:t>
      </w:r>
      <w:r w:rsidRPr="006561E7">
        <w:rPr>
          <w:spacing w:val="-3"/>
        </w:rPr>
        <w:t xml:space="preserve"> </w:t>
      </w:r>
      <w:r w:rsidRPr="006561E7">
        <w:t>a</w:t>
      </w:r>
      <w:r w:rsidRPr="006561E7">
        <w:rPr>
          <w:spacing w:val="-3"/>
        </w:rPr>
        <w:t xml:space="preserve"> </w:t>
      </w:r>
      <w:r w:rsidRPr="006561E7">
        <w:t>state</w:t>
      </w:r>
      <w:r w:rsidRPr="006561E7">
        <w:rPr>
          <w:spacing w:val="-3"/>
        </w:rPr>
        <w:t xml:space="preserve"> </w:t>
      </w:r>
      <w:r w:rsidRPr="006561E7">
        <w:t>program</w:t>
      </w:r>
      <w:r w:rsidRPr="006561E7">
        <w:rPr>
          <w:spacing w:val="-2"/>
        </w:rPr>
        <w:t xml:space="preserve"> </w:t>
      </w:r>
      <w:r w:rsidRPr="006561E7">
        <w:t>funded</w:t>
      </w:r>
      <w:r w:rsidRPr="006561E7">
        <w:rPr>
          <w:spacing w:val="-2"/>
        </w:rPr>
        <w:t xml:space="preserve"> </w:t>
      </w:r>
      <w:r w:rsidRPr="006561E7">
        <w:t>under</w:t>
      </w:r>
      <w:r w:rsidRPr="006561E7">
        <w:rPr>
          <w:spacing w:val="-2"/>
        </w:rPr>
        <w:t xml:space="preserve"> </w:t>
      </w:r>
      <w:r w:rsidRPr="006561E7">
        <w:t>part</w:t>
      </w:r>
      <w:r w:rsidRPr="006561E7">
        <w:rPr>
          <w:spacing w:val="-2"/>
        </w:rPr>
        <w:t xml:space="preserve"> </w:t>
      </w:r>
      <w:r w:rsidRPr="006561E7">
        <w:t>A</w:t>
      </w:r>
      <w:r w:rsidRPr="006561E7">
        <w:rPr>
          <w:spacing w:val="-2"/>
        </w:rPr>
        <w:t xml:space="preserve"> </w:t>
      </w:r>
      <w:r w:rsidRPr="006561E7">
        <w:t>of</w:t>
      </w:r>
      <w:r w:rsidRPr="006561E7">
        <w:rPr>
          <w:spacing w:val="-2"/>
        </w:rPr>
        <w:t xml:space="preserve"> </w:t>
      </w:r>
      <w:r w:rsidRPr="006561E7">
        <w:t>title</w:t>
      </w:r>
      <w:r w:rsidRPr="006561E7">
        <w:rPr>
          <w:spacing w:val="-2"/>
        </w:rPr>
        <w:t xml:space="preserve"> </w:t>
      </w:r>
      <w:r w:rsidRPr="006561E7">
        <w:t>IV</w:t>
      </w:r>
      <w:r w:rsidRPr="006561E7">
        <w:rPr>
          <w:spacing w:val="-2"/>
        </w:rPr>
        <w:t xml:space="preserve"> </w:t>
      </w:r>
      <w:r w:rsidRPr="006561E7">
        <w:t>of</w:t>
      </w:r>
      <w:r w:rsidRPr="006561E7">
        <w:rPr>
          <w:spacing w:val="-4"/>
        </w:rPr>
        <w:t xml:space="preserve"> </w:t>
      </w:r>
      <w:r w:rsidRPr="006561E7">
        <w:t>the Social</w:t>
      </w:r>
      <w:r w:rsidRPr="006561E7">
        <w:rPr>
          <w:spacing w:val="-3"/>
        </w:rPr>
        <w:t xml:space="preserve"> </w:t>
      </w:r>
      <w:r w:rsidRPr="006561E7">
        <w:t>Security</w:t>
      </w:r>
      <w:r w:rsidRPr="006561E7">
        <w:rPr>
          <w:spacing w:val="-11"/>
        </w:rPr>
        <w:t xml:space="preserve"> </w:t>
      </w:r>
      <w:r w:rsidRPr="006561E7">
        <w:t>Act,</w:t>
      </w:r>
      <w:r w:rsidRPr="006561E7">
        <w:rPr>
          <w:spacing w:val="-3"/>
        </w:rPr>
        <w:t xml:space="preserve"> </w:t>
      </w:r>
      <w:r w:rsidRPr="006561E7">
        <w:t>or</w:t>
      </w:r>
      <w:r w:rsidRPr="006561E7">
        <w:rPr>
          <w:spacing w:val="-3"/>
        </w:rPr>
        <w:t xml:space="preserve"> </w:t>
      </w:r>
      <w:r w:rsidRPr="006561E7">
        <w:t>under</w:t>
      </w:r>
      <w:r w:rsidRPr="006561E7">
        <w:rPr>
          <w:spacing w:val="-3"/>
        </w:rPr>
        <w:t xml:space="preserve"> </w:t>
      </w:r>
      <w:r w:rsidRPr="006561E7">
        <w:t>any</w:t>
      </w:r>
      <w:r w:rsidRPr="006561E7">
        <w:rPr>
          <w:spacing w:val="-9"/>
        </w:rPr>
        <w:t xml:space="preserve"> </w:t>
      </w:r>
      <w:r w:rsidRPr="006561E7">
        <w:t>other</w:t>
      </w:r>
      <w:r w:rsidRPr="006561E7">
        <w:rPr>
          <w:spacing w:val="-5"/>
        </w:rPr>
        <w:t xml:space="preserve"> </w:t>
      </w:r>
      <w:r w:rsidRPr="006561E7">
        <w:t>welfare</w:t>
      </w:r>
      <w:r w:rsidRPr="006561E7">
        <w:rPr>
          <w:spacing w:val="-6"/>
        </w:rPr>
        <w:t xml:space="preserve"> </w:t>
      </w:r>
      <w:r w:rsidRPr="006561E7">
        <w:t>program</w:t>
      </w:r>
      <w:r w:rsidRPr="006561E7">
        <w:rPr>
          <w:spacing w:val="-4"/>
        </w:rPr>
        <w:t xml:space="preserve"> </w:t>
      </w:r>
      <w:r w:rsidRPr="006561E7">
        <w:t>of</w:t>
      </w:r>
      <w:r w:rsidRPr="006561E7">
        <w:rPr>
          <w:spacing w:val="-4"/>
        </w:rPr>
        <w:t xml:space="preserve"> </w:t>
      </w:r>
      <w:r w:rsidRPr="006561E7">
        <w:t>the</w:t>
      </w:r>
      <w:r w:rsidRPr="006561E7">
        <w:rPr>
          <w:spacing w:val="-4"/>
        </w:rPr>
        <w:t xml:space="preserve"> </w:t>
      </w:r>
      <w:r w:rsidRPr="006561E7">
        <w:t>state</w:t>
      </w:r>
      <w:r w:rsidRPr="006561E7">
        <w:rPr>
          <w:spacing w:val="-3"/>
        </w:rPr>
        <w:t xml:space="preserve"> </w:t>
      </w:r>
      <w:r w:rsidRPr="006561E7">
        <w:t>in</w:t>
      </w:r>
      <w:r w:rsidRPr="006561E7">
        <w:rPr>
          <w:spacing w:val="-3"/>
        </w:rPr>
        <w:t xml:space="preserve"> </w:t>
      </w:r>
      <w:r w:rsidRPr="006561E7">
        <w:t>which</w:t>
      </w:r>
      <w:r w:rsidRPr="006561E7">
        <w:rPr>
          <w:spacing w:val="-3"/>
        </w:rPr>
        <w:t xml:space="preserve"> </w:t>
      </w:r>
      <w:r w:rsidRPr="006561E7">
        <w:t>the</w:t>
      </w:r>
      <w:r w:rsidRPr="006561E7">
        <w:rPr>
          <w:spacing w:val="-3"/>
        </w:rPr>
        <w:t xml:space="preserve"> </w:t>
      </w:r>
      <w:r w:rsidRPr="006561E7">
        <w:t>PHA</w:t>
      </w:r>
      <w:r w:rsidRPr="006561E7">
        <w:rPr>
          <w:spacing w:val="-4"/>
        </w:rPr>
        <w:t xml:space="preserve"> </w:t>
      </w:r>
      <w:r w:rsidRPr="006561E7">
        <w:t xml:space="preserve">is located, including a state-administered welfare-to-work program (i.e., the individual is receiving Temporary Assistance for Needy Families, or TANF); </w:t>
      </w:r>
    </w:p>
    <w:p w14:paraId="769FFAB5" w14:textId="77777777" w:rsidR="005C6CA7" w:rsidRDefault="005C6CA7" w:rsidP="007F177E">
      <w:pPr>
        <w:pStyle w:val="ListParagraph"/>
        <w:widowControl w:val="0"/>
        <w:numPr>
          <w:ilvl w:val="0"/>
          <w:numId w:val="275"/>
        </w:numPr>
        <w:autoSpaceDE w:val="0"/>
        <w:autoSpaceDN w:val="0"/>
        <w:contextualSpacing w:val="0"/>
      </w:pPr>
      <w:r w:rsidRPr="006561E7">
        <w:t>Is a member of a family receiving assistance, benefits, or services under a state program funded</w:t>
      </w:r>
      <w:r w:rsidRPr="006561E7">
        <w:rPr>
          <w:spacing w:val="-4"/>
        </w:rPr>
        <w:t xml:space="preserve"> </w:t>
      </w:r>
      <w:r w:rsidRPr="006561E7">
        <w:t>under</w:t>
      </w:r>
      <w:r w:rsidRPr="006561E7">
        <w:rPr>
          <w:spacing w:val="-4"/>
        </w:rPr>
        <w:t xml:space="preserve"> </w:t>
      </w:r>
      <w:r w:rsidRPr="006561E7">
        <w:t>part</w:t>
      </w:r>
      <w:r w:rsidRPr="006561E7">
        <w:rPr>
          <w:spacing w:val="-4"/>
        </w:rPr>
        <w:t xml:space="preserve"> </w:t>
      </w:r>
      <w:r w:rsidRPr="006561E7">
        <w:t>A</w:t>
      </w:r>
      <w:r w:rsidRPr="006561E7">
        <w:rPr>
          <w:spacing w:val="-4"/>
        </w:rPr>
        <w:t xml:space="preserve"> </w:t>
      </w:r>
      <w:r w:rsidRPr="006561E7">
        <w:t>of</w:t>
      </w:r>
      <w:r w:rsidRPr="006561E7">
        <w:rPr>
          <w:spacing w:val="-4"/>
        </w:rPr>
        <w:t xml:space="preserve"> </w:t>
      </w:r>
      <w:r w:rsidRPr="006561E7">
        <w:t>title</w:t>
      </w:r>
      <w:r w:rsidRPr="006561E7">
        <w:rPr>
          <w:spacing w:val="-4"/>
        </w:rPr>
        <w:t xml:space="preserve"> </w:t>
      </w:r>
      <w:r w:rsidRPr="006561E7">
        <w:t>IV</w:t>
      </w:r>
      <w:r w:rsidRPr="006561E7">
        <w:rPr>
          <w:spacing w:val="-4"/>
        </w:rPr>
        <w:t xml:space="preserve"> </w:t>
      </w:r>
      <w:r w:rsidRPr="006561E7">
        <w:t>of</w:t>
      </w:r>
      <w:r w:rsidRPr="006561E7">
        <w:rPr>
          <w:spacing w:val="-6"/>
        </w:rPr>
        <w:t xml:space="preserve"> </w:t>
      </w:r>
      <w:r w:rsidRPr="006561E7">
        <w:t>the</w:t>
      </w:r>
      <w:r w:rsidRPr="006561E7">
        <w:rPr>
          <w:spacing w:val="-4"/>
        </w:rPr>
        <w:t xml:space="preserve"> </w:t>
      </w:r>
      <w:r w:rsidRPr="006561E7">
        <w:t>Social</w:t>
      </w:r>
      <w:r w:rsidRPr="006561E7">
        <w:rPr>
          <w:spacing w:val="-4"/>
        </w:rPr>
        <w:t xml:space="preserve"> </w:t>
      </w:r>
      <w:r w:rsidRPr="006561E7">
        <w:t>Security</w:t>
      </w:r>
      <w:r w:rsidRPr="006561E7">
        <w:rPr>
          <w:spacing w:val="-11"/>
        </w:rPr>
        <w:t xml:space="preserve"> </w:t>
      </w:r>
      <w:r w:rsidRPr="006561E7">
        <w:t>Act,</w:t>
      </w:r>
      <w:r w:rsidRPr="006561E7">
        <w:rPr>
          <w:spacing w:val="-4"/>
        </w:rPr>
        <w:t xml:space="preserve"> </w:t>
      </w:r>
      <w:r w:rsidRPr="006561E7">
        <w:t>or</w:t>
      </w:r>
      <w:r w:rsidRPr="006561E7">
        <w:rPr>
          <w:spacing w:val="-4"/>
        </w:rPr>
        <w:t xml:space="preserve"> </w:t>
      </w:r>
      <w:r w:rsidRPr="006561E7">
        <w:t>under</w:t>
      </w:r>
      <w:r w:rsidRPr="006561E7">
        <w:rPr>
          <w:spacing w:val="-4"/>
        </w:rPr>
        <w:t xml:space="preserve"> </w:t>
      </w:r>
      <w:r w:rsidRPr="006561E7">
        <w:t>any</w:t>
      </w:r>
      <w:r w:rsidRPr="006561E7">
        <w:rPr>
          <w:spacing w:val="-11"/>
        </w:rPr>
        <w:t xml:space="preserve"> </w:t>
      </w:r>
      <w:r w:rsidRPr="006561E7">
        <w:t>other</w:t>
      </w:r>
      <w:r w:rsidRPr="006561E7">
        <w:rPr>
          <w:spacing w:val="-6"/>
        </w:rPr>
        <w:t xml:space="preserve"> </w:t>
      </w:r>
      <w:r w:rsidRPr="006561E7">
        <w:t>welfare</w:t>
      </w:r>
      <w:r w:rsidRPr="006561E7">
        <w:rPr>
          <w:spacing w:val="-6"/>
        </w:rPr>
        <w:t xml:space="preserve"> </w:t>
      </w:r>
      <w:r w:rsidRPr="006561E7">
        <w:t>program of the state in which the PHA is located, including a state-administered welfare-to-work program, and has not been found by the state or other administering entity to be in noncompliance with such program (i.e., the individual is a member of the household where at least one person is receiving TANF or Supplemental Nutrition Assistance Payments, or SNAP, formerly known as food stamps)</w:t>
      </w:r>
      <w:r w:rsidR="00561C8E">
        <w:t>; or</w:t>
      </w:r>
    </w:p>
    <w:p w14:paraId="7261DFE5" w14:textId="77777777" w:rsidR="00297BA7" w:rsidRPr="006561E7" w:rsidRDefault="00297BA7" w:rsidP="007F177E">
      <w:pPr>
        <w:pStyle w:val="ListParagraph"/>
        <w:widowControl w:val="0"/>
        <w:numPr>
          <w:ilvl w:val="0"/>
          <w:numId w:val="275"/>
        </w:numPr>
        <w:autoSpaceDE w:val="0"/>
        <w:autoSpaceDN w:val="0"/>
        <w:contextualSpacing w:val="0"/>
      </w:pPr>
      <w:r>
        <w:t>Is a member of a non-public housing over-income family.</w:t>
      </w:r>
    </w:p>
    <w:p w14:paraId="2FD754FF" w14:textId="77777777" w:rsidR="005C6CA7" w:rsidRPr="002965D3" w:rsidRDefault="006561E7" w:rsidP="005C6CA7">
      <w:pPr>
        <w:pStyle w:val="Heading2"/>
      </w:pPr>
      <w:bookmarkStart w:id="3115" w:name="_Ref428265639"/>
      <w:bookmarkStart w:id="3116" w:name="_Toc428276915"/>
      <w:bookmarkStart w:id="3117" w:name="_Toc70048733"/>
      <w:bookmarkStart w:id="3118" w:name="_Toc106037988"/>
      <w:bookmarkStart w:id="3119" w:name="_Toc106201627"/>
      <w:bookmarkStart w:id="3120" w:name="_Toc106202146"/>
      <w:bookmarkStart w:id="3121" w:name="_Toc106202672"/>
      <w:bookmarkStart w:id="3122" w:name="_Toc113345128"/>
      <w:bookmarkStart w:id="3123" w:name="_Toc137460429"/>
      <w:bookmarkStart w:id="3124" w:name="_Toc137460674"/>
      <w:bookmarkStart w:id="3125" w:name="_Toc137460919"/>
      <w:bookmarkStart w:id="3126" w:name="_Toc137461872"/>
      <w:bookmarkStart w:id="3127" w:name="_Toc137471463"/>
      <w:bookmarkStart w:id="3128" w:name="_Toc137471972"/>
      <w:bookmarkStart w:id="3129" w:name="_Toc173222757"/>
      <w:bookmarkStart w:id="3130" w:name="_Toc200375806"/>
      <w:bookmarkStart w:id="3131" w:name="_Toc200377023"/>
      <w:r w:rsidRPr="002965D3">
        <w:t>Work Activities</w:t>
      </w:r>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p>
    <w:p w14:paraId="72E47767" w14:textId="77777777" w:rsidR="005C6CA7" w:rsidRPr="006561E7" w:rsidRDefault="005C6CA7" w:rsidP="006561E7">
      <w:pPr>
        <w:pStyle w:val="BodyText"/>
        <w:spacing w:after="160" w:line="259" w:lineRule="auto"/>
        <w:rPr>
          <w:sz w:val="22"/>
          <w:szCs w:val="22"/>
        </w:rPr>
      </w:pPr>
      <w:r w:rsidRPr="006561E7">
        <w:rPr>
          <w:sz w:val="22"/>
          <w:szCs w:val="22"/>
        </w:rPr>
        <w:t>As</w:t>
      </w:r>
      <w:r w:rsidRPr="006561E7">
        <w:rPr>
          <w:spacing w:val="-3"/>
          <w:sz w:val="22"/>
          <w:szCs w:val="22"/>
        </w:rPr>
        <w:t xml:space="preserve"> </w:t>
      </w:r>
      <w:r w:rsidRPr="006561E7">
        <w:rPr>
          <w:sz w:val="22"/>
          <w:szCs w:val="22"/>
        </w:rPr>
        <w:t>it</w:t>
      </w:r>
      <w:r w:rsidRPr="006561E7">
        <w:rPr>
          <w:spacing w:val="-2"/>
          <w:sz w:val="22"/>
          <w:szCs w:val="22"/>
        </w:rPr>
        <w:t xml:space="preserve"> </w:t>
      </w:r>
      <w:r w:rsidRPr="006561E7">
        <w:rPr>
          <w:sz w:val="22"/>
          <w:szCs w:val="22"/>
        </w:rPr>
        <w:t>relates</w:t>
      </w:r>
      <w:r w:rsidRPr="006561E7">
        <w:rPr>
          <w:spacing w:val="-2"/>
          <w:sz w:val="22"/>
          <w:szCs w:val="22"/>
        </w:rPr>
        <w:t xml:space="preserve"> </w:t>
      </w:r>
      <w:r w:rsidRPr="006561E7">
        <w:rPr>
          <w:sz w:val="22"/>
          <w:szCs w:val="22"/>
        </w:rPr>
        <w:t>to</w:t>
      </w:r>
      <w:r w:rsidRPr="006561E7">
        <w:rPr>
          <w:spacing w:val="-2"/>
          <w:sz w:val="22"/>
          <w:szCs w:val="22"/>
        </w:rPr>
        <w:t xml:space="preserve"> </w:t>
      </w:r>
      <w:r w:rsidRPr="006561E7">
        <w:rPr>
          <w:sz w:val="22"/>
          <w:szCs w:val="22"/>
        </w:rPr>
        <w:t>an</w:t>
      </w:r>
      <w:r w:rsidRPr="006561E7">
        <w:rPr>
          <w:spacing w:val="-2"/>
          <w:sz w:val="22"/>
          <w:szCs w:val="22"/>
        </w:rPr>
        <w:t xml:space="preserve"> </w:t>
      </w:r>
      <w:r w:rsidRPr="006561E7">
        <w:rPr>
          <w:sz w:val="22"/>
          <w:szCs w:val="22"/>
        </w:rPr>
        <w:t>exemption</w:t>
      </w:r>
      <w:r w:rsidRPr="006561E7">
        <w:rPr>
          <w:spacing w:val="-2"/>
          <w:sz w:val="22"/>
          <w:szCs w:val="22"/>
        </w:rPr>
        <w:t xml:space="preserve"> </w:t>
      </w:r>
      <w:r w:rsidRPr="006561E7">
        <w:rPr>
          <w:sz w:val="22"/>
          <w:szCs w:val="22"/>
        </w:rPr>
        <w:t>from</w:t>
      </w:r>
      <w:r w:rsidRPr="006561E7">
        <w:rPr>
          <w:spacing w:val="-2"/>
          <w:sz w:val="22"/>
          <w:szCs w:val="22"/>
        </w:rPr>
        <w:t xml:space="preserve"> </w:t>
      </w:r>
      <w:r w:rsidRPr="006561E7">
        <w:rPr>
          <w:sz w:val="22"/>
          <w:szCs w:val="22"/>
        </w:rPr>
        <w:t>the</w:t>
      </w:r>
      <w:r w:rsidRPr="006561E7">
        <w:rPr>
          <w:spacing w:val="-3"/>
          <w:sz w:val="22"/>
          <w:szCs w:val="22"/>
        </w:rPr>
        <w:t xml:space="preserve"> </w:t>
      </w:r>
      <w:r w:rsidRPr="006561E7">
        <w:rPr>
          <w:sz w:val="22"/>
          <w:szCs w:val="22"/>
        </w:rPr>
        <w:t>community</w:t>
      </w:r>
      <w:r w:rsidRPr="006561E7">
        <w:rPr>
          <w:spacing w:val="-10"/>
          <w:sz w:val="22"/>
          <w:szCs w:val="22"/>
        </w:rPr>
        <w:t xml:space="preserve"> </w:t>
      </w:r>
      <w:r w:rsidRPr="006561E7">
        <w:rPr>
          <w:sz w:val="22"/>
          <w:szCs w:val="22"/>
        </w:rPr>
        <w:t>service</w:t>
      </w:r>
      <w:r w:rsidRPr="006561E7">
        <w:rPr>
          <w:spacing w:val="-4"/>
          <w:sz w:val="22"/>
          <w:szCs w:val="22"/>
        </w:rPr>
        <w:t xml:space="preserve"> </w:t>
      </w:r>
      <w:r w:rsidRPr="006561E7">
        <w:rPr>
          <w:sz w:val="22"/>
          <w:szCs w:val="22"/>
        </w:rPr>
        <w:t>requirement,</w:t>
      </w:r>
      <w:r w:rsidRPr="006561E7">
        <w:rPr>
          <w:spacing w:val="-2"/>
          <w:sz w:val="22"/>
          <w:szCs w:val="22"/>
        </w:rPr>
        <w:t xml:space="preserve"> </w:t>
      </w:r>
      <w:r w:rsidRPr="006561E7">
        <w:rPr>
          <w:i/>
          <w:sz w:val="22"/>
          <w:szCs w:val="22"/>
        </w:rPr>
        <w:t>work</w:t>
      </w:r>
      <w:r w:rsidRPr="006561E7">
        <w:rPr>
          <w:i/>
          <w:spacing w:val="-2"/>
          <w:sz w:val="22"/>
          <w:szCs w:val="22"/>
        </w:rPr>
        <w:t xml:space="preserve"> </w:t>
      </w:r>
      <w:r w:rsidRPr="006561E7">
        <w:rPr>
          <w:i/>
          <w:sz w:val="22"/>
          <w:szCs w:val="22"/>
        </w:rPr>
        <w:t>activities</w:t>
      </w:r>
      <w:r w:rsidRPr="006561E7">
        <w:rPr>
          <w:i/>
          <w:spacing w:val="-2"/>
          <w:sz w:val="22"/>
          <w:szCs w:val="22"/>
        </w:rPr>
        <w:t xml:space="preserve"> </w:t>
      </w:r>
      <w:r w:rsidRPr="006561E7">
        <w:rPr>
          <w:spacing w:val="-2"/>
          <w:sz w:val="22"/>
          <w:szCs w:val="22"/>
        </w:rPr>
        <w:t>means:</w:t>
      </w:r>
    </w:p>
    <w:p w14:paraId="41C5902C" w14:textId="77777777" w:rsidR="005C6CA7" w:rsidRPr="006561E7" w:rsidRDefault="005C6CA7" w:rsidP="007F177E">
      <w:pPr>
        <w:pStyle w:val="ListParagraph"/>
        <w:widowControl w:val="0"/>
        <w:numPr>
          <w:ilvl w:val="0"/>
          <w:numId w:val="276"/>
        </w:numPr>
        <w:autoSpaceDE w:val="0"/>
        <w:autoSpaceDN w:val="0"/>
        <w:contextualSpacing w:val="0"/>
      </w:pPr>
      <w:r w:rsidRPr="006561E7">
        <w:t>Unsubsidized employment;</w:t>
      </w:r>
    </w:p>
    <w:p w14:paraId="5338B53C" w14:textId="77777777" w:rsidR="005C6CA7" w:rsidRPr="006561E7" w:rsidRDefault="005C6CA7" w:rsidP="007F177E">
      <w:pPr>
        <w:pStyle w:val="ListParagraph"/>
        <w:widowControl w:val="0"/>
        <w:numPr>
          <w:ilvl w:val="0"/>
          <w:numId w:val="276"/>
        </w:numPr>
        <w:autoSpaceDE w:val="0"/>
        <w:autoSpaceDN w:val="0"/>
        <w:contextualSpacing w:val="0"/>
      </w:pPr>
      <w:r w:rsidRPr="006561E7">
        <w:t>Subsidized private-sector employment;</w:t>
      </w:r>
    </w:p>
    <w:p w14:paraId="418DA30D" w14:textId="77777777" w:rsidR="005C6CA7" w:rsidRPr="006561E7" w:rsidRDefault="005C6CA7" w:rsidP="007F177E">
      <w:pPr>
        <w:pStyle w:val="ListParagraph"/>
        <w:widowControl w:val="0"/>
        <w:numPr>
          <w:ilvl w:val="0"/>
          <w:numId w:val="276"/>
        </w:numPr>
        <w:autoSpaceDE w:val="0"/>
        <w:autoSpaceDN w:val="0"/>
        <w:contextualSpacing w:val="0"/>
      </w:pPr>
      <w:r w:rsidRPr="006561E7">
        <w:t>Subsidized public-sector employment;</w:t>
      </w:r>
    </w:p>
    <w:p w14:paraId="71B504E8" w14:textId="77777777" w:rsidR="005C6CA7" w:rsidRPr="006561E7" w:rsidRDefault="005C6CA7" w:rsidP="007F177E">
      <w:pPr>
        <w:pStyle w:val="ListParagraph"/>
        <w:widowControl w:val="0"/>
        <w:numPr>
          <w:ilvl w:val="0"/>
          <w:numId w:val="276"/>
        </w:numPr>
        <w:autoSpaceDE w:val="0"/>
        <w:autoSpaceDN w:val="0"/>
        <w:contextualSpacing w:val="0"/>
      </w:pPr>
      <w:r w:rsidRPr="006561E7">
        <w:t>Work experience (including work associated with the refurbishing of publicly assisted housing) if sufficient private sector employment is not available;</w:t>
      </w:r>
    </w:p>
    <w:p w14:paraId="488A3AA8" w14:textId="77777777" w:rsidR="005C6CA7" w:rsidRPr="006561E7" w:rsidRDefault="005C6CA7" w:rsidP="007F177E">
      <w:pPr>
        <w:pStyle w:val="ListParagraph"/>
        <w:widowControl w:val="0"/>
        <w:numPr>
          <w:ilvl w:val="0"/>
          <w:numId w:val="276"/>
        </w:numPr>
        <w:autoSpaceDE w:val="0"/>
        <w:autoSpaceDN w:val="0"/>
        <w:contextualSpacing w:val="0"/>
      </w:pPr>
      <w:r w:rsidRPr="006561E7">
        <w:t>On-the-job-training;</w:t>
      </w:r>
    </w:p>
    <w:p w14:paraId="79F91AF7" w14:textId="77777777" w:rsidR="005C6CA7" w:rsidRPr="006561E7" w:rsidRDefault="005C6CA7" w:rsidP="007F177E">
      <w:pPr>
        <w:pStyle w:val="ListParagraph"/>
        <w:widowControl w:val="0"/>
        <w:numPr>
          <w:ilvl w:val="0"/>
          <w:numId w:val="276"/>
        </w:numPr>
        <w:autoSpaceDE w:val="0"/>
        <w:autoSpaceDN w:val="0"/>
        <w:contextualSpacing w:val="0"/>
      </w:pPr>
      <w:r w:rsidRPr="006561E7">
        <w:t>Job search and job readiness assistance;</w:t>
      </w:r>
    </w:p>
    <w:p w14:paraId="648C710F" w14:textId="77777777" w:rsidR="005C6CA7" w:rsidRPr="006561E7" w:rsidRDefault="005C6CA7" w:rsidP="007F177E">
      <w:pPr>
        <w:pStyle w:val="ListParagraph"/>
        <w:widowControl w:val="0"/>
        <w:numPr>
          <w:ilvl w:val="0"/>
          <w:numId w:val="276"/>
        </w:numPr>
        <w:autoSpaceDE w:val="0"/>
        <w:autoSpaceDN w:val="0"/>
        <w:contextualSpacing w:val="0"/>
      </w:pPr>
      <w:r w:rsidRPr="006561E7">
        <w:t>Community service programs;</w:t>
      </w:r>
    </w:p>
    <w:p w14:paraId="7ADA4C0D" w14:textId="77777777" w:rsidR="005C6CA7" w:rsidRPr="006561E7" w:rsidRDefault="005C6CA7" w:rsidP="007F177E">
      <w:pPr>
        <w:pStyle w:val="ListParagraph"/>
        <w:widowControl w:val="0"/>
        <w:numPr>
          <w:ilvl w:val="0"/>
          <w:numId w:val="276"/>
        </w:numPr>
        <w:autoSpaceDE w:val="0"/>
        <w:autoSpaceDN w:val="0"/>
        <w:contextualSpacing w:val="0"/>
      </w:pPr>
      <w:r w:rsidRPr="006561E7">
        <w:t>Vocational educational training (not to exceed 12 months with respect to any individual);</w:t>
      </w:r>
    </w:p>
    <w:p w14:paraId="23A47560" w14:textId="77777777" w:rsidR="005C6CA7" w:rsidRPr="006561E7" w:rsidRDefault="005C6CA7" w:rsidP="007F177E">
      <w:pPr>
        <w:pStyle w:val="ListParagraph"/>
        <w:widowControl w:val="0"/>
        <w:numPr>
          <w:ilvl w:val="0"/>
          <w:numId w:val="276"/>
        </w:numPr>
        <w:autoSpaceDE w:val="0"/>
        <w:autoSpaceDN w:val="0"/>
        <w:contextualSpacing w:val="0"/>
      </w:pPr>
      <w:r w:rsidRPr="006561E7">
        <w:t>Job skills training directly related to employment;</w:t>
      </w:r>
    </w:p>
    <w:p w14:paraId="7737B804" w14:textId="18BE53DB" w:rsidR="005C6CA7" w:rsidRPr="006561E7" w:rsidRDefault="005C6CA7" w:rsidP="007F177E">
      <w:pPr>
        <w:pStyle w:val="ListParagraph"/>
        <w:widowControl w:val="0"/>
        <w:numPr>
          <w:ilvl w:val="0"/>
          <w:numId w:val="276"/>
        </w:numPr>
        <w:autoSpaceDE w:val="0"/>
        <w:autoSpaceDN w:val="0"/>
        <w:contextualSpacing w:val="0"/>
      </w:pPr>
      <w:r w:rsidRPr="006561E7">
        <w:t>Education directly related to employment in the case of a recipient who has not received a high school diploma or a certificate of high school equivalency;</w:t>
      </w:r>
      <w:r w:rsidR="00060C18">
        <w:t xml:space="preserve"> and/or</w:t>
      </w:r>
    </w:p>
    <w:p w14:paraId="2F9B70FB" w14:textId="12C8D962" w:rsidR="005C6CA7" w:rsidRPr="006561E7" w:rsidRDefault="005C6CA7" w:rsidP="007F177E">
      <w:pPr>
        <w:pStyle w:val="ListParagraph"/>
        <w:widowControl w:val="0"/>
        <w:numPr>
          <w:ilvl w:val="0"/>
          <w:numId w:val="276"/>
        </w:numPr>
        <w:autoSpaceDE w:val="0"/>
        <w:autoSpaceDN w:val="0"/>
        <w:contextualSpacing w:val="0"/>
      </w:pPr>
      <w:r w:rsidRPr="006561E7">
        <w:t>Satisfactory attendance at secondary school or in a course of study leading to a certificate of general equivalency, in the case of a recipient who has not completed secondary school or received such a certificate</w:t>
      </w:r>
      <w:r w:rsidR="00060C18">
        <w:t>.</w:t>
      </w:r>
    </w:p>
    <w:p w14:paraId="794A2D04" w14:textId="77777777" w:rsidR="005C6CA7" w:rsidRPr="00AA306E" w:rsidRDefault="009E2548" w:rsidP="005C6CA7">
      <w:pPr>
        <w:pStyle w:val="Heading2"/>
      </w:pPr>
      <w:bookmarkStart w:id="3132" w:name="_Toc428276912"/>
      <w:bookmarkStart w:id="3133" w:name="_Toc70048734"/>
      <w:bookmarkStart w:id="3134" w:name="_Toc106037989"/>
      <w:bookmarkStart w:id="3135" w:name="_Toc106201628"/>
      <w:bookmarkStart w:id="3136" w:name="_Toc106202147"/>
      <w:bookmarkStart w:id="3137" w:name="_Toc106202673"/>
      <w:bookmarkStart w:id="3138" w:name="_Toc113345129"/>
      <w:bookmarkStart w:id="3139" w:name="_Toc137460430"/>
      <w:bookmarkStart w:id="3140" w:name="_Toc137460675"/>
      <w:bookmarkStart w:id="3141" w:name="_Toc137460920"/>
      <w:bookmarkStart w:id="3142" w:name="_Toc137461873"/>
      <w:bookmarkStart w:id="3143" w:name="_Toc137471464"/>
      <w:bookmarkStart w:id="3144" w:name="_Toc137471973"/>
      <w:bookmarkStart w:id="3145" w:name="_Toc173222758"/>
      <w:bookmarkStart w:id="3146" w:name="_Toc200375807"/>
      <w:bookmarkStart w:id="3147" w:name="_Toc200377024"/>
      <w:r w:rsidRPr="00AA306E">
        <w:t>Community Service</w:t>
      </w:r>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r w:rsidRPr="00AA306E">
        <w:t xml:space="preserve"> </w:t>
      </w:r>
    </w:p>
    <w:p w14:paraId="2DADD882" w14:textId="77777777" w:rsidR="005C6CA7" w:rsidRPr="00AA306E" w:rsidRDefault="005C6CA7" w:rsidP="009E2548">
      <w:pPr>
        <w:widowControl w:val="0"/>
        <w:autoSpaceDE w:val="0"/>
        <w:autoSpaceDN w:val="0"/>
        <w:rPr>
          <w:szCs w:val="20"/>
        </w:rPr>
      </w:pPr>
      <w:r w:rsidRPr="00AA306E">
        <w:rPr>
          <w:szCs w:val="20"/>
        </w:rPr>
        <w:t>Eligible community service activities include, but are not limited to, work at:</w:t>
      </w:r>
    </w:p>
    <w:p w14:paraId="0157B5FE" w14:textId="77777777" w:rsidR="005C6CA7" w:rsidRPr="00AA306E" w:rsidRDefault="005C6CA7" w:rsidP="007F177E">
      <w:pPr>
        <w:pStyle w:val="ListParagraph"/>
        <w:widowControl w:val="0"/>
        <w:numPr>
          <w:ilvl w:val="0"/>
          <w:numId w:val="277"/>
        </w:numPr>
        <w:autoSpaceDE w:val="0"/>
        <w:autoSpaceDN w:val="0"/>
        <w:contextualSpacing w:val="0"/>
        <w:rPr>
          <w:szCs w:val="20"/>
        </w:rPr>
      </w:pPr>
      <w:r w:rsidRPr="00AA306E">
        <w:rPr>
          <w:szCs w:val="20"/>
        </w:rPr>
        <w:t>Local public or nonprofit institutions such as schools, head start programs, before or after school programs, child care centers, hospitals, clinics, hospices, nursing homes, recreation centers, senior centers, adult day care programs, homeless shelters, feeding programs, food banks (distributing either donated or commodity foods), or clothes closets (distributing donated clothing)</w:t>
      </w:r>
      <w:r>
        <w:rPr>
          <w:szCs w:val="20"/>
        </w:rPr>
        <w:t>;</w:t>
      </w:r>
    </w:p>
    <w:p w14:paraId="1CED7EAF" w14:textId="77777777" w:rsidR="005C6CA7" w:rsidRPr="00AA306E" w:rsidRDefault="005C6CA7" w:rsidP="007F177E">
      <w:pPr>
        <w:pStyle w:val="ListParagraph"/>
        <w:widowControl w:val="0"/>
        <w:numPr>
          <w:ilvl w:val="0"/>
          <w:numId w:val="277"/>
        </w:numPr>
        <w:autoSpaceDE w:val="0"/>
        <w:autoSpaceDN w:val="0"/>
        <w:contextualSpacing w:val="0"/>
        <w:rPr>
          <w:szCs w:val="20"/>
        </w:rPr>
      </w:pPr>
      <w:r w:rsidRPr="00AA306E">
        <w:rPr>
          <w:szCs w:val="20"/>
        </w:rPr>
        <w:t xml:space="preserve">Nonprofit organizations serving </w:t>
      </w:r>
      <w:r>
        <w:rPr>
          <w:szCs w:val="20"/>
        </w:rPr>
        <w:t>HHA</w:t>
      </w:r>
      <w:r w:rsidRPr="00AA306E">
        <w:rPr>
          <w:szCs w:val="20"/>
        </w:rPr>
        <w:t xml:space="preserve"> residents or their children such as: Boy or Girl Scouts, Boys or Girls Club, 4-H clubs, Police Assistance League (PAL), organized children’s recreation, mentoring or education programs, Big Brothers or Big Sisters, garden centers, community clean-up programs, beautification programs</w:t>
      </w:r>
      <w:r>
        <w:rPr>
          <w:szCs w:val="20"/>
        </w:rPr>
        <w:t>;</w:t>
      </w:r>
    </w:p>
    <w:p w14:paraId="5E21B5E6" w14:textId="77777777" w:rsidR="005C6CA7" w:rsidRPr="00AA306E" w:rsidRDefault="005C6CA7" w:rsidP="007F177E">
      <w:pPr>
        <w:pStyle w:val="ListParagraph"/>
        <w:widowControl w:val="0"/>
        <w:numPr>
          <w:ilvl w:val="0"/>
          <w:numId w:val="277"/>
        </w:numPr>
        <w:autoSpaceDE w:val="0"/>
        <w:autoSpaceDN w:val="0"/>
        <w:contextualSpacing w:val="0"/>
        <w:rPr>
          <w:szCs w:val="20"/>
        </w:rPr>
      </w:pPr>
      <w:r w:rsidRPr="00AA306E">
        <w:rPr>
          <w:szCs w:val="20"/>
        </w:rPr>
        <w:t>Programs funded under the Older Americans Act, such as Green Thumb, Service Corps of Retired Executives, senior meals programs, senior centers, Meals on Wheels</w:t>
      </w:r>
      <w:r>
        <w:rPr>
          <w:szCs w:val="20"/>
        </w:rPr>
        <w:t>;</w:t>
      </w:r>
    </w:p>
    <w:p w14:paraId="4E4C11FB" w14:textId="77777777" w:rsidR="005C6CA7" w:rsidRDefault="005C6CA7" w:rsidP="007F177E">
      <w:pPr>
        <w:pStyle w:val="ListParagraph"/>
        <w:widowControl w:val="0"/>
        <w:numPr>
          <w:ilvl w:val="0"/>
          <w:numId w:val="277"/>
        </w:numPr>
        <w:autoSpaceDE w:val="0"/>
        <w:autoSpaceDN w:val="0"/>
        <w:contextualSpacing w:val="0"/>
        <w:rPr>
          <w:szCs w:val="20"/>
        </w:rPr>
      </w:pPr>
      <w:r w:rsidRPr="00AA306E">
        <w:rPr>
          <w:szCs w:val="20"/>
        </w:rPr>
        <w:t>Public or nonprofit organizations dedicated to seniors, youth, children, residents, citizens, special-needs populations or with missions to enhance the environment, historic resources, cultural identities, neighborhoods, or performing arts</w:t>
      </w:r>
      <w:r>
        <w:rPr>
          <w:szCs w:val="20"/>
        </w:rPr>
        <w:t>;</w:t>
      </w:r>
    </w:p>
    <w:p w14:paraId="575AAF09" w14:textId="77777777" w:rsidR="005C6CA7" w:rsidRDefault="005C6CA7" w:rsidP="007F177E">
      <w:pPr>
        <w:pStyle w:val="ListParagraph"/>
        <w:widowControl w:val="0"/>
        <w:numPr>
          <w:ilvl w:val="0"/>
          <w:numId w:val="277"/>
        </w:numPr>
        <w:autoSpaceDE w:val="0"/>
        <w:autoSpaceDN w:val="0"/>
        <w:contextualSpacing w:val="0"/>
        <w:rPr>
          <w:szCs w:val="20"/>
        </w:rPr>
      </w:pPr>
      <w:r>
        <w:rPr>
          <w:szCs w:val="20"/>
        </w:rPr>
        <w:t>HHA</w:t>
      </w:r>
      <w:r w:rsidRPr="00AA306E">
        <w:rPr>
          <w:szCs w:val="20"/>
        </w:rPr>
        <w:t xml:space="preserve"> housing to improve grounds or provide gardens (so long as such work does not alter </w:t>
      </w:r>
      <w:r>
        <w:rPr>
          <w:szCs w:val="20"/>
        </w:rPr>
        <w:t>HHA</w:t>
      </w:r>
      <w:r w:rsidRPr="00AA306E">
        <w:rPr>
          <w:szCs w:val="20"/>
        </w:rPr>
        <w:t>’s insurance coverage); or work through resident organizations to help other residents with problems, including serving on the Resident Advisory Board</w:t>
      </w:r>
      <w:r>
        <w:rPr>
          <w:szCs w:val="20"/>
        </w:rPr>
        <w:t>;</w:t>
      </w:r>
    </w:p>
    <w:p w14:paraId="4CF9D8D7" w14:textId="77777777" w:rsidR="005C6CA7" w:rsidRDefault="005C6CA7" w:rsidP="007F177E">
      <w:pPr>
        <w:pStyle w:val="ListParagraph"/>
        <w:widowControl w:val="0"/>
        <w:numPr>
          <w:ilvl w:val="0"/>
          <w:numId w:val="277"/>
        </w:numPr>
        <w:autoSpaceDE w:val="0"/>
        <w:autoSpaceDN w:val="0"/>
        <w:contextualSpacing w:val="0"/>
        <w:rPr>
          <w:szCs w:val="20"/>
        </w:rPr>
      </w:pPr>
      <w:r w:rsidRPr="00AA306E">
        <w:rPr>
          <w:szCs w:val="20"/>
        </w:rPr>
        <w:t>Care for the children of other residents so parent may volunteer</w:t>
      </w:r>
      <w:r>
        <w:rPr>
          <w:szCs w:val="20"/>
        </w:rPr>
        <w:t>.</w:t>
      </w:r>
    </w:p>
    <w:p w14:paraId="28009184" w14:textId="77777777" w:rsidR="005C6CA7" w:rsidRPr="00A705DC" w:rsidRDefault="005A3CBB" w:rsidP="005C6CA7">
      <w:pPr>
        <w:pStyle w:val="Heading2"/>
      </w:pPr>
      <w:bookmarkStart w:id="3148" w:name="_Toc428276914"/>
      <w:bookmarkStart w:id="3149" w:name="_Toc70048735"/>
      <w:bookmarkStart w:id="3150" w:name="_Toc106037990"/>
      <w:bookmarkStart w:id="3151" w:name="_Toc106201629"/>
      <w:bookmarkStart w:id="3152" w:name="_Toc106202148"/>
      <w:bookmarkStart w:id="3153" w:name="_Toc106202674"/>
      <w:bookmarkStart w:id="3154" w:name="_Toc113345130"/>
      <w:bookmarkStart w:id="3155" w:name="_Toc137460431"/>
      <w:bookmarkStart w:id="3156" w:name="_Toc137460676"/>
      <w:bookmarkStart w:id="3157" w:name="_Toc137460921"/>
      <w:bookmarkStart w:id="3158" w:name="_Toc137461874"/>
      <w:bookmarkStart w:id="3159" w:name="_Toc137471465"/>
      <w:bookmarkStart w:id="3160" w:name="_Toc137471974"/>
      <w:bookmarkStart w:id="3161" w:name="_Toc173222759"/>
      <w:bookmarkStart w:id="3162" w:name="_Toc200375808"/>
      <w:bookmarkStart w:id="3163" w:name="_Toc200377025"/>
      <w:r w:rsidRPr="00A705DC">
        <w:t>Self</w:t>
      </w:r>
      <w:r>
        <w:t>-</w:t>
      </w:r>
      <w:r w:rsidRPr="00A705DC">
        <w:t>Sufficiency Activities</w:t>
      </w:r>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r w:rsidRPr="00A705DC">
        <w:t xml:space="preserve"> </w:t>
      </w:r>
    </w:p>
    <w:p w14:paraId="38DB2D86" w14:textId="77777777" w:rsidR="005C6CA7" w:rsidRPr="00A705DC" w:rsidRDefault="005C6CA7" w:rsidP="005A3CBB">
      <w:r w:rsidRPr="00A705DC">
        <w:t xml:space="preserve">For purposes of satisfying the CSSR, an </w:t>
      </w:r>
      <w:r w:rsidRPr="00A705DC">
        <w:rPr>
          <w:i/>
        </w:rPr>
        <w:t>economic self-sufficiency program</w:t>
      </w:r>
      <w:r w:rsidRPr="00A705DC">
        <w:t xml:space="preserve"> is defined by HUD as: Any program designed to encourage, assist, train, or facilitate economic independence of assisted families or to provide work for such families.</w:t>
      </w:r>
    </w:p>
    <w:p w14:paraId="4B6E4CD7" w14:textId="77777777" w:rsidR="005C6CA7" w:rsidRPr="00A705DC" w:rsidRDefault="005C6CA7" w:rsidP="005A3CBB">
      <w:pPr>
        <w:widowControl w:val="0"/>
        <w:autoSpaceDE w:val="0"/>
        <w:autoSpaceDN w:val="0"/>
        <w:rPr>
          <w:szCs w:val="20"/>
        </w:rPr>
      </w:pPr>
      <w:r w:rsidRPr="00A705DC">
        <w:rPr>
          <w:szCs w:val="20"/>
        </w:rPr>
        <w:t>Eligible self-sufficiency activities include, but are not limited to:</w:t>
      </w:r>
    </w:p>
    <w:p w14:paraId="6186A1CE" w14:textId="77777777" w:rsidR="005C6CA7" w:rsidRPr="00A705DC" w:rsidRDefault="005C6CA7" w:rsidP="007F177E">
      <w:pPr>
        <w:pStyle w:val="ListParagraph"/>
        <w:widowControl w:val="0"/>
        <w:numPr>
          <w:ilvl w:val="0"/>
          <w:numId w:val="278"/>
        </w:numPr>
        <w:autoSpaceDE w:val="0"/>
        <w:autoSpaceDN w:val="0"/>
        <w:contextualSpacing w:val="0"/>
        <w:rPr>
          <w:szCs w:val="20"/>
        </w:rPr>
      </w:pPr>
      <w:r w:rsidRPr="00A705DC">
        <w:rPr>
          <w:szCs w:val="20"/>
        </w:rPr>
        <w:t>Job readiness or job training</w:t>
      </w:r>
      <w:r>
        <w:rPr>
          <w:szCs w:val="20"/>
        </w:rPr>
        <w:t>;</w:t>
      </w:r>
    </w:p>
    <w:p w14:paraId="04FA438A" w14:textId="77777777" w:rsidR="005C6CA7" w:rsidRPr="00A705DC" w:rsidRDefault="005C6CA7" w:rsidP="007F177E">
      <w:pPr>
        <w:pStyle w:val="ListParagraph"/>
        <w:widowControl w:val="0"/>
        <w:numPr>
          <w:ilvl w:val="0"/>
          <w:numId w:val="278"/>
        </w:numPr>
        <w:autoSpaceDE w:val="0"/>
        <w:autoSpaceDN w:val="0"/>
        <w:contextualSpacing w:val="0"/>
        <w:rPr>
          <w:szCs w:val="20"/>
        </w:rPr>
      </w:pPr>
      <w:r w:rsidRPr="00A705DC">
        <w:rPr>
          <w:szCs w:val="20"/>
        </w:rPr>
        <w:t>Training programs through local one-stop career centers, workforce investment boards (local entities administered through the U.S. Department of Labor), or other training providers</w:t>
      </w:r>
      <w:r>
        <w:rPr>
          <w:szCs w:val="20"/>
        </w:rPr>
        <w:t>;</w:t>
      </w:r>
    </w:p>
    <w:p w14:paraId="0FFDC799" w14:textId="77777777" w:rsidR="005C6CA7" w:rsidRPr="00A705DC" w:rsidRDefault="005C6CA7" w:rsidP="007F177E">
      <w:pPr>
        <w:pStyle w:val="ListParagraph"/>
        <w:widowControl w:val="0"/>
        <w:numPr>
          <w:ilvl w:val="0"/>
          <w:numId w:val="278"/>
        </w:numPr>
        <w:autoSpaceDE w:val="0"/>
        <w:autoSpaceDN w:val="0"/>
        <w:contextualSpacing w:val="0"/>
        <w:rPr>
          <w:szCs w:val="20"/>
        </w:rPr>
      </w:pPr>
      <w:r w:rsidRPr="00A705DC">
        <w:rPr>
          <w:szCs w:val="20"/>
        </w:rPr>
        <w:t>Employment counseling, work placement, or basic skills training</w:t>
      </w:r>
      <w:r>
        <w:rPr>
          <w:szCs w:val="20"/>
        </w:rPr>
        <w:t>;</w:t>
      </w:r>
    </w:p>
    <w:p w14:paraId="15DEF07B" w14:textId="77777777" w:rsidR="005C6CA7" w:rsidRPr="00A705DC" w:rsidRDefault="005C6CA7" w:rsidP="007F177E">
      <w:pPr>
        <w:pStyle w:val="ListParagraph"/>
        <w:widowControl w:val="0"/>
        <w:numPr>
          <w:ilvl w:val="0"/>
          <w:numId w:val="278"/>
        </w:numPr>
        <w:autoSpaceDE w:val="0"/>
        <w:autoSpaceDN w:val="0"/>
        <w:contextualSpacing w:val="0"/>
        <w:rPr>
          <w:szCs w:val="20"/>
        </w:rPr>
      </w:pPr>
      <w:r w:rsidRPr="00A705DC">
        <w:rPr>
          <w:szCs w:val="20"/>
        </w:rPr>
        <w:t>Education, including higher education (junior college or college), GED classes, or reading, financial, or computer literacy classes</w:t>
      </w:r>
      <w:r>
        <w:rPr>
          <w:szCs w:val="20"/>
        </w:rPr>
        <w:t>;</w:t>
      </w:r>
    </w:p>
    <w:p w14:paraId="24BC657E" w14:textId="77777777" w:rsidR="005C6CA7" w:rsidRPr="00A705DC" w:rsidRDefault="005C6CA7" w:rsidP="007F177E">
      <w:pPr>
        <w:pStyle w:val="ListParagraph"/>
        <w:widowControl w:val="0"/>
        <w:numPr>
          <w:ilvl w:val="0"/>
          <w:numId w:val="278"/>
        </w:numPr>
        <w:autoSpaceDE w:val="0"/>
        <w:autoSpaceDN w:val="0"/>
        <w:contextualSpacing w:val="0"/>
        <w:rPr>
          <w:szCs w:val="20"/>
        </w:rPr>
      </w:pPr>
      <w:r w:rsidRPr="00A705DC">
        <w:rPr>
          <w:szCs w:val="20"/>
        </w:rPr>
        <w:t>Apprenticeships (formal or informal)</w:t>
      </w:r>
      <w:r>
        <w:rPr>
          <w:szCs w:val="20"/>
        </w:rPr>
        <w:t>;</w:t>
      </w:r>
    </w:p>
    <w:p w14:paraId="6A8E5F33" w14:textId="77777777" w:rsidR="005C6CA7" w:rsidRPr="00A705DC" w:rsidRDefault="005C6CA7" w:rsidP="007F177E">
      <w:pPr>
        <w:pStyle w:val="ListParagraph"/>
        <w:widowControl w:val="0"/>
        <w:numPr>
          <w:ilvl w:val="0"/>
          <w:numId w:val="278"/>
        </w:numPr>
        <w:autoSpaceDE w:val="0"/>
        <w:autoSpaceDN w:val="0"/>
        <w:contextualSpacing w:val="0"/>
        <w:rPr>
          <w:szCs w:val="20"/>
        </w:rPr>
      </w:pPr>
      <w:r w:rsidRPr="00A705DC">
        <w:rPr>
          <w:szCs w:val="20"/>
        </w:rPr>
        <w:t>English proficiency or English as a second language classes</w:t>
      </w:r>
      <w:r>
        <w:rPr>
          <w:szCs w:val="20"/>
        </w:rPr>
        <w:t>;</w:t>
      </w:r>
    </w:p>
    <w:p w14:paraId="72E70BDB" w14:textId="77777777" w:rsidR="005C6CA7" w:rsidRPr="00A705DC" w:rsidRDefault="005C6CA7" w:rsidP="007F177E">
      <w:pPr>
        <w:pStyle w:val="ListParagraph"/>
        <w:widowControl w:val="0"/>
        <w:numPr>
          <w:ilvl w:val="0"/>
          <w:numId w:val="278"/>
        </w:numPr>
        <w:autoSpaceDE w:val="0"/>
        <w:autoSpaceDN w:val="0"/>
        <w:contextualSpacing w:val="0"/>
        <w:rPr>
          <w:szCs w:val="20"/>
        </w:rPr>
      </w:pPr>
      <w:r w:rsidRPr="00A705DC">
        <w:rPr>
          <w:szCs w:val="20"/>
        </w:rPr>
        <w:t>Budgeting and credit counseling</w:t>
      </w:r>
      <w:r>
        <w:rPr>
          <w:szCs w:val="20"/>
        </w:rPr>
        <w:t>;</w:t>
      </w:r>
    </w:p>
    <w:p w14:paraId="24BEB2B7" w14:textId="77777777" w:rsidR="005C6CA7" w:rsidRPr="00A705DC" w:rsidRDefault="005C6CA7" w:rsidP="007F177E">
      <w:pPr>
        <w:pStyle w:val="ListParagraph"/>
        <w:widowControl w:val="0"/>
        <w:numPr>
          <w:ilvl w:val="0"/>
          <w:numId w:val="278"/>
        </w:numPr>
        <w:autoSpaceDE w:val="0"/>
        <w:autoSpaceDN w:val="0"/>
        <w:contextualSpacing w:val="0"/>
        <w:rPr>
          <w:szCs w:val="20"/>
        </w:rPr>
      </w:pPr>
      <w:r w:rsidRPr="00A705DC">
        <w:rPr>
          <w:szCs w:val="20"/>
        </w:rPr>
        <w:t>Any activity required by the Department of Public Assistance under Temporary Assistance for Needy Families (TANF)</w:t>
      </w:r>
      <w:r>
        <w:rPr>
          <w:szCs w:val="20"/>
        </w:rPr>
        <w:t>;</w:t>
      </w:r>
    </w:p>
    <w:p w14:paraId="42DAEE85" w14:textId="77777777" w:rsidR="005C6CA7" w:rsidRPr="00A705DC" w:rsidRDefault="005C6CA7" w:rsidP="007F177E">
      <w:pPr>
        <w:pStyle w:val="ListParagraph"/>
        <w:widowControl w:val="0"/>
        <w:numPr>
          <w:ilvl w:val="0"/>
          <w:numId w:val="278"/>
        </w:numPr>
        <w:autoSpaceDE w:val="0"/>
        <w:autoSpaceDN w:val="0"/>
        <w:contextualSpacing w:val="0"/>
        <w:rPr>
          <w:szCs w:val="20"/>
        </w:rPr>
      </w:pPr>
      <w:r w:rsidRPr="00A705DC">
        <w:rPr>
          <w:szCs w:val="20"/>
        </w:rPr>
        <w:t>Any other program necessary to ready a participant to work (such as substance abuse or mental health counseling)</w:t>
      </w:r>
      <w:r>
        <w:rPr>
          <w:szCs w:val="20"/>
        </w:rPr>
        <w:t>.</w:t>
      </w:r>
    </w:p>
    <w:p w14:paraId="63FD4E90" w14:textId="77777777" w:rsidR="005C6CA7" w:rsidRPr="00385703" w:rsidRDefault="005A3CBB" w:rsidP="00521459">
      <w:pPr>
        <w:pStyle w:val="Heading2"/>
      </w:pPr>
      <w:bookmarkStart w:id="3164" w:name="_Ref102051656"/>
      <w:bookmarkStart w:id="3165" w:name="_Toc106037991"/>
      <w:bookmarkStart w:id="3166" w:name="_Toc106201630"/>
      <w:bookmarkStart w:id="3167" w:name="_Toc106202149"/>
      <w:bookmarkStart w:id="3168" w:name="_Toc106202675"/>
      <w:bookmarkStart w:id="3169" w:name="_Toc113345131"/>
      <w:bookmarkStart w:id="3170" w:name="_Toc137460432"/>
      <w:bookmarkStart w:id="3171" w:name="_Toc137460677"/>
      <w:bookmarkStart w:id="3172" w:name="_Toc137460922"/>
      <w:bookmarkStart w:id="3173" w:name="_Toc137461875"/>
      <w:bookmarkStart w:id="3174" w:name="_Toc137471466"/>
      <w:bookmarkStart w:id="3175" w:name="_Toc137471975"/>
      <w:bookmarkStart w:id="3176" w:name="_Toc173222760"/>
      <w:bookmarkStart w:id="3177" w:name="_Toc200375809"/>
      <w:bookmarkStart w:id="3178" w:name="_Toc200377026"/>
      <w:r>
        <w:t>Notice Requirements</w:t>
      </w:r>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p>
    <w:p w14:paraId="07BBD9E2" w14:textId="77777777" w:rsidR="005C6CA7" w:rsidRPr="005A3CBB" w:rsidRDefault="005C6CA7" w:rsidP="00521459">
      <w:pPr>
        <w:pStyle w:val="BodyText"/>
        <w:spacing w:after="160" w:line="259" w:lineRule="auto"/>
        <w:jc w:val="both"/>
        <w:rPr>
          <w:sz w:val="22"/>
          <w:szCs w:val="22"/>
        </w:rPr>
      </w:pPr>
      <w:r w:rsidRPr="005A3CBB">
        <w:rPr>
          <w:sz w:val="22"/>
          <w:szCs w:val="22"/>
        </w:rPr>
        <w:t>HHA</w:t>
      </w:r>
      <w:r w:rsidRPr="005A3CBB">
        <w:rPr>
          <w:spacing w:val="-4"/>
          <w:sz w:val="22"/>
          <w:szCs w:val="22"/>
        </w:rPr>
        <w:t xml:space="preserve"> </w:t>
      </w:r>
      <w:r w:rsidRPr="005A3CBB">
        <w:rPr>
          <w:sz w:val="22"/>
          <w:szCs w:val="22"/>
        </w:rPr>
        <w:t>will</w:t>
      </w:r>
      <w:r w:rsidRPr="005A3CBB">
        <w:rPr>
          <w:spacing w:val="-3"/>
          <w:sz w:val="22"/>
          <w:szCs w:val="22"/>
        </w:rPr>
        <w:t xml:space="preserve"> </w:t>
      </w:r>
      <w:r w:rsidRPr="005A3CBB">
        <w:rPr>
          <w:sz w:val="22"/>
          <w:szCs w:val="22"/>
        </w:rPr>
        <w:t>provide</w:t>
      </w:r>
      <w:r w:rsidRPr="005A3CBB">
        <w:rPr>
          <w:spacing w:val="-3"/>
          <w:sz w:val="22"/>
          <w:szCs w:val="22"/>
        </w:rPr>
        <w:t xml:space="preserve"> </w:t>
      </w:r>
      <w:r w:rsidRPr="005A3CBB">
        <w:rPr>
          <w:sz w:val="22"/>
          <w:szCs w:val="22"/>
        </w:rPr>
        <w:t>the</w:t>
      </w:r>
      <w:r w:rsidRPr="005A3CBB">
        <w:rPr>
          <w:spacing w:val="-4"/>
          <w:sz w:val="22"/>
          <w:szCs w:val="22"/>
        </w:rPr>
        <w:t xml:space="preserve"> </w:t>
      </w:r>
      <w:r w:rsidRPr="005A3CBB">
        <w:rPr>
          <w:sz w:val="22"/>
          <w:szCs w:val="22"/>
        </w:rPr>
        <w:t>family</w:t>
      </w:r>
      <w:r w:rsidRPr="005A3CBB">
        <w:rPr>
          <w:spacing w:val="-10"/>
          <w:sz w:val="22"/>
          <w:szCs w:val="22"/>
        </w:rPr>
        <w:t xml:space="preserve"> </w:t>
      </w:r>
      <w:r w:rsidRPr="005A3CBB">
        <w:rPr>
          <w:sz w:val="22"/>
          <w:szCs w:val="22"/>
        </w:rPr>
        <w:t>with</w:t>
      </w:r>
      <w:r w:rsidRPr="005A3CBB">
        <w:rPr>
          <w:spacing w:val="-3"/>
          <w:sz w:val="22"/>
          <w:szCs w:val="22"/>
        </w:rPr>
        <w:t xml:space="preserve"> </w:t>
      </w:r>
      <w:r w:rsidRPr="005A3CBB">
        <w:rPr>
          <w:sz w:val="22"/>
          <w:szCs w:val="22"/>
        </w:rPr>
        <w:t>a</w:t>
      </w:r>
      <w:r w:rsidRPr="005A3CBB">
        <w:rPr>
          <w:spacing w:val="-3"/>
          <w:sz w:val="22"/>
          <w:szCs w:val="22"/>
        </w:rPr>
        <w:t xml:space="preserve"> </w:t>
      </w:r>
      <w:r w:rsidRPr="005A3CBB">
        <w:rPr>
          <w:sz w:val="22"/>
          <w:szCs w:val="22"/>
        </w:rPr>
        <w:t>copy</w:t>
      </w:r>
      <w:r w:rsidRPr="005A3CBB">
        <w:rPr>
          <w:spacing w:val="-11"/>
          <w:sz w:val="22"/>
          <w:szCs w:val="22"/>
        </w:rPr>
        <w:t xml:space="preserve"> </w:t>
      </w:r>
      <w:r w:rsidRPr="005A3CBB">
        <w:rPr>
          <w:sz w:val="22"/>
          <w:szCs w:val="22"/>
        </w:rPr>
        <w:t>of</w:t>
      </w:r>
      <w:r w:rsidRPr="005A3CBB">
        <w:rPr>
          <w:spacing w:val="-2"/>
          <w:sz w:val="22"/>
          <w:szCs w:val="22"/>
        </w:rPr>
        <w:t xml:space="preserve"> </w:t>
      </w:r>
      <w:r w:rsidRPr="005A3CBB">
        <w:rPr>
          <w:sz w:val="22"/>
          <w:szCs w:val="22"/>
        </w:rPr>
        <w:t>the</w:t>
      </w:r>
      <w:r w:rsidRPr="005A3CBB">
        <w:rPr>
          <w:spacing w:val="-3"/>
          <w:sz w:val="22"/>
          <w:szCs w:val="22"/>
        </w:rPr>
        <w:t xml:space="preserve"> </w:t>
      </w:r>
      <w:r w:rsidRPr="005A3CBB">
        <w:rPr>
          <w:sz w:val="22"/>
          <w:szCs w:val="22"/>
        </w:rPr>
        <w:t>Community</w:t>
      </w:r>
      <w:r w:rsidRPr="005A3CBB">
        <w:rPr>
          <w:spacing w:val="-10"/>
          <w:sz w:val="22"/>
          <w:szCs w:val="22"/>
        </w:rPr>
        <w:t xml:space="preserve"> </w:t>
      </w:r>
      <w:r w:rsidRPr="005A3CBB">
        <w:rPr>
          <w:sz w:val="22"/>
          <w:szCs w:val="22"/>
        </w:rPr>
        <w:t>Service</w:t>
      </w:r>
      <w:r w:rsidRPr="005A3CBB">
        <w:rPr>
          <w:spacing w:val="-4"/>
          <w:sz w:val="22"/>
          <w:szCs w:val="22"/>
        </w:rPr>
        <w:t xml:space="preserve"> </w:t>
      </w:r>
      <w:r w:rsidRPr="005A3CBB">
        <w:rPr>
          <w:sz w:val="22"/>
          <w:szCs w:val="22"/>
        </w:rPr>
        <w:t>Policy</w:t>
      </w:r>
      <w:r w:rsidRPr="005A3CBB">
        <w:rPr>
          <w:spacing w:val="-11"/>
          <w:sz w:val="22"/>
          <w:szCs w:val="22"/>
        </w:rPr>
        <w:t xml:space="preserve"> </w:t>
      </w:r>
      <w:r w:rsidRPr="005A3CBB">
        <w:rPr>
          <w:sz w:val="22"/>
          <w:szCs w:val="22"/>
        </w:rPr>
        <w:t>at lease-up, lease renewal, when a family member is determined</w:t>
      </w:r>
      <w:r w:rsidRPr="005A3CBB">
        <w:rPr>
          <w:spacing w:val="-1"/>
          <w:sz w:val="22"/>
          <w:szCs w:val="22"/>
        </w:rPr>
        <w:t xml:space="preserve"> </w:t>
      </w:r>
      <w:r w:rsidRPr="005A3CBB">
        <w:rPr>
          <w:sz w:val="22"/>
          <w:szCs w:val="22"/>
        </w:rPr>
        <w:t>to</w:t>
      </w:r>
      <w:r w:rsidRPr="005A3CBB">
        <w:rPr>
          <w:spacing w:val="-1"/>
          <w:sz w:val="22"/>
          <w:szCs w:val="22"/>
        </w:rPr>
        <w:t xml:space="preserve"> </w:t>
      </w:r>
      <w:r w:rsidRPr="005A3CBB">
        <w:rPr>
          <w:sz w:val="22"/>
          <w:szCs w:val="22"/>
        </w:rPr>
        <w:t>be</w:t>
      </w:r>
      <w:r w:rsidRPr="005A3CBB">
        <w:rPr>
          <w:spacing w:val="-1"/>
          <w:sz w:val="22"/>
          <w:szCs w:val="22"/>
        </w:rPr>
        <w:t xml:space="preserve"> </w:t>
      </w:r>
      <w:r w:rsidRPr="005A3CBB">
        <w:rPr>
          <w:sz w:val="22"/>
          <w:szCs w:val="22"/>
        </w:rPr>
        <w:t>subject</w:t>
      </w:r>
      <w:r w:rsidRPr="005A3CBB">
        <w:rPr>
          <w:spacing w:val="-1"/>
          <w:sz w:val="22"/>
          <w:szCs w:val="22"/>
        </w:rPr>
        <w:t xml:space="preserve"> </w:t>
      </w:r>
      <w:r w:rsidRPr="005A3CBB">
        <w:rPr>
          <w:sz w:val="22"/>
          <w:szCs w:val="22"/>
        </w:rPr>
        <w:t>to</w:t>
      </w:r>
      <w:r w:rsidRPr="005A3CBB">
        <w:rPr>
          <w:spacing w:val="-1"/>
          <w:sz w:val="22"/>
          <w:szCs w:val="22"/>
        </w:rPr>
        <w:t xml:space="preserve"> </w:t>
      </w:r>
      <w:r w:rsidRPr="005A3CBB">
        <w:rPr>
          <w:sz w:val="22"/>
          <w:szCs w:val="22"/>
        </w:rPr>
        <w:t>the</w:t>
      </w:r>
      <w:r w:rsidRPr="005A3CBB">
        <w:rPr>
          <w:spacing w:val="-1"/>
          <w:sz w:val="22"/>
          <w:szCs w:val="22"/>
        </w:rPr>
        <w:t xml:space="preserve"> </w:t>
      </w:r>
      <w:r w:rsidRPr="005A3CBB">
        <w:rPr>
          <w:sz w:val="22"/>
          <w:szCs w:val="22"/>
        </w:rPr>
        <w:t>community</w:t>
      </w:r>
      <w:r w:rsidRPr="005A3CBB">
        <w:rPr>
          <w:spacing w:val="-9"/>
          <w:sz w:val="22"/>
          <w:szCs w:val="22"/>
        </w:rPr>
        <w:t xml:space="preserve"> </w:t>
      </w:r>
      <w:r w:rsidRPr="005A3CBB">
        <w:rPr>
          <w:sz w:val="22"/>
          <w:szCs w:val="22"/>
        </w:rPr>
        <w:t>service</w:t>
      </w:r>
      <w:r w:rsidRPr="005A3CBB">
        <w:rPr>
          <w:spacing w:val="-3"/>
          <w:sz w:val="22"/>
          <w:szCs w:val="22"/>
        </w:rPr>
        <w:t xml:space="preserve"> </w:t>
      </w:r>
      <w:r w:rsidRPr="005A3CBB">
        <w:rPr>
          <w:sz w:val="22"/>
          <w:szCs w:val="22"/>
        </w:rPr>
        <w:t>requirement during</w:t>
      </w:r>
      <w:r w:rsidRPr="005A3CBB">
        <w:rPr>
          <w:spacing w:val="-4"/>
          <w:sz w:val="22"/>
          <w:szCs w:val="22"/>
        </w:rPr>
        <w:t xml:space="preserve"> </w:t>
      </w:r>
      <w:r w:rsidRPr="005A3CBB">
        <w:rPr>
          <w:sz w:val="22"/>
          <w:szCs w:val="22"/>
        </w:rPr>
        <w:t>the</w:t>
      </w:r>
      <w:r w:rsidRPr="005A3CBB">
        <w:rPr>
          <w:spacing w:val="-1"/>
          <w:sz w:val="22"/>
          <w:szCs w:val="22"/>
        </w:rPr>
        <w:t xml:space="preserve"> </w:t>
      </w:r>
      <w:r w:rsidRPr="005A3CBB">
        <w:rPr>
          <w:sz w:val="22"/>
          <w:szCs w:val="22"/>
        </w:rPr>
        <w:t>lease</w:t>
      </w:r>
      <w:r w:rsidRPr="005A3CBB">
        <w:rPr>
          <w:spacing w:val="-2"/>
          <w:sz w:val="22"/>
          <w:szCs w:val="22"/>
        </w:rPr>
        <w:t xml:space="preserve"> </w:t>
      </w:r>
      <w:r w:rsidRPr="005A3CBB">
        <w:rPr>
          <w:sz w:val="22"/>
          <w:szCs w:val="22"/>
        </w:rPr>
        <w:t>term,</w:t>
      </w:r>
      <w:r w:rsidRPr="005A3CBB">
        <w:rPr>
          <w:spacing w:val="-1"/>
          <w:sz w:val="22"/>
          <w:szCs w:val="22"/>
        </w:rPr>
        <w:t xml:space="preserve"> </w:t>
      </w:r>
      <w:r w:rsidRPr="005A3CBB">
        <w:rPr>
          <w:sz w:val="22"/>
          <w:szCs w:val="22"/>
        </w:rPr>
        <w:t>and at any time upon the family’s request.</w:t>
      </w:r>
    </w:p>
    <w:p w14:paraId="4CA27856" w14:textId="77777777" w:rsidR="005C6CA7" w:rsidRPr="005A3CBB" w:rsidRDefault="005C6CA7" w:rsidP="00521459">
      <w:pPr>
        <w:pStyle w:val="BodyText"/>
        <w:spacing w:after="160" w:line="259" w:lineRule="auto"/>
        <w:jc w:val="both"/>
        <w:rPr>
          <w:sz w:val="22"/>
          <w:szCs w:val="22"/>
        </w:rPr>
      </w:pPr>
      <w:r w:rsidRPr="005A3CBB">
        <w:rPr>
          <w:sz w:val="22"/>
          <w:szCs w:val="22"/>
        </w:rPr>
        <w:t xml:space="preserve">On an </w:t>
      </w:r>
      <w:r w:rsidRPr="006F3F40">
        <w:rPr>
          <w:sz w:val="22"/>
          <w:szCs w:val="22"/>
        </w:rPr>
        <w:t>annual basis</w:t>
      </w:r>
      <w:r w:rsidR="00DB785C" w:rsidRPr="006F3F40">
        <w:rPr>
          <w:sz w:val="22"/>
          <w:szCs w:val="22"/>
        </w:rPr>
        <w:t>,</w:t>
      </w:r>
      <w:r w:rsidRPr="006F3F40">
        <w:rPr>
          <w:sz w:val="22"/>
          <w:szCs w:val="22"/>
        </w:rPr>
        <w:t xml:space="preserve"> families</w:t>
      </w:r>
      <w:r w:rsidRPr="005A3CBB">
        <w:rPr>
          <w:sz w:val="22"/>
          <w:szCs w:val="22"/>
        </w:rPr>
        <w:t xml:space="preserve"> will be required to certify their CSSR status. Non-exempt individuals will be required to certify the completion of required CSSR hours. </w:t>
      </w:r>
    </w:p>
    <w:p w14:paraId="0FEF4ECA" w14:textId="77777777" w:rsidR="005C6CA7" w:rsidRPr="009104BF" w:rsidRDefault="005A3CBB" w:rsidP="00521459">
      <w:pPr>
        <w:pStyle w:val="Heading2"/>
      </w:pPr>
      <w:bookmarkStart w:id="3179" w:name="_Toc106037992"/>
      <w:bookmarkStart w:id="3180" w:name="_Toc106201631"/>
      <w:bookmarkStart w:id="3181" w:name="_Toc106202150"/>
      <w:bookmarkStart w:id="3182" w:name="_Toc106202676"/>
      <w:bookmarkStart w:id="3183" w:name="_Toc113345132"/>
      <w:bookmarkStart w:id="3184" w:name="_Toc137460433"/>
      <w:bookmarkStart w:id="3185" w:name="_Toc137460678"/>
      <w:bookmarkStart w:id="3186" w:name="_Toc137460923"/>
      <w:bookmarkStart w:id="3187" w:name="_Toc137461876"/>
      <w:bookmarkStart w:id="3188" w:name="_Toc137471467"/>
      <w:bookmarkStart w:id="3189" w:name="_Toc137471976"/>
      <w:bookmarkStart w:id="3190" w:name="_Toc173222761"/>
      <w:bookmarkStart w:id="3191" w:name="_Toc200375810"/>
      <w:bookmarkStart w:id="3192" w:name="_Toc200377027"/>
      <w:r w:rsidRPr="009104BF">
        <w:t xml:space="preserve">Determination </w:t>
      </w:r>
      <w:r>
        <w:t>o</w:t>
      </w:r>
      <w:r w:rsidRPr="009104BF">
        <w:t xml:space="preserve">f Exemption Status </w:t>
      </w:r>
      <w:r w:rsidR="00521459">
        <w:t>a</w:t>
      </w:r>
      <w:r w:rsidRPr="009104BF">
        <w:t>nd Compliance</w:t>
      </w:r>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p>
    <w:p w14:paraId="6AAE6329" w14:textId="77777777" w:rsidR="005C6CA7" w:rsidRPr="00521459" w:rsidRDefault="005C6CA7" w:rsidP="00521459">
      <w:pPr>
        <w:pStyle w:val="BodyText"/>
        <w:spacing w:after="160" w:line="259" w:lineRule="auto"/>
        <w:jc w:val="both"/>
        <w:rPr>
          <w:sz w:val="22"/>
          <w:szCs w:val="22"/>
        </w:rPr>
      </w:pPr>
      <w:r w:rsidRPr="00521459">
        <w:rPr>
          <w:sz w:val="22"/>
          <w:szCs w:val="22"/>
        </w:rPr>
        <w:t>HHA will review and verify family compliance with service requirements prior to the end of the 12-month lease term</w:t>
      </w:r>
      <w:r w:rsidRPr="009014C4">
        <w:rPr>
          <w:sz w:val="22"/>
          <w:szCs w:val="22"/>
        </w:rPr>
        <w:t>. Where the lease term does not coincide with the effective date of the annual reexamination, HHA will change the effective date of the annual reexamination to coincide with the lease term. In making this change, HHA will ensure that the annual reexamination is conducted within 12 months of the last annual reexamination.</w:t>
      </w:r>
    </w:p>
    <w:p w14:paraId="3F1F1C8C" w14:textId="77777777" w:rsidR="005C6CA7" w:rsidRDefault="005C6CA7" w:rsidP="00677451">
      <w:pPr>
        <w:pStyle w:val="Heading3"/>
      </w:pPr>
      <w:bookmarkStart w:id="3193" w:name="_Toc106037993"/>
      <w:bookmarkStart w:id="3194" w:name="_Toc106201632"/>
      <w:bookmarkStart w:id="3195" w:name="_Toc106202151"/>
      <w:bookmarkStart w:id="3196" w:name="_Toc106202677"/>
      <w:bookmarkStart w:id="3197" w:name="_Toc113345133"/>
      <w:bookmarkStart w:id="3198" w:name="_Toc137461877"/>
      <w:bookmarkStart w:id="3199" w:name="_Toc137471468"/>
      <w:bookmarkStart w:id="3200" w:name="_Toc137471977"/>
      <w:bookmarkStart w:id="3201" w:name="_Toc200375811"/>
      <w:r>
        <w:t>Determination of Exemption Status</w:t>
      </w:r>
      <w:bookmarkEnd w:id="3193"/>
      <w:bookmarkEnd w:id="3194"/>
      <w:bookmarkEnd w:id="3195"/>
      <w:bookmarkEnd w:id="3196"/>
      <w:bookmarkEnd w:id="3197"/>
      <w:bookmarkEnd w:id="3198"/>
      <w:bookmarkEnd w:id="3199"/>
      <w:bookmarkEnd w:id="3200"/>
      <w:bookmarkEnd w:id="3201"/>
    </w:p>
    <w:p w14:paraId="2796FBFB" w14:textId="77777777" w:rsidR="005C6CA7" w:rsidRPr="00521459" w:rsidRDefault="005C6CA7" w:rsidP="00521459">
      <w:pPr>
        <w:pStyle w:val="BodyText"/>
        <w:spacing w:after="160" w:line="259" w:lineRule="auto"/>
        <w:jc w:val="both"/>
        <w:rPr>
          <w:sz w:val="22"/>
          <w:szCs w:val="22"/>
        </w:rPr>
      </w:pPr>
      <w:r w:rsidRPr="00521459">
        <w:rPr>
          <w:sz w:val="22"/>
          <w:szCs w:val="22"/>
        </w:rPr>
        <w:t xml:space="preserve">At least 60 days prior to lease renewal, HHA will review and verify the exemption status of all adult family members. This verification will only be done on </w:t>
      </w:r>
      <w:r w:rsidRPr="006F3F40">
        <w:rPr>
          <w:sz w:val="22"/>
          <w:szCs w:val="22"/>
        </w:rPr>
        <w:t>an annual</w:t>
      </w:r>
      <w:r w:rsidRPr="00521459">
        <w:rPr>
          <w:sz w:val="22"/>
          <w:szCs w:val="22"/>
        </w:rPr>
        <w:t xml:space="preserve"> basis unless the family reports a change or HHA has reason to believe that an individual’s exemption status has changed. For individuals who are exempt because they are 62 years of age and older, verification of exemption status will be done only at the initial examination.</w:t>
      </w:r>
      <w:r w:rsidR="009226AA">
        <w:rPr>
          <w:sz w:val="22"/>
          <w:szCs w:val="22"/>
        </w:rPr>
        <w:t xml:space="preserve"> Once a current participant turns 62, no further verification of exemption status will be required.</w:t>
      </w:r>
    </w:p>
    <w:p w14:paraId="664D8CD8" w14:textId="77777777" w:rsidR="005C6CA7" w:rsidRDefault="005C6CA7" w:rsidP="00677451">
      <w:pPr>
        <w:pStyle w:val="Heading3"/>
      </w:pPr>
      <w:bookmarkStart w:id="3202" w:name="_Toc106037994"/>
      <w:bookmarkStart w:id="3203" w:name="_Toc106201633"/>
      <w:bookmarkStart w:id="3204" w:name="_Toc106202152"/>
      <w:bookmarkStart w:id="3205" w:name="_Toc106202678"/>
      <w:bookmarkStart w:id="3206" w:name="_Toc113345134"/>
      <w:bookmarkStart w:id="3207" w:name="_Toc137461878"/>
      <w:bookmarkStart w:id="3208" w:name="_Toc137471469"/>
      <w:bookmarkStart w:id="3209" w:name="_Toc137471978"/>
      <w:bookmarkStart w:id="3210" w:name="_Toc200375812"/>
      <w:r>
        <w:t>Determination of Compliance</w:t>
      </w:r>
      <w:bookmarkEnd w:id="3202"/>
      <w:bookmarkEnd w:id="3203"/>
      <w:bookmarkEnd w:id="3204"/>
      <w:bookmarkEnd w:id="3205"/>
      <w:bookmarkEnd w:id="3206"/>
      <w:bookmarkEnd w:id="3207"/>
      <w:bookmarkEnd w:id="3208"/>
      <w:bookmarkEnd w:id="3209"/>
      <w:bookmarkEnd w:id="3210"/>
    </w:p>
    <w:p w14:paraId="4821314E" w14:textId="77777777" w:rsidR="005C6CA7" w:rsidRPr="00521459" w:rsidRDefault="005C6CA7" w:rsidP="00521459">
      <w:pPr>
        <w:pStyle w:val="BodyText"/>
        <w:spacing w:after="160" w:line="259" w:lineRule="auto"/>
        <w:jc w:val="both"/>
        <w:rPr>
          <w:sz w:val="22"/>
          <w:szCs w:val="22"/>
        </w:rPr>
      </w:pPr>
      <w:r w:rsidRPr="00521459">
        <w:rPr>
          <w:sz w:val="22"/>
          <w:szCs w:val="22"/>
        </w:rPr>
        <w:t xml:space="preserve">Approximately 60 days prior to lease renewal, HHA will require applicable family members to submit documentation to support compliance with the CSSR. The family </w:t>
      </w:r>
      <w:r w:rsidRPr="00BE278F">
        <w:rPr>
          <w:sz w:val="22"/>
          <w:szCs w:val="22"/>
        </w:rPr>
        <w:t xml:space="preserve">will have </w:t>
      </w:r>
      <w:r w:rsidR="00BE278F" w:rsidRPr="00BE278F">
        <w:rPr>
          <w:sz w:val="22"/>
          <w:szCs w:val="22"/>
        </w:rPr>
        <w:t>15 calendar</w:t>
      </w:r>
      <w:r w:rsidRPr="00BE278F">
        <w:rPr>
          <w:sz w:val="22"/>
          <w:szCs w:val="22"/>
        </w:rPr>
        <w:t xml:space="preserve"> days to submit HHA required documentation form(s).</w:t>
      </w:r>
    </w:p>
    <w:p w14:paraId="3C6D5A53" w14:textId="77777777" w:rsidR="005C6CA7" w:rsidRPr="00521459" w:rsidRDefault="005C6CA7" w:rsidP="00521459">
      <w:pPr>
        <w:pStyle w:val="BodyText"/>
        <w:spacing w:after="160" w:line="259" w:lineRule="auto"/>
        <w:jc w:val="both"/>
        <w:rPr>
          <w:sz w:val="22"/>
          <w:szCs w:val="22"/>
        </w:rPr>
      </w:pPr>
      <w:r w:rsidRPr="00521459">
        <w:rPr>
          <w:sz w:val="22"/>
          <w:szCs w:val="22"/>
        </w:rPr>
        <w:t xml:space="preserve">If the family fails to submit the required documentation within the required timeframe or HHA-approved extension, the subject family members will be considered noncompliant with community service requirements, and notices of noncompliance will be issued pursuant to the policies on noncompliance. </w:t>
      </w:r>
    </w:p>
    <w:p w14:paraId="4A2EE596" w14:textId="77777777" w:rsidR="005C6CA7" w:rsidRPr="002965D3" w:rsidRDefault="005C6CA7" w:rsidP="00677451">
      <w:pPr>
        <w:pStyle w:val="Heading3"/>
      </w:pPr>
      <w:bookmarkStart w:id="3211" w:name="_Ref105676283"/>
      <w:bookmarkStart w:id="3212" w:name="_Toc106037995"/>
      <w:bookmarkStart w:id="3213" w:name="_Toc106201634"/>
      <w:bookmarkStart w:id="3214" w:name="_Toc106202153"/>
      <w:bookmarkStart w:id="3215" w:name="_Toc106202679"/>
      <w:bookmarkStart w:id="3216" w:name="_Toc113345135"/>
      <w:bookmarkStart w:id="3217" w:name="_Toc137461879"/>
      <w:bookmarkStart w:id="3218" w:name="_Toc137471470"/>
      <w:bookmarkStart w:id="3219" w:name="_Toc137471979"/>
      <w:bookmarkStart w:id="3220" w:name="_Toc200375813"/>
      <w:r w:rsidRPr="002965D3">
        <w:t>Change in Status between Annual Determination</w:t>
      </w:r>
      <w:bookmarkEnd w:id="3211"/>
      <w:r w:rsidRPr="002965D3">
        <w:t>s</w:t>
      </w:r>
      <w:bookmarkEnd w:id="3212"/>
      <w:bookmarkEnd w:id="3213"/>
      <w:bookmarkEnd w:id="3214"/>
      <w:bookmarkEnd w:id="3215"/>
      <w:bookmarkEnd w:id="3216"/>
      <w:bookmarkEnd w:id="3217"/>
      <w:bookmarkEnd w:id="3218"/>
      <w:bookmarkEnd w:id="3219"/>
      <w:bookmarkEnd w:id="3220"/>
    </w:p>
    <w:p w14:paraId="042A979E" w14:textId="77777777" w:rsidR="005C6CA7" w:rsidRPr="002965D3" w:rsidRDefault="005C6CA7" w:rsidP="00521459">
      <w:pPr>
        <w:pStyle w:val="Heading4"/>
      </w:pPr>
      <w:r w:rsidRPr="002965D3">
        <w:t>Exempt to Nonexempt Status</w:t>
      </w:r>
    </w:p>
    <w:p w14:paraId="71073FFE" w14:textId="77777777" w:rsidR="005C6CA7" w:rsidRPr="00BE278F" w:rsidRDefault="005C6CA7" w:rsidP="00521459">
      <w:pPr>
        <w:pStyle w:val="BodyText"/>
        <w:spacing w:after="160" w:line="259" w:lineRule="auto"/>
        <w:jc w:val="both"/>
        <w:rPr>
          <w:sz w:val="22"/>
          <w:szCs w:val="22"/>
        </w:rPr>
      </w:pPr>
      <w:r w:rsidRPr="00521459">
        <w:rPr>
          <w:sz w:val="22"/>
          <w:szCs w:val="22"/>
        </w:rPr>
        <w:t xml:space="preserve">If an exempt individual becomes </w:t>
      </w:r>
      <w:r w:rsidRPr="00BE278F">
        <w:rPr>
          <w:sz w:val="22"/>
          <w:szCs w:val="22"/>
        </w:rPr>
        <w:t xml:space="preserve">nonexempt during the 12-month lease term, it is the family’s responsibility to report this change to HHA within </w:t>
      </w:r>
      <w:r w:rsidR="00BE278F" w:rsidRPr="00BE278F">
        <w:rPr>
          <w:sz w:val="22"/>
          <w:szCs w:val="22"/>
        </w:rPr>
        <w:t>15 calendar</w:t>
      </w:r>
      <w:r w:rsidRPr="00BE278F">
        <w:rPr>
          <w:sz w:val="22"/>
          <w:szCs w:val="22"/>
        </w:rPr>
        <w:t xml:space="preserve"> days.</w:t>
      </w:r>
    </w:p>
    <w:p w14:paraId="3E2EEAEF" w14:textId="77777777" w:rsidR="005C6CA7" w:rsidRPr="00521459" w:rsidRDefault="005C6CA7" w:rsidP="00521459">
      <w:pPr>
        <w:pStyle w:val="BodyText"/>
        <w:spacing w:after="160" w:line="259" w:lineRule="auto"/>
        <w:jc w:val="both"/>
        <w:rPr>
          <w:sz w:val="22"/>
          <w:szCs w:val="22"/>
        </w:rPr>
      </w:pPr>
      <w:r w:rsidRPr="00BE278F">
        <w:rPr>
          <w:sz w:val="22"/>
          <w:szCs w:val="22"/>
        </w:rPr>
        <w:t xml:space="preserve">Within </w:t>
      </w:r>
      <w:r w:rsidR="00BE278F" w:rsidRPr="00BE278F">
        <w:rPr>
          <w:sz w:val="22"/>
          <w:szCs w:val="22"/>
        </w:rPr>
        <w:t>15 calendar</w:t>
      </w:r>
      <w:r w:rsidRPr="00BE278F">
        <w:rPr>
          <w:sz w:val="22"/>
          <w:szCs w:val="22"/>
        </w:rPr>
        <w:t xml:space="preserve"> days of a family reporting such a change, or HHA’s determining such a change is necessary, HHA will provide written notice of</w:t>
      </w:r>
      <w:r w:rsidRPr="00521459">
        <w:rPr>
          <w:sz w:val="22"/>
          <w:szCs w:val="22"/>
        </w:rPr>
        <w:t xml:space="preserve"> the effective date of the requirement, as well as a documentation form on which the family member may record the activities performed and number of hours contributed.</w:t>
      </w:r>
    </w:p>
    <w:p w14:paraId="28F7AFD0" w14:textId="77777777" w:rsidR="005C6CA7" w:rsidRDefault="005C6CA7" w:rsidP="00521459">
      <w:pPr>
        <w:pStyle w:val="BodyText"/>
        <w:spacing w:after="160" w:line="259" w:lineRule="auto"/>
        <w:jc w:val="both"/>
        <w:rPr>
          <w:sz w:val="22"/>
          <w:szCs w:val="22"/>
        </w:rPr>
      </w:pPr>
      <w:r w:rsidRPr="00521459">
        <w:rPr>
          <w:sz w:val="22"/>
          <w:szCs w:val="22"/>
        </w:rPr>
        <w:t>The effective date of the community service requirement will be the first of the month following a 30-day notice.</w:t>
      </w:r>
    </w:p>
    <w:p w14:paraId="41208200" w14:textId="77777777" w:rsidR="00090461" w:rsidRDefault="00090461" w:rsidP="00090461">
      <w:pPr>
        <w:spacing w:before="120"/>
      </w:pPr>
      <w:r w:rsidRPr="00483C48">
        <w:t xml:space="preserve">When an adult family member becomes subject to community service, </w:t>
      </w:r>
      <w:r>
        <w:t>they</w:t>
      </w:r>
      <w:r w:rsidRPr="00483C48">
        <w:t xml:space="preserve"> must perform 8 hours of community service for the months </w:t>
      </w:r>
      <w:r>
        <w:t>they</w:t>
      </w:r>
      <w:r w:rsidRPr="00483C48">
        <w:t xml:space="preserve"> </w:t>
      </w:r>
      <w:r>
        <w:t>are</w:t>
      </w:r>
      <w:r w:rsidRPr="00483C48">
        <w:t xml:space="preserve"> subject to the requirement before the end of the lease term (anniversary date).</w:t>
      </w:r>
    </w:p>
    <w:p w14:paraId="1727FFC3" w14:textId="77777777" w:rsidR="005C6CA7" w:rsidRPr="00EB2345" w:rsidRDefault="005C6CA7" w:rsidP="00521459">
      <w:pPr>
        <w:pStyle w:val="Heading4"/>
      </w:pPr>
      <w:r w:rsidRPr="00EB2345">
        <w:t>Nonexempt to Exempt Status</w:t>
      </w:r>
    </w:p>
    <w:p w14:paraId="748B936F" w14:textId="77777777" w:rsidR="005C6CA7" w:rsidRPr="00BE278F" w:rsidRDefault="005C6CA7" w:rsidP="00521459">
      <w:pPr>
        <w:pStyle w:val="BodyText"/>
        <w:spacing w:after="160" w:line="259" w:lineRule="auto"/>
        <w:jc w:val="both"/>
        <w:rPr>
          <w:sz w:val="22"/>
          <w:szCs w:val="22"/>
        </w:rPr>
      </w:pPr>
      <w:r w:rsidRPr="00521459">
        <w:rPr>
          <w:sz w:val="22"/>
          <w:szCs w:val="22"/>
        </w:rPr>
        <w:t xml:space="preserve">If a nonexempt person becomes exempt during the 12-month lease term, it is the family’s responsibility to report this change to </w:t>
      </w:r>
      <w:r w:rsidRPr="00BE278F">
        <w:rPr>
          <w:sz w:val="22"/>
          <w:szCs w:val="22"/>
        </w:rPr>
        <w:t xml:space="preserve">HHA within </w:t>
      </w:r>
      <w:r w:rsidR="00BE278F" w:rsidRPr="00BE278F">
        <w:rPr>
          <w:sz w:val="22"/>
          <w:szCs w:val="22"/>
        </w:rPr>
        <w:t>15 calendar</w:t>
      </w:r>
      <w:r w:rsidRPr="00BE278F">
        <w:rPr>
          <w:sz w:val="22"/>
          <w:szCs w:val="22"/>
        </w:rPr>
        <w:t xml:space="preserve"> days. Any claim of exemption will be verified by HHA. </w:t>
      </w:r>
    </w:p>
    <w:p w14:paraId="29A400FD" w14:textId="77777777" w:rsidR="005C6CA7" w:rsidRPr="00521459" w:rsidRDefault="005C6CA7" w:rsidP="00521459">
      <w:pPr>
        <w:pStyle w:val="BodyText"/>
        <w:spacing w:after="160" w:line="259" w:lineRule="auto"/>
        <w:jc w:val="both"/>
        <w:rPr>
          <w:sz w:val="22"/>
          <w:szCs w:val="22"/>
        </w:rPr>
      </w:pPr>
      <w:r w:rsidRPr="00BE278F">
        <w:rPr>
          <w:sz w:val="22"/>
          <w:szCs w:val="22"/>
        </w:rPr>
        <w:t xml:space="preserve">Within </w:t>
      </w:r>
      <w:r w:rsidR="00BE278F" w:rsidRPr="00BE278F">
        <w:rPr>
          <w:sz w:val="22"/>
          <w:szCs w:val="22"/>
        </w:rPr>
        <w:t>15 calendar</w:t>
      </w:r>
      <w:r w:rsidRPr="00BE278F">
        <w:rPr>
          <w:sz w:val="22"/>
          <w:szCs w:val="22"/>
        </w:rPr>
        <w:t xml:space="preserve"> days of a family reporting</w:t>
      </w:r>
      <w:r w:rsidRPr="00521459">
        <w:rPr>
          <w:sz w:val="22"/>
          <w:szCs w:val="22"/>
        </w:rPr>
        <w:t xml:space="preserve"> such a change, or HHA’s determining such a change is necessary, HHA will provide the family written notice that the family member is no longer subject to the community service requirement, if HHA is able to verify the exemption.</w:t>
      </w:r>
    </w:p>
    <w:p w14:paraId="13C6A089" w14:textId="77777777" w:rsidR="005C6CA7" w:rsidRPr="00521459" w:rsidRDefault="005C6CA7" w:rsidP="00521459">
      <w:pPr>
        <w:pStyle w:val="BodyText"/>
        <w:spacing w:after="160" w:line="259" w:lineRule="auto"/>
        <w:jc w:val="both"/>
        <w:rPr>
          <w:sz w:val="22"/>
          <w:szCs w:val="22"/>
        </w:rPr>
      </w:pPr>
      <w:r w:rsidRPr="00521459">
        <w:rPr>
          <w:sz w:val="22"/>
          <w:szCs w:val="22"/>
        </w:rPr>
        <w:t>The exemption will be effective immediately.</w:t>
      </w:r>
    </w:p>
    <w:p w14:paraId="46096B34" w14:textId="77777777" w:rsidR="005C6CA7" w:rsidRDefault="00521459" w:rsidP="005C6CA7">
      <w:pPr>
        <w:pStyle w:val="Heading2"/>
      </w:pPr>
      <w:bookmarkStart w:id="3221" w:name="_Toc195334437"/>
      <w:bookmarkStart w:id="3222" w:name="_Toc349228896"/>
      <w:bookmarkStart w:id="3223" w:name="_Toc428276917"/>
      <w:bookmarkStart w:id="3224" w:name="_Toc70048737"/>
      <w:bookmarkStart w:id="3225" w:name="_Toc106037996"/>
      <w:bookmarkStart w:id="3226" w:name="_Toc106201635"/>
      <w:bookmarkStart w:id="3227" w:name="_Toc106202154"/>
      <w:bookmarkStart w:id="3228" w:name="_Toc106202680"/>
      <w:bookmarkStart w:id="3229" w:name="_Toc113345136"/>
      <w:bookmarkStart w:id="3230" w:name="_Toc137460434"/>
      <w:bookmarkStart w:id="3231" w:name="_Toc137460679"/>
      <w:bookmarkStart w:id="3232" w:name="_Toc137460924"/>
      <w:bookmarkStart w:id="3233" w:name="_Toc137461880"/>
      <w:bookmarkStart w:id="3234" w:name="_Toc137471471"/>
      <w:bookmarkStart w:id="3235" w:name="_Toc137471980"/>
      <w:r>
        <w:t xml:space="preserve"> </w:t>
      </w:r>
      <w:bookmarkStart w:id="3236" w:name="_Toc173222762"/>
      <w:bookmarkStart w:id="3237" w:name="_Toc200375814"/>
      <w:bookmarkStart w:id="3238" w:name="_Toc200377028"/>
      <w:r w:rsidRPr="009104BF">
        <w:t xml:space="preserve">Documentation </w:t>
      </w:r>
      <w:r>
        <w:t>a</w:t>
      </w:r>
      <w:r w:rsidRPr="009104BF">
        <w:t>nd Verification</w:t>
      </w:r>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p>
    <w:p w14:paraId="72629602" w14:textId="77777777" w:rsidR="005C6CA7" w:rsidRPr="00521459" w:rsidRDefault="005C6CA7" w:rsidP="007F177E">
      <w:pPr>
        <w:pStyle w:val="Default"/>
        <w:numPr>
          <w:ilvl w:val="0"/>
          <w:numId w:val="279"/>
        </w:numPr>
        <w:spacing w:after="160" w:line="259" w:lineRule="auto"/>
        <w:jc w:val="both"/>
        <w:rPr>
          <w:rFonts w:ascii="Arial" w:hAnsi="Arial" w:cs="Arial"/>
          <w:sz w:val="22"/>
          <w:szCs w:val="22"/>
        </w:rPr>
      </w:pPr>
      <w:r w:rsidRPr="00521459">
        <w:rPr>
          <w:rFonts w:ascii="Arial" w:hAnsi="Arial" w:cs="Arial"/>
          <w:sz w:val="22"/>
          <w:szCs w:val="22"/>
        </w:rPr>
        <w:t>If qualifying activities are administered by an organization other than HHA, a family member who is required to fulfill a service requirement must provide one of the following:</w:t>
      </w:r>
    </w:p>
    <w:p w14:paraId="4B21CF0D" w14:textId="77777777" w:rsidR="005C6CA7" w:rsidRPr="00521459" w:rsidRDefault="005C6CA7" w:rsidP="007F177E">
      <w:pPr>
        <w:pStyle w:val="Default"/>
        <w:numPr>
          <w:ilvl w:val="0"/>
          <w:numId w:val="280"/>
        </w:numPr>
        <w:spacing w:after="160" w:line="259" w:lineRule="auto"/>
        <w:ind w:left="1440"/>
        <w:jc w:val="both"/>
        <w:rPr>
          <w:rFonts w:ascii="Arial" w:hAnsi="Arial" w:cs="Arial"/>
          <w:sz w:val="22"/>
          <w:szCs w:val="22"/>
        </w:rPr>
      </w:pPr>
      <w:r w:rsidRPr="00521459">
        <w:rPr>
          <w:rFonts w:ascii="Arial" w:hAnsi="Arial" w:cs="Arial"/>
          <w:sz w:val="22"/>
          <w:szCs w:val="22"/>
        </w:rPr>
        <w:t xml:space="preserve">A signed certification to HHA by such other organization that the family member has performed such qualifying activities; or </w:t>
      </w:r>
    </w:p>
    <w:p w14:paraId="6B10F72B" w14:textId="77777777" w:rsidR="005C6CA7" w:rsidRPr="00521459" w:rsidRDefault="005C6CA7" w:rsidP="007F177E">
      <w:pPr>
        <w:pStyle w:val="Default"/>
        <w:numPr>
          <w:ilvl w:val="0"/>
          <w:numId w:val="280"/>
        </w:numPr>
        <w:spacing w:after="160" w:line="259" w:lineRule="auto"/>
        <w:ind w:left="1440"/>
        <w:jc w:val="both"/>
        <w:rPr>
          <w:rFonts w:ascii="Arial" w:hAnsi="Arial" w:cs="Arial"/>
          <w:sz w:val="22"/>
          <w:szCs w:val="22"/>
        </w:rPr>
      </w:pPr>
      <w:r w:rsidRPr="00521459">
        <w:rPr>
          <w:rFonts w:ascii="Arial" w:hAnsi="Arial" w:cs="Arial"/>
          <w:sz w:val="22"/>
          <w:szCs w:val="22"/>
        </w:rPr>
        <w:t xml:space="preserve">A signed self-certification to HHA by the family member that he or she has performed such qualifying activities. </w:t>
      </w:r>
    </w:p>
    <w:p w14:paraId="04E71779" w14:textId="77777777" w:rsidR="005C6CA7" w:rsidRPr="00521459" w:rsidRDefault="005C6CA7" w:rsidP="007F177E">
      <w:pPr>
        <w:pStyle w:val="Default"/>
        <w:numPr>
          <w:ilvl w:val="0"/>
          <w:numId w:val="279"/>
        </w:numPr>
        <w:spacing w:after="160" w:line="259" w:lineRule="auto"/>
        <w:jc w:val="both"/>
        <w:rPr>
          <w:rFonts w:ascii="Arial" w:hAnsi="Arial" w:cs="Arial"/>
          <w:sz w:val="22"/>
          <w:szCs w:val="22"/>
        </w:rPr>
      </w:pPr>
      <w:r w:rsidRPr="00521459">
        <w:rPr>
          <w:rFonts w:ascii="Arial" w:hAnsi="Arial" w:cs="Arial"/>
          <w:sz w:val="22"/>
          <w:szCs w:val="22"/>
        </w:rPr>
        <w:t>HHA will ensure the following related to CSSR documentation:</w:t>
      </w:r>
    </w:p>
    <w:p w14:paraId="307C3155" w14:textId="77777777" w:rsidR="005C6CA7" w:rsidRPr="00521459" w:rsidRDefault="005C6CA7" w:rsidP="007F177E">
      <w:pPr>
        <w:pStyle w:val="ListParagraph"/>
        <w:numPr>
          <w:ilvl w:val="0"/>
          <w:numId w:val="281"/>
        </w:numPr>
        <w:ind w:left="1440"/>
        <w:contextualSpacing w:val="0"/>
        <w:rPr>
          <w:b/>
        </w:rPr>
      </w:pPr>
      <w:r w:rsidRPr="00521459">
        <w:t xml:space="preserve">If anyone in the family is subject to the community service requirement, HHA will provide the family with community service documentation forms. </w:t>
      </w:r>
    </w:p>
    <w:p w14:paraId="277D6272" w14:textId="77777777" w:rsidR="005C6CA7" w:rsidRPr="00521459" w:rsidRDefault="005C6CA7" w:rsidP="007F177E">
      <w:pPr>
        <w:pStyle w:val="ListParagraph"/>
        <w:numPr>
          <w:ilvl w:val="0"/>
          <w:numId w:val="281"/>
        </w:numPr>
        <w:ind w:left="1440"/>
        <w:contextualSpacing w:val="0"/>
        <w:rPr>
          <w:b/>
        </w:rPr>
      </w:pPr>
      <w:r w:rsidRPr="00521459">
        <w:t xml:space="preserve">At lease execution and at least 30 days prior to the lease anniversary, each adult member (18 or older) of a </w:t>
      </w:r>
      <w:r w:rsidR="004F64B3">
        <w:t>p</w:t>
      </w:r>
      <w:r w:rsidRPr="00521459">
        <w:t xml:space="preserve">ublic </w:t>
      </w:r>
      <w:r w:rsidR="004F64B3">
        <w:t>h</w:t>
      </w:r>
      <w:r w:rsidRPr="00521459">
        <w:t xml:space="preserve">ousing tenant family must sign an acknowledgement that </w:t>
      </w:r>
      <w:r w:rsidR="004F64B3">
        <w:t>they</w:t>
      </w:r>
      <w:r w:rsidRPr="00521459">
        <w:t xml:space="preserve"> ha</w:t>
      </w:r>
      <w:r w:rsidR="004F64B3">
        <w:t>ve</w:t>
      </w:r>
      <w:r w:rsidRPr="00521459">
        <w:t xml:space="preserve"> received and read the CSSR. Further</w:t>
      </w:r>
      <w:r w:rsidR="004F64B3">
        <w:t>,</w:t>
      </w:r>
      <w:r w:rsidRPr="00521459">
        <w:t xml:space="preserve"> the tenant acknowledgement includes tenant understanding that failure to comply with the CSSR will result in lease termination.</w:t>
      </w:r>
    </w:p>
    <w:p w14:paraId="42F4A334" w14:textId="77777777" w:rsidR="00060C18" w:rsidRPr="00060C18" w:rsidRDefault="005C6CA7" w:rsidP="007F177E">
      <w:pPr>
        <w:pStyle w:val="ListParagraph"/>
        <w:numPr>
          <w:ilvl w:val="0"/>
          <w:numId w:val="281"/>
        </w:numPr>
        <w:ind w:left="1440"/>
        <w:contextualSpacing w:val="0"/>
        <w:rPr>
          <w:b/>
        </w:rPr>
      </w:pPr>
      <w:r w:rsidRPr="00521459">
        <w:t>At lease execution and at least 30 days prior to the lease anniversary each exempt adult member</w:t>
      </w:r>
      <w:r w:rsidR="005D07BA">
        <w:t xml:space="preserve"> (except for those age 62 and older</w:t>
      </w:r>
      <w:r w:rsidR="00525A9D">
        <w:t>)</w:t>
      </w:r>
      <w:r w:rsidRPr="00521459">
        <w:t xml:space="preserve"> must provide documentation that they are exempt from the CSSR. </w:t>
      </w:r>
    </w:p>
    <w:p w14:paraId="1581A834" w14:textId="65853950" w:rsidR="00312232" w:rsidRPr="00060C18" w:rsidRDefault="00312232" w:rsidP="007F177E">
      <w:pPr>
        <w:pStyle w:val="ListParagraph"/>
        <w:numPr>
          <w:ilvl w:val="1"/>
          <w:numId w:val="282"/>
        </w:numPr>
        <w:ind w:left="2160"/>
        <w:contextualSpacing w:val="0"/>
        <w:rPr>
          <w:b/>
        </w:rPr>
      </w:pPr>
      <w:r>
        <w:t>For persons age 62 and older, verification of their date of birth/age will suffice as verification of their exempt status</w:t>
      </w:r>
      <w:r w:rsidR="00D17D07">
        <w:t xml:space="preserve"> and no further documentation concerning their exempt status is required.</w:t>
      </w:r>
    </w:p>
    <w:p w14:paraId="2A1E9AC0" w14:textId="77777777" w:rsidR="005C6CA7" w:rsidRPr="00521459" w:rsidRDefault="005C6CA7" w:rsidP="007F177E">
      <w:pPr>
        <w:pStyle w:val="ListParagraph"/>
        <w:numPr>
          <w:ilvl w:val="0"/>
          <w:numId w:val="281"/>
        </w:numPr>
        <w:ind w:left="1440"/>
        <w:contextualSpacing w:val="0"/>
      </w:pPr>
      <w:r w:rsidRPr="00521459">
        <w:t>If HHA has reasonable cause to believe that the certification provided by the family is false or fraudulent, HHA has the right to request additional documentation to verify CSSR participation.</w:t>
      </w:r>
    </w:p>
    <w:p w14:paraId="732372A4" w14:textId="77777777" w:rsidR="005C6CA7" w:rsidRPr="00060C18" w:rsidRDefault="005C6CA7" w:rsidP="007F177E">
      <w:pPr>
        <w:pStyle w:val="ListParagraph"/>
        <w:numPr>
          <w:ilvl w:val="0"/>
          <w:numId w:val="281"/>
        </w:numPr>
        <w:ind w:left="1440"/>
        <w:contextualSpacing w:val="0"/>
      </w:pPr>
      <w:r w:rsidRPr="00521459">
        <w:t>HHA will retain reasonable documentation of service requirement performance or exemption in participant files.</w:t>
      </w:r>
    </w:p>
    <w:p w14:paraId="31F1F4F1" w14:textId="77777777" w:rsidR="005C6CA7" w:rsidRPr="00521459" w:rsidRDefault="005C6CA7" w:rsidP="007F177E">
      <w:pPr>
        <w:pStyle w:val="Default"/>
        <w:numPr>
          <w:ilvl w:val="0"/>
          <w:numId w:val="279"/>
        </w:numPr>
        <w:spacing w:after="160" w:line="259" w:lineRule="auto"/>
        <w:jc w:val="both"/>
        <w:rPr>
          <w:rFonts w:ascii="Arial" w:hAnsi="Arial" w:cs="Arial"/>
          <w:sz w:val="22"/>
          <w:szCs w:val="22"/>
        </w:rPr>
      </w:pPr>
      <w:r w:rsidRPr="00521459">
        <w:rPr>
          <w:rFonts w:ascii="Arial" w:hAnsi="Arial" w:cs="Arial"/>
          <w:sz w:val="22"/>
          <w:szCs w:val="22"/>
        </w:rPr>
        <w:t xml:space="preserve">If a signed self-certification is used to verify CSSR requirements, the signed self-certification must include the following: </w:t>
      </w:r>
    </w:p>
    <w:p w14:paraId="2A4E82AA" w14:textId="77777777" w:rsidR="005C6CA7" w:rsidRPr="00521459" w:rsidRDefault="005C6CA7" w:rsidP="007F177E">
      <w:pPr>
        <w:pStyle w:val="ListParagraph"/>
        <w:numPr>
          <w:ilvl w:val="0"/>
          <w:numId w:val="283"/>
        </w:numPr>
        <w:ind w:left="1440"/>
        <w:contextualSpacing w:val="0"/>
      </w:pPr>
      <w:r w:rsidRPr="00521459">
        <w:t xml:space="preserve">A statement that the tenant completed the number of hours listed on the self-certification and that the statement is subject to the penalties of perjury; </w:t>
      </w:r>
    </w:p>
    <w:p w14:paraId="20F787AE" w14:textId="77777777" w:rsidR="005C6CA7" w:rsidRPr="00521459" w:rsidRDefault="005C6CA7" w:rsidP="007F177E">
      <w:pPr>
        <w:pStyle w:val="ListParagraph"/>
        <w:numPr>
          <w:ilvl w:val="0"/>
          <w:numId w:val="283"/>
        </w:numPr>
        <w:ind w:left="1440"/>
        <w:contextualSpacing w:val="0"/>
      </w:pPr>
      <w:r w:rsidRPr="00521459">
        <w:t xml:space="preserve">The name, address, phone number and a contact person at the community service provider or economic self-sufficiency program; </w:t>
      </w:r>
    </w:p>
    <w:p w14:paraId="531CE278" w14:textId="77777777" w:rsidR="005C6CA7" w:rsidRPr="00521459" w:rsidRDefault="005C6CA7" w:rsidP="007F177E">
      <w:pPr>
        <w:pStyle w:val="ListParagraph"/>
        <w:numPr>
          <w:ilvl w:val="0"/>
          <w:numId w:val="283"/>
        </w:numPr>
        <w:ind w:left="1440"/>
        <w:contextualSpacing w:val="0"/>
      </w:pPr>
      <w:r w:rsidRPr="00521459">
        <w:t xml:space="preserve">The date(s) during which the tenant completed the community service activity, or participated in the economic self-sufficiency program; </w:t>
      </w:r>
    </w:p>
    <w:p w14:paraId="162901A5" w14:textId="77777777" w:rsidR="005C6CA7" w:rsidRPr="00521459" w:rsidRDefault="005C6CA7" w:rsidP="007F177E">
      <w:pPr>
        <w:pStyle w:val="ListParagraph"/>
        <w:numPr>
          <w:ilvl w:val="0"/>
          <w:numId w:val="283"/>
        </w:numPr>
        <w:ind w:left="1440"/>
        <w:contextualSpacing w:val="0"/>
      </w:pPr>
      <w:r w:rsidRPr="00521459">
        <w:t xml:space="preserve">The number of hours and type of activity completed; and </w:t>
      </w:r>
    </w:p>
    <w:p w14:paraId="3E30C792" w14:textId="77777777" w:rsidR="005C6CA7" w:rsidRPr="00521459" w:rsidRDefault="005C6CA7" w:rsidP="007F177E">
      <w:pPr>
        <w:pStyle w:val="ListParagraph"/>
        <w:numPr>
          <w:ilvl w:val="0"/>
          <w:numId w:val="283"/>
        </w:numPr>
        <w:ind w:left="1440"/>
        <w:contextualSpacing w:val="0"/>
      </w:pPr>
      <w:r w:rsidRPr="00521459">
        <w:t xml:space="preserve">A certification that the tenant’s statement is true. </w:t>
      </w:r>
    </w:p>
    <w:p w14:paraId="70650174" w14:textId="77777777" w:rsidR="005C6CA7" w:rsidRPr="00521459" w:rsidRDefault="005C6CA7" w:rsidP="00521459">
      <w:pPr>
        <w:rPr>
          <w:rFonts w:cs="Arial"/>
        </w:rPr>
      </w:pPr>
      <w:r w:rsidRPr="00521459">
        <w:rPr>
          <w:rFonts w:cs="Arial"/>
        </w:rPr>
        <w:t>HHA will not accept resident self-certifications for residents who are under a community service cure agreement until the resident has completed and HHA has conducted third-party verification that the resident has completed the required community service hours.</w:t>
      </w:r>
    </w:p>
    <w:p w14:paraId="6DF5C20A" w14:textId="77777777" w:rsidR="005C6CA7" w:rsidRDefault="005C6CA7" w:rsidP="00677451">
      <w:pPr>
        <w:pStyle w:val="Heading3"/>
      </w:pPr>
      <w:bookmarkStart w:id="3239" w:name="_Toc113345137"/>
      <w:bookmarkStart w:id="3240" w:name="_Toc137461881"/>
      <w:bookmarkStart w:id="3241" w:name="_Toc137471472"/>
      <w:bookmarkStart w:id="3242" w:name="_Toc137471981"/>
      <w:bookmarkStart w:id="3243" w:name="_Toc200375815"/>
      <w:r>
        <w:t>Validating Community Service Self-Certifications</w:t>
      </w:r>
      <w:bookmarkEnd w:id="3239"/>
      <w:bookmarkEnd w:id="3240"/>
      <w:bookmarkEnd w:id="3241"/>
      <w:bookmarkEnd w:id="3242"/>
      <w:bookmarkEnd w:id="3243"/>
    </w:p>
    <w:p w14:paraId="0821E010" w14:textId="77777777" w:rsidR="005C6CA7" w:rsidRPr="002965D3" w:rsidRDefault="005C6CA7" w:rsidP="005C6CA7">
      <w:pPr>
        <w:rPr>
          <w:szCs w:val="23"/>
        </w:rPr>
      </w:pPr>
      <w:r>
        <w:rPr>
          <w:szCs w:val="23"/>
        </w:rPr>
        <w:t>HHA</w:t>
      </w:r>
      <w:r w:rsidRPr="002965D3">
        <w:rPr>
          <w:szCs w:val="23"/>
        </w:rPr>
        <w:t xml:space="preserve"> requests and obtains third-party verification of completion of the CSSR requirements. </w:t>
      </w:r>
    </w:p>
    <w:p w14:paraId="169D84FB" w14:textId="77777777" w:rsidR="005C6CA7" w:rsidRPr="00521459" w:rsidRDefault="005C6CA7" w:rsidP="00F04BF8">
      <w:r w:rsidRPr="002965D3">
        <w:rPr>
          <w:szCs w:val="23"/>
        </w:rPr>
        <w:t xml:space="preserve">If and when </w:t>
      </w:r>
      <w:r>
        <w:rPr>
          <w:szCs w:val="23"/>
        </w:rPr>
        <w:t>HHA</w:t>
      </w:r>
      <w:r w:rsidRPr="002965D3">
        <w:rPr>
          <w:szCs w:val="23"/>
        </w:rPr>
        <w:t xml:space="preserve"> accepts self-certifications to verify completion of CSSR requirements, </w:t>
      </w:r>
      <w:r>
        <w:rPr>
          <w:szCs w:val="23"/>
        </w:rPr>
        <w:t>HHA</w:t>
      </w:r>
      <w:r w:rsidRPr="002965D3">
        <w:rPr>
          <w:szCs w:val="23"/>
        </w:rPr>
        <w:t xml:space="preserve"> will validate a sample of such self-certifications using third-party certification from the organization to verify that the family member has performed such qualifying activities. </w:t>
      </w:r>
    </w:p>
    <w:p w14:paraId="34034962" w14:textId="77777777" w:rsidR="005C6CA7" w:rsidRPr="002965D3" w:rsidRDefault="005C6CA7" w:rsidP="00677451">
      <w:pPr>
        <w:pStyle w:val="Heading3"/>
      </w:pPr>
      <w:bookmarkStart w:id="3244" w:name="_Toc106037997"/>
      <w:bookmarkStart w:id="3245" w:name="_Toc106201636"/>
      <w:bookmarkStart w:id="3246" w:name="_Toc106202155"/>
      <w:bookmarkStart w:id="3247" w:name="_Toc106202681"/>
      <w:bookmarkStart w:id="3248" w:name="_Toc113345138"/>
      <w:bookmarkStart w:id="3249" w:name="_Toc137461882"/>
      <w:bookmarkStart w:id="3250" w:name="_Toc137471473"/>
      <w:bookmarkStart w:id="3251" w:name="_Toc137471982"/>
      <w:bookmarkStart w:id="3252" w:name="_Toc200375816"/>
      <w:r w:rsidRPr="002965D3">
        <w:t>Documentation and Verification of Exemption Status</w:t>
      </w:r>
      <w:bookmarkEnd w:id="3244"/>
      <w:bookmarkEnd w:id="3245"/>
      <w:bookmarkEnd w:id="3246"/>
      <w:bookmarkEnd w:id="3247"/>
      <w:bookmarkEnd w:id="3248"/>
      <w:bookmarkEnd w:id="3249"/>
      <w:bookmarkEnd w:id="3250"/>
      <w:bookmarkEnd w:id="3251"/>
      <w:bookmarkEnd w:id="3252"/>
    </w:p>
    <w:p w14:paraId="7D22F0EA" w14:textId="77777777" w:rsidR="005C6CA7" w:rsidRPr="0088300A" w:rsidRDefault="005C6CA7" w:rsidP="0088300A">
      <w:pPr>
        <w:pStyle w:val="BodyText"/>
        <w:spacing w:after="160" w:line="259" w:lineRule="auto"/>
        <w:jc w:val="both"/>
        <w:rPr>
          <w:sz w:val="22"/>
          <w:szCs w:val="22"/>
        </w:rPr>
      </w:pPr>
      <w:r w:rsidRPr="0088300A">
        <w:rPr>
          <w:sz w:val="22"/>
          <w:szCs w:val="22"/>
        </w:rPr>
        <w:t xml:space="preserve">All family members who claim they are exempt from the community service requirement </w:t>
      </w:r>
      <w:r w:rsidR="00DD373C">
        <w:rPr>
          <w:sz w:val="22"/>
          <w:szCs w:val="22"/>
        </w:rPr>
        <w:t>(</w:t>
      </w:r>
      <w:r w:rsidR="00DD373C" w:rsidRPr="00376682">
        <w:rPr>
          <w:sz w:val="22"/>
          <w:szCs w:val="22"/>
        </w:rPr>
        <w:t>except those age 62 or older</w:t>
      </w:r>
      <w:r w:rsidR="00DD373C">
        <w:rPr>
          <w:sz w:val="22"/>
          <w:szCs w:val="22"/>
        </w:rPr>
        <w:t xml:space="preserve">) </w:t>
      </w:r>
      <w:r w:rsidRPr="0088300A">
        <w:rPr>
          <w:sz w:val="22"/>
          <w:szCs w:val="22"/>
        </w:rPr>
        <w:t xml:space="preserve">will be required to sign HHA’s community service exemption certification form. </w:t>
      </w:r>
    </w:p>
    <w:p w14:paraId="408149AD" w14:textId="77777777" w:rsidR="005C6CA7" w:rsidRPr="0088300A" w:rsidRDefault="005C6CA7" w:rsidP="0088300A">
      <w:pPr>
        <w:pStyle w:val="BodyText"/>
        <w:spacing w:after="160" w:line="259" w:lineRule="auto"/>
        <w:jc w:val="both"/>
        <w:rPr>
          <w:sz w:val="22"/>
          <w:szCs w:val="22"/>
        </w:rPr>
      </w:pPr>
      <w:r w:rsidRPr="0088300A">
        <w:rPr>
          <w:sz w:val="22"/>
          <w:szCs w:val="22"/>
        </w:rPr>
        <w:t>HHA will verify that an individual is exempt from the community service requirement by following the verification hierarchy and documentation requirements in</w:t>
      </w:r>
      <w:r w:rsidR="0088300A" w:rsidRPr="0088300A">
        <w:rPr>
          <w:sz w:val="22"/>
          <w:szCs w:val="22"/>
        </w:rPr>
        <w:t xml:space="preserve"> the </w:t>
      </w:r>
      <w:r w:rsidR="0088300A" w:rsidRPr="0088300A">
        <w:rPr>
          <w:b/>
          <w:bCs/>
          <w:color w:val="0070C0"/>
          <w:sz w:val="22"/>
          <w:szCs w:val="22"/>
        </w:rPr>
        <w:fldChar w:fldCharType="begin"/>
      </w:r>
      <w:r w:rsidR="0088300A" w:rsidRPr="0088300A">
        <w:rPr>
          <w:b/>
          <w:bCs/>
          <w:color w:val="0070C0"/>
          <w:sz w:val="22"/>
          <w:szCs w:val="22"/>
        </w:rPr>
        <w:instrText xml:space="preserve"> REF _Ref150438144 \h  \* MERGEFORMAT </w:instrText>
      </w:r>
      <w:r w:rsidR="0088300A" w:rsidRPr="0088300A">
        <w:rPr>
          <w:b/>
          <w:bCs/>
          <w:color w:val="0070C0"/>
          <w:sz w:val="22"/>
          <w:szCs w:val="22"/>
        </w:rPr>
      </w:r>
      <w:r w:rsidR="0088300A" w:rsidRPr="0088300A">
        <w:rPr>
          <w:b/>
          <w:bCs/>
          <w:color w:val="0070C0"/>
          <w:sz w:val="22"/>
          <w:szCs w:val="22"/>
        </w:rPr>
        <w:fldChar w:fldCharType="separate"/>
      </w:r>
      <w:r w:rsidR="0088300A" w:rsidRPr="0088300A">
        <w:rPr>
          <w:b/>
          <w:bCs/>
          <w:color w:val="0070C0"/>
        </w:rPr>
        <w:t>VERIFICATION</w:t>
      </w:r>
      <w:r w:rsidR="0088300A" w:rsidRPr="0088300A">
        <w:rPr>
          <w:b/>
          <w:bCs/>
          <w:color w:val="0070C0"/>
          <w:sz w:val="22"/>
          <w:szCs w:val="22"/>
        </w:rPr>
        <w:fldChar w:fldCharType="end"/>
      </w:r>
      <w:r w:rsidR="0088300A" w:rsidRPr="0088300A">
        <w:rPr>
          <w:sz w:val="22"/>
          <w:szCs w:val="22"/>
        </w:rPr>
        <w:t xml:space="preserve"> chapter</w:t>
      </w:r>
      <w:r w:rsidRPr="0088300A">
        <w:rPr>
          <w:sz w:val="22"/>
          <w:szCs w:val="22"/>
        </w:rPr>
        <w:t>.</w:t>
      </w:r>
    </w:p>
    <w:p w14:paraId="3AF457AD" w14:textId="77777777" w:rsidR="005C6CA7" w:rsidRPr="0088300A" w:rsidRDefault="005C6CA7" w:rsidP="0088300A">
      <w:pPr>
        <w:pStyle w:val="BodyText"/>
        <w:spacing w:after="160" w:line="259" w:lineRule="auto"/>
        <w:jc w:val="both"/>
        <w:rPr>
          <w:sz w:val="22"/>
          <w:szCs w:val="22"/>
        </w:rPr>
      </w:pPr>
      <w:r w:rsidRPr="0088300A">
        <w:rPr>
          <w:sz w:val="22"/>
          <w:szCs w:val="22"/>
        </w:rPr>
        <w:t xml:space="preserve">HHA will make a final determination whether or not to grant an exemption from the community service requirement. If a resident does not agree with HHA’s determination, they can dispute the decision through HHA’s grievance procedures (see </w:t>
      </w:r>
      <w:r w:rsidR="000466E2" w:rsidRPr="000466E2">
        <w:rPr>
          <w:b/>
          <w:bCs/>
          <w:color w:val="0070C0"/>
          <w:sz w:val="22"/>
          <w:szCs w:val="22"/>
        </w:rPr>
        <w:fldChar w:fldCharType="begin"/>
      </w:r>
      <w:r w:rsidR="000466E2" w:rsidRPr="000466E2">
        <w:rPr>
          <w:b/>
          <w:bCs/>
          <w:color w:val="0070C0"/>
          <w:sz w:val="22"/>
          <w:szCs w:val="22"/>
        </w:rPr>
        <w:instrText xml:space="preserve"> REF _Ref151016998 \h  \* MERGEFORMAT </w:instrText>
      </w:r>
      <w:r w:rsidR="000466E2" w:rsidRPr="000466E2">
        <w:rPr>
          <w:b/>
          <w:bCs/>
          <w:color w:val="0070C0"/>
          <w:sz w:val="22"/>
          <w:szCs w:val="22"/>
        </w:rPr>
      </w:r>
      <w:r w:rsidR="000466E2" w:rsidRPr="000466E2">
        <w:rPr>
          <w:b/>
          <w:bCs/>
          <w:color w:val="0070C0"/>
          <w:sz w:val="22"/>
          <w:szCs w:val="22"/>
        </w:rPr>
        <w:fldChar w:fldCharType="separate"/>
      </w:r>
      <w:r w:rsidR="000466E2" w:rsidRPr="000466E2">
        <w:rPr>
          <w:b/>
          <w:bCs/>
          <w:color w:val="0070C0"/>
          <w:sz w:val="22"/>
          <w:szCs w:val="22"/>
        </w:rPr>
        <w:t>APPENDIX D: GRIEVANCE POLICY</w:t>
      </w:r>
      <w:r w:rsidR="000466E2" w:rsidRPr="000466E2">
        <w:rPr>
          <w:b/>
          <w:bCs/>
          <w:color w:val="0070C0"/>
          <w:sz w:val="22"/>
          <w:szCs w:val="22"/>
        </w:rPr>
        <w:fldChar w:fldCharType="end"/>
      </w:r>
      <w:r w:rsidRPr="0088300A">
        <w:rPr>
          <w:sz w:val="22"/>
          <w:szCs w:val="22"/>
        </w:rPr>
        <w:t>).</w:t>
      </w:r>
    </w:p>
    <w:p w14:paraId="4AD45BEB" w14:textId="77777777" w:rsidR="005C6CA7" w:rsidRPr="00045B31" w:rsidRDefault="0088300A" w:rsidP="005C6CA7">
      <w:pPr>
        <w:pStyle w:val="Heading2"/>
      </w:pPr>
      <w:bookmarkStart w:id="3253" w:name="_Toc106037998"/>
      <w:bookmarkStart w:id="3254" w:name="_Toc106201637"/>
      <w:bookmarkStart w:id="3255" w:name="_Toc106202156"/>
      <w:bookmarkStart w:id="3256" w:name="_Toc106202682"/>
      <w:bookmarkStart w:id="3257" w:name="_Toc113345139"/>
      <w:bookmarkStart w:id="3258" w:name="_Toc137460435"/>
      <w:bookmarkStart w:id="3259" w:name="_Toc137460680"/>
      <w:bookmarkStart w:id="3260" w:name="_Toc137460925"/>
      <w:bookmarkStart w:id="3261" w:name="_Toc137461883"/>
      <w:bookmarkStart w:id="3262" w:name="_Toc137471474"/>
      <w:bookmarkStart w:id="3263" w:name="_Toc137471983"/>
      <w:r>
        <w:t xml:space="preserve"> </w:t>
      </w:r>
      <w:bookmarkStart w:id="3264" w:name="_Toc173222763"/>
      <w:bookmarkStart w:id="3265" w:name="_Toc200375817"/>
      <w:bookmarkStart w:id="3266" w:name="_Toc200377029"/>
      <w:r>
        <w:t>Noncompliance</w:t>
      </w:r>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p>
    <w:p w14:paraId="4FD71891" w14:textId="77777777" w:rsidR="005C6CA7" w:rsidRPr="00045B31" w:rsidRDefault="005C6CA7" w:rsidP="00677451">
      <w:pPr>
        <w:pStyle w:val="Heading3"/>
      </w:pPr>
      <w:bookmarkStart w:id="3267" w:name="_Toc106037999"/>
      <w:bookmarkStart w:id="3268" w:name="_Toc106201638"/>
      <w:bookmarkStart w:id="3269" w:name="_Toc106202157"/>
      <w:bookmarkStart w:id="3270" w:name="_Toc106202683"/>
      <w:bookmarkStart w:id="3271" w:name="_Toc113345140"/>
      <w:bookmarkStart w:id="3272" w:name="_Toc137461884"/>
      <w:bookmarkStart w:id="3273" w:name="_Toc137471475"/>
      <w:bookmarkStart w:id="3274" w:name="_Toc137471984"/>
      <w:bookmarkStart w:id="3275" w:name="_Toc200375818"/>
      <w:r w:rsidRPr="00045B31">
        <w:t>Notice of Noncompliance</w:t>
      </w:r>
      <w:bookmarkEnd w:id="3267"/>
      <w:bookmarkEnd w:id="3268"/>
      <w:bookmarkEnd w:id="3269"/>
      <w:bookmarkEnd w:id="3270"/>
      <w:bookmarkEnd w:id="3271"/>
      <w:bookmarkEnd w:id="3272"/>
      <w:bookmarkEnd w:id="3273"/>
      <w:bookmarkEnd w:id="3274"/>
      <w:bookmarkEnd w:id="3275"/>
    </w:p>
    <w:p w14:paraId="09D6567C" w14:textId="77777777" w:rsidR="005C6CA7" w:rsidRPr="00BE278F" w:rsidRDefault="005C6CA7" w:rsidP="00554579">
      <w:pPr>
        <w:rPr>
          <w:bCs/>
        </w:rPr>
      </w:pPr>
      <w:r w:rsidRPr="00045B31">
        <w:rPr>
          <w:bCs/>
        </w:rPr>
        <w:t xml:space="preserve">In the event a tenant does not </w:t>
      </w:r>
      <w:r w:rsidRPr="00BE278F">
        <w:rPr>
          <w:bCs/>
        </w:rPr>
        <w:t xml:space="preserve">provide documentation of the CSSR, the tenant will have </w:t>
      </w:r>
      <w:r w:rsidR="00BE278F" w:rsidRPr="00BE278F">
        <w:rPr>
          <w:bCs/>
        </w:rPr>
        <w:t>15 calendar</w:t>
      </w:r>
      <w:r w:rsidRPr="00BE278F">
        <w:rPr>
          <w:bCs/>
        </w:rPr>
        <w:t xml:space="preserve"> days to submit HHA-required documentation form(s). If the tenant fails to submit the documentation within the required time frame or within any HHA-approved extension, the tenant will be considered noncompliant with the CSSR and a notice of noncompliance will be issued. The notice of noncompliance will include:</w:t>
      </w:r>
    </w:p>
    <w:p w14:paraId="7EC0846C" w14:textId="77777777" w:rsidR="005C6CA7" w:rsidRPr="00BE278F" w:rsidRDefault="005C6CA7" w:rsidP="007F177E">
      <w:pPr>
        <w:numPr>
          <w:ilvl w:val="0"/>
          <w:numId w:val="284"/>
        </w:numPr>
      </w:pPr>
      <w:r w:rsidRPr="00BE278F">
        <w:t>A brief description of the finding of noncompliance with the CSSR.</w:t>
      </w:r>
    </w:p>
    <w:p w14:paraId="3AA517F9" w14:textId="77777777" w:rsidR="005C6CA7" w:rsidRPr="00BE278F" w:rsidRDefault="005C6CA7" w:rsidP="007F177E">
      <w:pPr>
        <w:numPr>
          <w:ilvl w:val="0"/>
          <w:numId w:val="284"/>
        </w:numPr>
      </w:pPr>
      <w:r w:rsidRPr="00BE278F">
        <w:t>A statement that HHA will not renew the lease at the end of the current lease term unless the tenant enters into a written cure agreement with HHA or the family provides written assurance that is satisfactory to HHA explaining that the noncompliant tenant no longer resides in the unit.</w:t>
      </w:r>
    </w:p>
    <w:p w14:paraId="6A95854B" w14:textId="77777777" w:rsidR="005C6CA7" w:rsidRPr="00BE278F" w:rsidRDefault="005C6CA7" w:rsidP="00554579">
      <w:pPr>
        <w:rPr>
          <w:bCs/>
        </w:rPr>
      </w:pPr>
      <w:r w:rsidRPr="00BE278F">
        <w:rPr>
          <w:bCs/>
        </w:rPr>
        <w:t>The notice of initial noncompliance will be sent at least 45 days prior to the end of the lease term.</w:t>
      </w:r>
    </w:p>
    <w:p w14:paraId="05278649" w14:textId="77777777" w:rsidR="005C6CA7" w:rsidRPr="00045B31" w:rsidRDefault="005C6CA7" w:rsidP="00554579">
      <w:pPr>
        <w:rPr>
          <w:bCs/>
        </w:rPr>
      </w:pPr>
      <w:r w:rsidRPr="00BE278F">
        <w:rPr>
          <w:bCs/>
        </w:rPr>
        <w:t xml:space="preserve">The family will have </w:t>
      </w:r>
      <w:r w:rsidR="00BE278F" w:rsidRPr="00BE278F">
        <w:rPr>
          <w:bCs/>
        </w:rPr>
        <w:t>15 calendar</w:t>
      </w:r>
      <w:r w:rsidRPr="00BE278F">
        <w:rPr>
          <w:bCs/>
        </w:rPr>
        <w:t xml:space="preserve"> days from the date of the notice of noncompliance to enter into a written agreement to cure the noncompliance</w:t>
      </w:r>
      <w:r w:rsidRPr="00045B31">
        <w:rPr>
          <w:bCs/>
        </w:rPr>
        <w:t xml:space="preserve"> over the 12</w:t>
      </w:r>
      <w:r>
        <w:rPr>
          <w:bCs/>
        </w:rPr>
        <w:t>-</w:t>
      </w:r>
      <w:r w:rsidRPr="00045B31">
        <w:rPr>
          <w:bCs/>
        </w:rPr>
        <w:t>month term of the new lease, provide documentation that the noncompliant resident no longer resides in the unit, or to request a grievance hearing.</w:t>
      </w:r>
    </w:p>
    <w:p w14:paraId="5857518B" w14:textId="77777777" w:rsidR="005C6CA7" w:rsidRPr="00E32016" w:rsidRDefault="005C6CA7" w:rsidP="00554579">
      <w:pPr>
        <w:rPr>
          <w:bCs/>
          <w:strike/>
          <w:color w:val="FF0000"/>
        </w:rPr>
      </w:pPr>
      <w:r w:rsidRPr="00045B31">
        <w:rPr>
          <w:bCs/>
        </w:rPr>
        <w:t xml:space="preserve">If the family reports that a noncompliant family member is no longer residing in the unit, the family must provide documentation that the family member has actually vacated the unit before </w:t>
      </w:r>
      <w:r>
        <w:rPr>
          <w:bCs/>
        </w:rPr>
        <w:t>HHA</w:t>
      </w:r>
      <w:r w:rsidRPr="00045B31">
        <w:rPr>
          <w:bCs/>
        </w:rPr>
        <w:t xml:space="preserve"> will agree to continued occupancy of the family. </w:t>
      </w:r>
    </w:p>
    <w:p w14:paraId="28E03616" w14:textId="77777777" w:rsidR="005C6CA7" w:rsidRPr="002965D3" w:rsidRDefault="005C6CA7" w:rsidP="00554579">
      <w:pPr>
        <w:rPr>
          <w:bCs/>
        </w:rPr>
      </w:pPr>
      <w:r w:rsidRPr="00045B31">
        <w:rPr>
          <w:bCs/>
        </w:rPr>
        <w:t xml:space="preserve">If the family does not request a grievance </w:t>
      </w:r>
      <w:r w:rsidRPr="00BE278F">
        <w:rPr>
          <w:bCs/>
        </w:rPr>
        <w:t xml:space="preserve">hearing, or does not take either corrective action required by the notice of noncompliance within the required </w:t>
      </w:r>
      <w:r w:rsidR="00BE278F" w:rsidRPr="00BE278F">
        <w:rPr>
          <w:bCs/>
        </w:rPr>
        <w:t>15 calendar</w:t>
      </w:r>
      <w:r w:rsidRPr="00BE278F">
        <w:rPr>
          <w:bCs/>
        </w:rPr>
        <w:t xml:space="preserve"> day timeframe, HHA will terminate tenancy.</w:t>
      </w:r>
    </w:p>
    <w:p w14:paraId="3C87B5BF" w14:textId="77777777" w:rsidR="005C6CA7" w:rsidRPr="002965D3" w:rsidRDefault="005C6CA7" w:rsidP="00677451">
      <w:pPr>
        <w:pStyle w:val="Heading3"/>
      </w:pPr>
      <w:bookmarkStart w:id="3276" w:name="_Toc106038000"/>
      <w:bookmarkStart w:id="3277" w:name="_Toc106201639"/>
      <w:bookmarkStart w:id="3278" w:name="_Toc106202158"/>
      <w:bookmarkStart w:id="3279" w:name="_Toc106202684"/>
      <w:bookmarkStart w:id="3280" w:name="_Toc113345141"/>
      <w:bookmarkStart w:id="3281" w:name="_Toc137461885"/>
      <w:bookmarkStart w:id="3282" w:name="_Toc137471476"/>
      <w:bookmarkStart w:id="3283" w:name="_Toc137471985"/>
      <w:bookmarkStart w:id="3284" w:name="_Toc200375819"/>
      <w:r w:rsidRPr="002965D3">
        <w:t>Continued Noncompliance</w:t>
      </w:r>
      <w:bookmarkEnd w:id="3276"/>
      <w:bookmarkEnd w:id="3277"/>
      <w:bookmarkEnd w:id="3278"/>
      <w:bookmarkEnd w:id="3279"/>
      <w:bookmarkEnd w:id="3280"/>
      <w:bookmarkEnd w:id="3281"/>
      <w:bookmarkEnd w:id="3282"/>
      <w:bookmarkEnd w:id="3283"/>
      <w:bookmarkEnd w:id="3284"/>
    </w:p>
    <w:p w14:paraId="3D542C5D" w14:textId="77777777" w:rsidR="005C6CA7" w:rsidRPr="002965D3" w:rsidRDefault="005C6CA7" w:rsidP="005C6CA7">
      <w:pPr>
        <w:rPr>
          <w:bCs/>
        </w:rPr>
      </w:pPr>
      <w:r w:rsidRPr="002965D3">
        <w:t>Should a family member refuse to sign a written cure agreement, or fail to comply with the terms of a cure agreement</w:t>
      </w:r>
      <w:r w:rsidRPr="002965D3">
        <w:rPr>
          <w:bCs/>
        </w:rPr>
        <w:t xml:space="preserve">, </w:t>
      </w:r>
      <w:r>
        <w:rPr>
          <w:bCs/>
        </w:rPr>
        <w:t>HHA</w:t>
      </w:r>
      <w:r w:rsidRPr="002965D3">
        <w:rPr>
          <w:bCs/>
        </w:rPr>
        <w:t xml:space="preserve"> must terminate tenancy of the entire family, according to the lease, unless the family provides documentation that the noncompliant resident no longer resides in the unit.</w:t>
      </w:r>
    </w:p>
    <w:p w14:paraId="6136CCAA" w14:textId="77777777" w:rsidR="005C6CA7" w:rsidRPr="002965D3" w:rsidRDefault="005C6CA7" w:rsidP="005C6CA7">
      <w:pPr>
        <w:rPr>
          <w:bCs/>
        </w:rPr>
      </w:pPr>
      <w:r w:rsidRPr="002965D3">
        <w:rPr>
          <w:bCs/>
        </w:rPr>
        <w:t xml:space="preserve">Notices of continued noncompliance will be sent at least 30 days prior to the end of the lease term and will also serve as the family’s termination notice. The notice will meet the requirements for termination notices described in the chapter on </w:t>
      </w:r>
      <w:r w:rsidR="000466E2" w:rsidRPr="000466E2">
        <w:rPr>
          <w:b/>
          <w:color w:val="0070C0"/>
        </w:rPr>
        <w:fldChar w:fldCharType="begin"/>
      </w:r>
      <w:r w:rsidR="000466E2" w:rsidRPr="000466E2">
        <w:rPr>
          <w:b/>
          <w:color w:val="0070C0"/>
        </w:rPr>
        <w:instrText xml:space="preserve"> REF _Ref151017029 \h  \* MERGEFORMAT </w:instrText>
      </w:r>
      <w:r w:rsidR="000466E2" w:rsidRPr="000466E2">
        <w:rPr>
          <w:b/>
          <w:color w:val="0070C0"/>
        </w:rPr>
      </w:r>
      <w:r w:rsidR="000466E2" w:rsidRPr="000466E2">
        <w:rPr>
          <w:b/>
          <w:color w:val="0070C0"/>
        </w:rPr>
        <w:fldChar w:fldCharType="separate"/>
      </w:r>
      <w:r w:rsidR="000466E2" w:rsidRPr="000466E2">
        <w:rPr>
          <w:b/>
          <w:color w:val="0070C0"/>
        </w:rPr>
        <w:t>LEASE TERMINATIONS</w:t>
      </w:r>
      <w:r w:rsidR="000466E2" w:rsidRPr="000466E2">
        <w:rPr>
          <w:b/>
          <w:color w:val="0070C0"/>
        </w:rPr>
        <w:fldChar w:fldCharType="end"/>
      </w:r>
      <w:r w:rsidRPr="002965D3">
        <w:rPr>
          <w:bCs/>
        </w:rPr>
        <w:t>.</w:t>
      </w:r>
    </w:p>
    <w:p w14:paraId="0E5690A5" w14:textId="77777777" w:rsidR="005C6CA7" w:rsidRPr="00E32016" w:rsidRDefault="005C6CA7" w:rsidP="005C6CA7">
      <w:pPr>
        <w:rPr>
          <w:bCs/>
        </w:rPr>
      </w:pPr>
      <w:r w:rsidRPr="002965D3">
        <w:rPr>
          <w:bCs/>
        </w:rPr>
        <w:t xml:space="preserve">The family </w:t>
      </w:r>
      <w:r w:rsidRPr="00BE278F">
        <w:rPr>
          <w:bCs/>
        </w:rPr>
        <w:t xml:space="preserve">will have </w:t>
      </w:r>
      <w:r w:rsidR="00BE278F" w:rsidRPr="00BE278F">
        <w:rPr>
          <w:bCs/>
        </w:rPr>
        <w:t>15 calendar</w:t>
      </w:r>
      <w:r w:rsidRPr="00BE278F">
        <w:rPr>
          <w:bCs/>
        </w:rPr>
        <w:t xml:space="preserve"> days from</w:t>
      </w:r>
      <w:r w:rsidRPr="002965D3">
        <w:rPr>
          <w:bCs/>
        </w:rPr>
        <w:t xml:space="preserve"> the date of the notice of noncompliance to provide documentation that the noncompliant resident no longer resides in the unit, or to request a grievance hearing.</w:t>
      </w:r>
    </w:p>
    <w:p w14:paraId="29F7B939" w14:textId="77777777" w:rsidR="005C6CA7" w:rsidRPr="00D05383" w:rsidRDefault="005C6CA7" w:rsidP="005C6CA7">
      <w:pPr>
        <w:rPr>
          <w:bCs/>
          <w:strike/>
          <w:color w:val="FF0000"/>
        </w:rPr>
      </w:pPr>
      <w:r w:rsidRPr="00E32016">
        <w:rPr>
          <w:bCs/>
        </w:rPr>
        <w:t xml:space="preserve">If the family reports that a noncompliant family member is no longer residing in the unit, the family must provide documentation that the family member has actually vacated the unit before </w:t>
      </w:r>
      <w:r>
        <w:rPr>
          <w:bCs/>
        </w:rPr>
        <w:t>HHA</w:t>
      </w:r>
      <w:r w:rsidRPr="00E32016">
        <w:rPr>
          <w:bCs/>
        </w:rPr>
        <w:t xml:space="preserve"> will agree to continued occupancy of the family. </w:t>
      </w:r>
    </w:p>
    <w:p w14:paraId="1F898ACA" w14:textId="77777777" w:rsidR="005C6CA7" w:rsidRPr="00E32016" w:rsidRDefault="005C6CA7" w:rsidP="005C6CA7">
      <w:pPr>
        <w:rPr>
          <w:bCs/>
        </w:rPr>
      </w:pPr>
      <w:r w:rsidRPr="002965D3">
        <w:rPr>
          <w:bCs/>
        </w:rPr>
        <w:t xml:space="preserve">If the family does not request a grievance hearing, or provide such documentation within the </w:t>
      </w:r>
      <w:r w:rsidRPr="00BE278F">
        <w:rPr>
          <w:bCs/>
        </w:rPr>
        <w:t xml:space="preserve">required </w:t>
      </w:r>
      <w:r w:rsidR="00BE278F" w:rsidRPr="00BE278F">
        <w:rPr>
          <w:bCs/>
        </w:rPr>
        <w:t>15 calendar</w:t>
      </w:r>
      <w:r w:rsidRPr="00BE278F">
        <w:rPr>
          <w:bCs/>
        </w:rPr>
        <w:t xml:space="preserve"> day timeframe, the</w:t>
      </w:r>
      <w:r w:rsidRPr="002965D3">
        <w:rPr>
          <w:bCs/>
        </w:rPr>
        <w:t xml:space="preserve"> family’s lease and tenancy will automatically terminate at the end of the current lease term without further notice.</w:t>
      </w:r>
    </w:p>
    <w:p w14:paraId="7A9E1B01" w14:textId="77777777" w:rsidR="005C6CA7" w:rsidRDefault="005C6CA7" w:rsidP="005C6CA7">
      <w:pPr>
        <w:rPr>
          <w:bCs/>
        </w:rPr>
      </w:pPr>
    </w:p>
    <w:p w14:paraId="1E7EFB56" w14:textId="77777777" w:rsidR="005C6CA7" w:rsidRDefault="005C6CA7" w:rsidP="005C6CA7"/>
    <w:p w14:paraId="087CE365" w14:textId="77777777" w:rsidR="00822559" w:rsidRDefault="00822559" w:rsidP="00822559"/>
    <w:p w14:paraId="3A2C424E" w14:textId="77777777" w:rsidR="00822559" w:rsidRDefault="00822559" w:rsidP="00822559">
      <w:pPr>
        <w:pStyle w:val="00Normal"/>
      </w:pPr>
    </w:p>
    <w:p w14:paraId="4EF86F0B" w14:textId="77777777" w:rsidR="00A95B1E" w:rsidRDefault="00A95B1E" w:rsidP="00822559">
      <w:pPr>
        <w:pStyle w:val="Heading1"/>
        <w:numPr>
          <w:ilvl w:val="0"/>
          <w:numId w:val="0"/>
        </w:numPr>
        <w:sectPr w:rsidR="00A95B1E" w:rsidSect="00EE2233">
          <w:pgSz w:w="12240" w:h="15840"/>
          <w:pgMar w:top="1440" w:right="1440" w:bottom="1440" w:left="1440" w:header="720" w:footer="720" w:gutter="0"/>
          <w:cols w:space="720"/>
          <w:docGrid w:linePitch="360"/>
        </w:sectPr>
      </w:pPr>
    </w:p>
    <w:p w14:paraId="2BC8E87E" w14:textId="13172950" w:rsidR="00BE78E6" w:rsidRPr="006C72F4" w:rsidRDefault="00BE78E6" w:rsidP="00BE78E6">
      <w:pPr>
        <w:pStyle w:val="Heading1"/>
        <w:ind w:left="0" w:firstLine="0"/>
      </w:pPr>
      <w:bookmarkStart w:id="3285" w:name="_Ref151015424"/>
      <w:bookmarkStart w:id="3286" w:name="_Toc173222764"/>
      <w:bookmarkStart w:id="3287" w:name="_Toc200375820"/>
      <w:bookmarkStart w:id="3288" w:name="_Toc200377030"/>
      <w:r w:rsidRPr="006C72F4">
        <w:t>TRANSFER</w:t>
      </w:r>
      <w:r w:rsidR="00641E0A">
        <w:t>S</w:t>
      </w:r>
      <w:bookmarkEnd w:id="3285"/>
      <w:bookmarkEnd w:id="3286"/>
      <w:bookmarkEnd w:id="3287"/>
      <w:bookmarkEnd w:id="3288"/>
    </w:p>
    <w:p w14:paraId="558BE80A" w14:textId="77777777" w:rsidR="00EC3531" w:rsidRPr="004A0BF8" w:rsidRDefault="00EC3531" w:rsidP="00EC3531">
      <w:pPr>
        <w:pStyle w:val="Heading2"/>
      </w:pPr>
      <w:bookmarkStart w:id="3289" w:name="_Toc106201643"/>
      <w:bookmarkStart w:id="3290" w:name="_Toc106202162"/>
      <w:bookmarkStart w:id="3291" w:name="_Toc106202688"/>
      <w:bookmarkStart w:id="3292" w:name="_Toc113345144"/>
      <w:bookmarkStart w:id="3293" w:name="_Toc137460438"/>
      <w:bookmarkStart w:id="3294" w:name="_Toc137460683"/>
      <w:bookmarkStart w:id="3295" w:name="_Toc137460928"/>
      <w:bookmarkStart w:id="3296" w:name="_Toc137461888"/>
      <w:bookmarkStart w:id="3297" w:name="_Toc137471479"/>
      <w:bookmarkStart w:id="3298" w:name="_Toc137471988"/>
      <w:bookmarkStart w:id="3299" w:name="_Toc173222765"/>
      <w:bookmarkStart w:id="3300" w:name="_Toc200375821"/>
      <w:bookmarkStart w:id="3301" w:name="_Toc200377031"/>
      <w:r w:rsidRPr="004A0BF8">
        <w:t>I</w:t>
      </w:r>
      <w:bookmarkEnd w:id="3289"/>
      <w:bookmarkEnd w:id="3290"/>
      <w:bookmarkEnd w:id="3291"/>
      <w:bookmarkEnd w:id="3292"/>
      <w:bookmarkEnd w:id="3293"/>
      <w:bookmarkEnd w:id="3294"/>
      <w:bookmarkEnd w:id="3295"/>
      <w:bookmarkEnd w:id="3296"/>
      <w:bookmarkEnd w:id="3297"/>
      <w:bookmarkEnd w:id="3298"/>
      <w:r w:rsidR="00A73199">
        <w:t>ntroduction</w:t>
      </w:r>
      <w:bookmarkEnd w:id="3299"/>
      <w:bookmarkEnd w:id="3300"/>
      <w:bookmarkEnd w:id="3301"/>
    </w:p>
    <w:p w14:paraId="73519F4C" w14:textId="77777777" w:rsidR="00EC3531" w:rsidRPr="004A0BF8" w:rsidRDefault="00EC3531" w:rsidP="00EC3531">
      <w:pPr>
        <w:rPr>
          <w:rFonts w:cs="Arial"/>
          <w:szCs w:val="20"/>
        </w:rPr>
      </w:pPr>
      <w:r w:rsidRPr="004A0BF8">
        <w:rPr>
          <w:rFonts w:cs="Arial"/>
          <w:szCs w:val="20"/>
        </w:rPr>
        <w:t xml:space="preserve">This chapter explains </w:t>
      </w:r>
      <w:r w:rsidR="00A73199">
        <w:rPr>
          <w:rFonts w:cs="Arial"/>
          <w:szCs w:val="20"/>
        </w:rPr>
        <w:t>HHA</w:t>
      </w:r>
      <w:r w:rsidRPr="004A0BF8">
        <w:rPr>
          <w:rFonts w:cs="Arial"/>
          <w:szCs w:val="20"/>
        </w:rPr>
        <w:t xml:space="preserve">’s transfer policy. </w:t>
      </w:r>
      <w:r w:rsidR="00A73199">
        <w:rPr>
          <w:rFonts w:cs="Arial"/>
          <w:szCs w:val="20"/>
        </w:rPr>
        <w:t>HHA</w:t>
      </w:r>
      <w:r w:rsidRPr="004A0BF8">
        <w:rPr>
          <w:rFonts w:cs="Arial"/>
          <w:szCs w:val="20"/>
        </w:rPr>
        <w:t xml:space="preserve"> may require the tenant to move from the unit under some circumstances. There are also emergency circumstances under which alternate accommodations for the tenant must be provided, that may or may not require a transfer.</w:t>
      </w:r>
    </w:p>
    <w:p w14:paraId="1D591462" w14:textId="77777777" w:rsidR="00EC3531" w:rsidRPr="004A0BF8" w:rsidRDefault="00EC3531" w:rsidP="00EC3531">
      <w:pPr>
        <w:rPr>
          <w:rFonts w:cs="Arial"/>
          <w:szCs w:val="20"/>
        </w:rPr>
      </w:pPr>
      <w:r w:rsidRPr="004A0BF8">
        <w:rPr>
          <w:rFonts w:cs="Arial"/>
          <w:szCs w:val="20"/>
        </w:rPr>
        <w:t>The tenant may also request a transfer, such as a request for a new unit as a reasonable accommodation.</w:t>
      </w:r>
    </w:p>
    <w:p w14:paraId="7D6FAB1F" w14:textId="77777777" w:rsidR="00EC3531" w:rsidRPr="004A0BF8" w:rsidRDefault="00D056C4" w:rsidP="00EC3531">
      <w:pPr>
        <w:pStyle w:val="Heading2"/>
      </w:pPr>
      <w:bookmarkStart w:id="3302" w:name="_Toc173222766"/>
      <w:bookmarkStart w:id="3303" w:name="_Toc200375822"/>
      <w:bookmarkStart w:id="3304" w:name="_Toc200377032"/>
      <w:r>
        <w:t>Types of Transfers</w:t>
      </w:r>
      <w:bookmarkEnd w:id="3302"/>
      <w:bookmarkEnd w:id="3303"/>
      <w:bookmarkEnd w:id="3304"/>
    </w:p>
    <w:p w14:paraId="4004B4F4" w14:textId="77777777" w:rsidR="00EC3531" w:rsidRPr="004A0BF8" w:rsidRDefault="00EC3531" w:rsidP="00D056C4">
      <w:pPr>
        <w:rPr>
          <w:rFonts w:cs="Arial"/>
          <w:strike/>
          <w:color w:val="FF0000"/>
          <w:szCs w:val="20"/>
        </w:rPr>
      </w:pPr>
      <w:r w:rsidRPr="004A0BF8">
        <w:rPr>
          <w:rFonts w:cs="Arial"/>
          <w:szCs w:val="20"/>
        </w:rPr>
        <w:t xml:space="preserve">The following are the types of transfers allowed under </w:t>
      </w:r>
      <w:r w:rsidR="00A73199">
        <w:rPr>
          <w:rFonts w:cs="Arial"/>
          <w:szCs w:val="20"/>
        </w:rPr>
        <w:t>HHA</w:t>
      </w:r>
      <w:r>
        <w:rPr>
          <w:rFonts w:cs="Arial"/>
          <w:szCs w:val="20"/>
        </w:rPr>
        <w:t>’</w:t>
      </w:r>
      <w:r w:rsidRPr="004A0BF8">
        <w:rPr>
          <w:rFonts w:cs="Arial"/>
          <w:szCs w:val="20"/>
        </w:rPr>
        <w:t xml:space="preserve">s transfer policies.  </w:t>
      </w:r>
    </w:p>
    <w:p w14:paraId="0F9ED5AD" w14:textId="77777777" w:rsidR="005B35B7" w:rsidRDefault="005B35B7" w:rsidP="007F177E">
      <w:pPr>
        <w:widowControl w:val="0"/>
        <w:numPr>
          <w:ilvl w:val="0"/>
          <w:numId w:val="173"/>
        </w:numPr>
        <w:rPr>
          <w:rFonts w:cs="Arial"/>
          <w:szCs w:val="20"/>
        </w:rPr>
      </w:pPr>
      <w:r>
        <w:rPr>
          <w:rFonts w:cs="Arial"/>
          <w:szCs w:val="20"/>
        </w:rPr>
        <w:t>Emergency Transfers</w:t>
      </w:r>
      <w:r w:rsidR="008323E4">
        <w:rPr>
          <w:rFonts w:cs="Arial"/>
          <w:szCs w:val="20"/>
        </w:rPr>
        <w:t>;</w:t>
      </w:r>
    </w:p>
    <w:p w14:paraId="5B7809F0" w14:textId="77777777" w:rsidR="00780A75" w:rsidRDefault="00780A75" w:rsidP="007F177E">
      <w:pPr>
        <w:widowControl w:val="0"/>
        <w:numPr>
          <w:ilvl w:val="0"/>
          <w:numId w:val="173"/>
        </w:numPr>
        <w:rPr>
          <w:rFonts w:cs="Arial"/>
          <w:szCs w:val="20"/>
        </w:rPr>
      </w:pPr>
      <w:r>
        <w:rPr>
          <w:rFonts w:cs="Arial"/>
          <w:szCs w:val="20"/>
        </w:rPr>
        <w:t>Administrative Transfers;</w:t>
      </w:r>
    </w:p>
    <w:p w14:paraId="27222FF4" w14:textId="77777777" w:rsidR="003441AA" w:rsidRDefault="003441AA" w:rsidP="007F177E">
      <w:pPr>
        <w:widowControl w:val="0"/>
        <w:numPr>
          <w:ilvl w:val="0"/>
          <w:numId w:val="173"/>
        </w:numPr>
        <w:rPr>
          <w:rFonts w:cs="Arial"/>
          <w:szCs w:val="20"/>
        </w:rPr>
      </w:pPr>
      <w:r>
        <w:rPr>
          <w:rFonts w:cs="Arial"/>
          <w:szCs w:val="20"/>
        </w:rPr>
        <w:t>Resident-Initiated Transfers;</w:t>
      </w:r>
      <w:r w:rsidR="000E4331">
        <w:rPr>
          <w:rFonts w:cs="Arial"/>
          <w:szCs w:val="20"/>
        </w:rPr>
        <w:t xml:space="preserve"> and</w:t>
      </w:r>
    </w:p>
    <w:p w14:paraId="65966F77" w14:textId="77777777" w:rsidR="003441AA" w:rsidRPr="004A0BF8" w:rsidRDefault="003441AA" w:rsidP="007F177E">
      <w:pPr>
        <w:widowControl w:val="0"/>
        <w:numPr>
          <w:ilvl w:val="0"/>
          <w:numId w:val="173"/>
        </w:numPr>
        <w:rPr>
          <w:rFonts w:cs="Arial"/>
          <w:szCs w:val="20"/>
        </w:rPr>
      </w:pPr>
      <w:r>
        <w:rPr>
          <w:rFonts w:cs="Arial"/>
          <w:szCs w:val="20"/>
        </w:rPr>
        <w:t>Economic Self-Sufficiency Transfers.</w:t>
      </w:r>
    </w:p>
    <w:p w14:paraId="573F218A" w14:textId="77777777" w:rsidR="000C024E" w:rsidRDefault="000C024E" w:rsidP="00EC3531">
      <w:pPr>
        <w:pStyle w:val="Heading2"/>
      </w:pPr>
      <w:bookmarkStart w:id="3305" w:name="_Ref160547725"/>
      <w:bookmarkStart w:id="3306" w:name="_Toc173222767"/>
      <w:bookmarkStart w:id="3307" w:name="_Toc200375823"/>
      <w:bookmarkStart w:id="3308" w:name="_Toc200377033"/>
      <w:r>
        <w:t>Emergency Transfers</w:t>
      </w:r>
      <w:bookmarkEnd w:id="3305"/>
      <w:bookmarkEnd w:id="3306"/>
      <w:bookmarkEnd w:id="3307"/>
      <w:bookmarkEnd w:id="3308"/>
    </w:p>
    <w:p w14:paraId="2BF687E5" w14:textId="77777777" w:rsidR="000C024E" w:rsidRPr="006C72F4" w:rsidRDefault="009233CB" w:rsidP="009233CB">
      <w:r w:rsidRPr="009233CB">
        <w:t>Emergency transfer</w:t>
      </w:r>
      <w:r w:rsidR="000016A9">
        <w:t>s</w:t>
      </w:r>
      <w:r w:rsidRPr="009233CB">
        <w:t xml:space="preserve"> </w:t>
      </w:r>
      <w:r w:rsidRPr="006C72F4">
        <w:t xml:space="preserve">are for </w:t>
      </w:r>
      <w:r w:rsidR="00191A18" w:rsidRPr="006C72F4">
        <w:t xml:space="preserve">the safety/well-being of the family </w:t>
      </w:r>
      <w:r w:rsidRPr="006C72F4">
        <w:t>when:</w:t>
      </w:r>
    </w:p>
    <w:p w14:paraId="2BC83116" w14:textId="77777777" w:rsidR="0072144C" w:rsidRPr="006C72F4" w:rsidRDefault="009233CB" w:rsidP="007F177E">
      <w:pPr>
        <w:pStyle w:val="ListParagraph"/>
        <w:numPr>
          <w:ilvl w:val="0"/>
          <w:numId w:val="192"/>
        </w:numPr>
        <w:contextualSpacing w:val="0"/>
      </w:pPr>
      <w:r w:rsidRPr="006C72F4">
        <w:t>HHA determines that unit or building conditions pose an immediate threat to resident life, health or safety</w:t>
      </w:r>
      <w:bookmarkStart w:id="3309" w:name="_Hlk114818875"/>
      <w:r w:rsidR="006D0BBA" w:rsidRPr="006C72F4">
        <w:t>;</w:t>
      </w:r>
      <w:r w:rsidR="0072144C" w:rsidRPr="006C72F4">
        <w:t xml:space="preserve"> this includes</w:t>
      </w:r>
      <w:r w:rsidR="004E45C0" w:rsidRPr="006C72F4">
        <w:t xml:space="preserve"> but is not limited to</w:t>
      </w:r>
      <w:r w:rsidR="0072144C" w:rsidRPr="006C72F4">
        <w:t xml:space="preserve"> </w:t>
      </w:r>
      <w:r w:rsidR="004E45C0" w:rsidRPr="006C72F4">
        <w:rPr>
          <w:szCs w:val="24"/>
        </w:rPr>
        <w:t>a</w:t>
      </w:r>
      <w:r w:rsidR="0072144C" w:rsidRPr="006C72F4">
        <w:rPr>
          <w:szCs w:val="24"/>
        </w:rPr>
        <w:t xml:space="preserve">ny condition that would produce an emergency work order </w:t>
      </w:r>
      <w:r w:rsidR="00353695" w:rsidRPr="006C72F4">
        <w:rPr>
          <w:szCs w:val="24"/>
        </w:rPr>
        <w:t>where</w:t>
      </w:r>
      <w:r w:rsidR="0072144C" w:rsidRPr="006C72F4">
        <w:rPr>
          <w:szCs w:val="24"/>
        </w:rPr>
        <w:t xml:space="preserve"> repairs cannot be made within 24 hours</w:t>
      </w:r>
      <w:r w:rsidR="0072144C" w:rsidRPr="006C72F4">
        <w:t>.</w:t>
      </w:r>
    </w:p>
    <w:p w14:paraId="3A0FEB1D" w14:textId="77777777" w:rsidR="00503069" w:rsidRPr="006C72F4" w:rsidRDefault="00503069" w:rsidP="007F177E">
      <w:pPr>
        <w:pStyle w:val="ListParagraph"/>
        <w:numPr>
          <w:ilvl w:val="1"/>
          <w:numId w:val="285"/>
        </w:numPr>
        <w:ind w:left="1440"/>
        <w:contextualSpacing w:val="0"/>
        <w:rPr>
          <w:szCs w:val="24"/>
        </w:rPr>
      </w:pPr>
      <w:r w:rsidRPr="006C72F4">
        <w:rPr>
          <w:szCs w:val="24"/>
        </w:rPr>
        <w:t xml:space="preserve">If the transfer is necessary because of maintenance conditions, and an appropriate unit is not immediately available, </w:t>
      </w:r>
      <w:r w:rsidR="00DE5634" w:rsidRPr="006C72F4">
        <w:rPr>
          <w:szCs w:val="24"/>
        </w:rPr>
        <w:t>H</w:t>
      </w:r>
      <w:r w:rsidRPr="006C72F4">
        <w:rPr>
          <w:szCs w:val="24"/>
        </w:rPr>
        <w:t>HA will provide temporary accommodations to the tenant by arra</w:t>
      </w:r>
      <w:r w:rsidRPr="006C72F4">
        <w:t>n</w:t>
      </w:r>
      <w:r w:rsidRPr="006C72F4">
        <w:rPr>
          <w:szCs w:val="24"/>
        </w:rPr>
        <w:t>ging for temporary lodging at a hotel or similar location. The family is entitled to alternative accommodations even if the tenant, household member, guest, or other covered person is responsible for the damage that caused the hazard or if a family is in the process of being evicted.</w:t>
      </w:r>
    </w:p>
    <w:p w14:paraId="0FBB9460" w14:textId="77777777" w:rsidR="00503069" w:rsidRPr="006C72F4" w:rsidRDefault="00503069" w:rsidP="007F177E">
      <w:pPr>
        <w:pStyle w:val="ListParagraph"/>
        <w:numPr>
          <w:ilvl w:val="1"/>
          <w:numId w:val="285"/>
        </w:numPr>
        <w:ind w:left="1440"/>
        <w:contextualSpacing w:val="0"/>
        <w:rPr>
          <w:szCs w:val="24"/>
        </w:rPr>
      </w:pPr>
      <w:r w:rsidRPr="006C72F4">
        <w:rPr>
          <w:szCs w:val="24"/>
        </w:rPr>
        <w:t xml:space="preserve">If the conditions that required the transfer cannot be repaired, or the condition cannot be repaired in a reasonable amount of time, </w:t>
      </w:r>
      <w:r w:rsidR="00DE5634" w:rsidRPr="006C72F4">
        <w:rPr>
          <w:szCs w:val="24"/>
        </w:rPr>
        <w:t>H</w:t>
      </w:r>
      <w:r w:rsidRPr="006C72F4">
        <w:rPr>
          <w:szCs w:val="24"/>
        </w:rPr>
        <w:t>HA will transfer the resident to the first available and appropriate unit after the temporary relocation.</w:t>
      </w:r>
    </w:p>
    <w:p w14:paraId="2A37DC60" w14:textId="77777777" w:rsidR="00503069" w:rsidRPr="006C72F4" w:rsidRDefault="00503069" w:rsidP="007F177E">
      <w:pPr>
        <w:pStyle w:val="ListParagraph"/>
        <w:numPr>
          <w:ilvl w:val="1"/>
          <w:numId w:val="285"/>
        </w:numPr>
        <w:ind w:left="1440"/>
        <w:contextualSpacing w:val="0"/>
        <w:rPr>
          <w:szCs w:val="24"/>
        </w:rPr>
      </w:pPr>
      <w:r w:rsidRPr="006C72F4">
        <w:rPr>
          <w:szCs w:val="24"/>
        </w:rPr>
        <w:t>Emergency transfers that arise due to maintenance conditions are mandatory for the tenant.</w:t>
      </w:r>
    </w:p>
    <w:p w14:paraId="3C0E1CE0" w14:textId="77777777" w:rsidR="0072144C" w:rsidRDefault="009233CB" w:rsidP="007F177E">
      <w:pPr>
        <w:pStyle w:val="ListParagraph"/>
        <w:numPr>
          <w:ilvl w:val="0"/>
          <w:numId w:val="192"/>
        </w:numPr>
        <w:contextualSpacing w:val="0"/>
      </w:pPr>
      <w:r w:rsidRPr="006C72F4">
        <w:t>HHA determines that a transfer is necessary to resolve problems of an urgent or life-threatening nature that are not related to building or unit conditions</w:t>
      </w:r>
      <w:bookmarkEnd w:id="3309"/>
      <w:r w:rsidR="00A62D0D" w:rsidRPr="006C72F4">
        <w:t>, as authorized by the HHA President &amp; CEO or designee</w:t>
      </w:r>
      <w:r w:rsidR="00A62D0D" w:rsidRPr="00A2158C">
        <w:t>.</w:t>
      </w:r>
      <w:r w:rsidR="00A62D0D" w:rsidRPr="00A62D0D">
        <w:t xml:space="preserve"> </w:t>
      </w:r>
    </w:p>
    <w:p w14:paraId="04769A97" w14:textId="77777777" w:rsidR="0072144C" w:rsidRDefault="009233CB" w:rsidP="007F177E">
      <w:pPr>
        <w:pStyle w:val="ListParagraph"/>
        <w:numPr>
          <w:ilvl w:val="0"/>
          <w:numId w:val="192"/>
        </w:numPr>
        <w:contextualSpacing w:val="0"/>
      </w:pPr>
      <w:r w:rsidRPr="009233CB">
        <w:t>A family member is a victim of physical harassment, extreme or repeated vandalism to personal property and/or repeated verbal harassment, intimidation or coercion which places the household member(s) in imminent danger</w:t>
      </w:r>
      <w:r w:rsidR="00A62D0D">
        <w:t>.</w:t>
      </w:r>
      <w:r w:rsidRPr="009233CB">
        <w:t xml:space="preserve"> </w:t>
      </w:r>
    </w:p>
    <w:p w14:paraId="551544D5" w14:textId="77777777" w:rsidR="0072144C" w:rsidRDefault="009233CB" w:rsidP="007F177E">
      <w:pPr>
        <w:pStyle w:val="ListParagraph"/>
        <w:numPr>
          <w:ilvl w:val="0"/>
          <w:numId w:val="192"/>
        </w:numPr>
        <w:spacing w:before="120"/>
        <w:contextualSpacing w:val="0"/>
      </w:pPr>
      <w:r w:rsidRPr="009233CB">
        <w:t xml:space="preserve">A household member is a victim of </w:t>
      </w:r>
      <w:r w:rsidR="003736FB" w:rsidRPr="006279F1">
        <w:rPr>
          <w:rFonts w:cs="Arial"/>
          <w:spacing w:val="-2"/>
        </w:rPr>
        <w:t>domestic violence, dating violence, sexual assault, stalking and/or human trafficking</w:t>
      </w:r>
      <w:r w:rsidRPr="009233CB">
        <w:t xml:space="preserve"> under VAWA (see </w:t>
      </w:r>
      <w:r w:rsidRPr="0072144C">
        <w:rPr>
          <w:b/>
          <w:bCs/>
          <w:color w:val="0070C0"/>
        </w:rPr>
        <w:fldChar w:fldCharType="begin"/>
      </w:r>
      <w:r w:rsidRPr="0072144C">
        <w:rPr>
          <w:b/>
          <w:bCs/>
          <w:color w:val="0070C0"/>
        </w:rPr>
        <w:instrText xml:space="preserve"> REF _Ref144993796 \h  \* MERGEFORMAT </w:instrText>
      </w:r>
      <w:r w:rsidRPr="0072144C">
        <w:rPr>
          <w:b/>
          <w:bCs/>
          <w:color w:val="0070C0"/>
        </w:rPr>
      </w:r>
      <w:r w:rsidRPr="0072144C">
        <w:rPr>
          <w:b/>
          <w:bCs/>
          <w:color w:val="0070C0"/>
        </w:rPr>
        <w:fldChar w:fldCharType="separate"/>
      </w:r>
      <w:r w:rsidRPr="0072144C">
        <w:rPr>
          <w:b/>
          <w:bCs/>
          <w:color w:val="0070C0"/>
        </w:rPr>
        <w:t>APPENDIX C: VIOLENCE AGAINST WOMEN ACT (VAWA) POLICY</w:t>
      </w:r>
      <w:r w:rsidRPr="0072144C">
        <w:rPr>
          <w:b/>
          <w:bCs/>
          <w:color w:val="0070C0"/>
        </w:rPr>
        <w:fldChar w:fldCharType="end"/>
      </w:r>
      <w:r w:rsidRPr="009233CB">
        <w:t>);</w:t>
      </w:r>
    </w:p>
    <w:p w14:paraId="2BFE7F24" w14:textId="77777777" w:rsidR="009233CB" w:rsidRPr="009233CB" w:rsidRDefault="009233CB" w:rsidP="007F177E">
      <w:pPr>
        <w:pStyle w:val="ListParagraph"/>
        <w:numPr>
          <w:ilvl w:val="0"/>
          <w:numId w:val="192"/>
        </w:numPr>
        <w:spacing w:before="120"/>
        <w:contextualSpacing w:val="0"/>
      </w:pPr>
      <w:r w:rsidRPr="009233CB">
        <w:t>The household needs to be relocated because of a household member’s participation in a witness protection program or in order to avoid reprisal as a result of providing information to a law enforcement agency or participation in a witness protection program, and such a transfer does not qualify as a Administrative Transfer.</w:t>
      </w:r>
    </w:p>
    <w:p w14:paraId="5D6040CC" w14:textId="77777777" w:rsidR="00E4173A" w:rsidRDefault="009233CB" w:rsidP="00E4173A">
      <w:r w:rsidRPr="009233CB">
        <w:t>Where Emergency Safety transfers other than VAWA are concerned, t</w:t>
      </w:r>
      <w:r w:rsidR="00EE5625" w:rsidRPr="009233CB">
        <w:t>he condition(s) must be certified in writing by</w:t>
      </w:r>
      <w:r w:rsidR="00EE5625">
        <w:t xml:space="preserve"> HHA</w:t>
      </w:r>
      <w:r w:rsidR="00B13D1A">
        <w:t xml:space="preserve"> </w:t>
      </w:r>
      <w:r w:rsidR="00E4173A">
        <w:t>or</w:t>
      </w:r>
      <w:r w:rsidRPr="009233CB">
        <w:t xml:space="preserve"> a local, State or Federal law enforcement agency. </w:t>
      </w:r>
      <w:bookmarkStart w:id="3310" w:name="_Hlk485195389"/>
      <w:bookmarkStart w:id="3311" w:name="_Hlk485195796"/>
      <w:r w:rsidR="0029497D">
        <w:t xml:space="preserve">On a case-by-case basis, HHA may allow a family to self-certify </w:t>
      </w:r>
      <w:r w:rsidR="008106C5">
        <w:t>their need for an Emergency Safety transfer.</w:t>
      </w:r>
    </w:p>
    <w:p w14:paraId="50A2BF34" w14:textId="77777777" w:rsidR="009233CB" w:rsidRDefault="009233CB" w:rsidP="00E4173A">
      <w:r w:rsidRPr="009233CB">
        <w:t>In order to request the emergency transfer under VAWA, HHA and the resident will follow the requirements under</w:t>
      </w:r>
      <w:bookmarkEnd w:id="3310"/>
      <w:bookmarkEnd w:id="3311"/>
      <w:r w:rsidRPr="009233CB">
        <w:t xml:space="preserve"> </w:t>
      </w:r>
      <w:r w:rsidRPr="009233CB">
        <w:rPr>
          <w:b/>
          <w:bCs/>
          <w:color w:val="0070C0"/>
        </w:rPr>
        <w:fldChar w:fldCharType="begin"/>
      </w:r>
      <w:r w:rsidRPr="009233CB">
        <w:rPr>
          <w:b/>
          <w:bCs/>
          <w:color w:val="0070C0"/>
        </w:rPr>
        <w:instrText xml:space="preserve"> REF _Ref144993796 \h  \* MERGEFORMAT </w:instrText>
      </w:r>
      <w:r w:rsidRPr="009233CB">
        <w:rPr>
          <w:b/>
          <w:bCs/>
          <w:color w:val="0070C0"/>
        </w:rPr>
      </w:r>
      <w:r w:rsidRPr="009233CB">
        <w:rPr>
          <w:b/>
          <w:bCs/>
          <w:color w:val="0070C0"/>
        </w:rPr>
        <w:fldChar w:fldCharType="separate"/>
      </w:r>
      <w:r w:rsidRPr="009233CB">
        <w:rPr>
          <w:b/>
          <w:bCs/>
          <w:color w:val="0070C0"/>
        </w:rPr>
        <w:t>APPENDIX C: VIOLENCE AGAINST WOMEN ACT (VAWA) POLICY</w:t>
      </w:r>
      <w:r w:rsidRPr="009233CB">
        <w:rPr>
          <w:b/>
          <w:bCs/>
          <w:color w:val="0070C0"/>
        </w:rPr>
        <w:fldChar w:fldCharType="end"/>
      </w:r>
      <w:r w:rsidRPr="009233CB">
        <w:t>.</w:t>
      </w:r>
    </w:p>
    <w:p w14:paraId="0E8E19B7" w14:textId="77777777" w:rsidR="00EC3531" w:rsidRPr="004A0BF8" w:rsidRDefault="003E3DE8" w:rsidP="00EC3531">
      <w:pPr>
        <w:pStyle w:val="Heading2"/>
      </w:pPr>
      <w:bookmarkStart w:id="3312" w:name="_Toc173222768"/>
      <w:bookmarkStart w:id="3313" w:name="_Toc200375824"/>
      <w:bookmarkStart w:id="3314" w:name="_Toc200377034"/>
      <w:r>
        <w:t>Administrative Transfers</w:t>
      </w:r>
      <w:bookmarkEnd w:id="3312"/>
      <w:bookmarkEnd w:id="3313"/>
      <w:bookmarkEnd w:id="3314"/>
    </w:p>
    <w:p w14:paraId="7C7D4390" w14:textId="77777777" w:rsidR="0084390E" w:rsidRDefault="004E3391" w:rsidP="003D1D41">
      <w:pPr>
        <w:tabs>
          <w:tab w:val="left" w:pos="1241"/>
        </w:tabs>
      </w:pPr>
      <w:r>
        <w:t>A</w:t>
      </w:r>
      <w:r w:rsidRPr="00A2158C">
        <w:t xml:space="preserve">dministrative Transfers are mandatory </w:t>
      </w:r>
      <w:r w:rsidR="003D1D41">
        <w:t>and are</w:t>
      </w:r>
      <w:r w:rsidRPr="00A2158C">
        <w:t xml:space="preserve"> categorized into three groups</w:t>
      </w:r>
      <w:r w:rsidR="003D1D41">
        <w:t>:</w:t>
      </w:r>
    </w:p>
    <w:p w14:paraId="6C95F374" w14:textId="77777777" w:rsidR="003D1D41" w:rsidRDefault="003D1D41" w:rsidP="007F177E">
      <w:pPr>
        <w:pStyle w:val="ListParagraph"/>
        <w:numPr>
          <w:ilvl w:val="0"/>
          <w:numId w:val="193"/>
        </w:numPr>
        <w:tabs>
          <w:tab w:val="left" w:pos="1241"/>
        </w:tabs>
        <w:contextualSpacing w:val="0"/>
      </w:pPr>
      <w:r w:rsidRPr="003D1D41">
        <w:rPr>
          <w:b/>
          <w:bCs/>
          <w:color w:val="0070C0"/>
        </w:rPr>
        <w:fldChar w:fldCharType="begin"/>
      </w:r>
      <w:r w:rsidRPr="003D1D41">
        <w:rPr>
          <w:b/>
          <w:bCs/>
          <w:color w:val="0070C0"/>
        </w:rPr>
        <w:instrText xml:space="preserve"> REF _Ref160547549 \h  \* MERGEFORMAT </w:instrText>
      </w:r>
      <w:r w:rsidRPr="003D1D41">
        <w:rPr>
          <w:b/>
          <w:bCs/>
          <w:color w:val="0070C0"/>
        </w:rPr>
      </w:r>
      <w:r w:rsidRPr="003D1D41">
        <w:rPr>
          <w:b/>
          <w:bCs/>
          <w:color w:val="0070C0"/>
        </w:rPr>
        <w:fldChar w:fldCharType="separate"/>
      </w:r>
      <w:r w:rsidRPr="003D1D41">
        <w:rPr>
          <w:b/>
          <w:bCs/>
          <w:color w:val="0070C0"/>
        </w:rPr>
        <w:t>Category 1 (Management Initiatives)</w:t>
      </w:r>
      <w:r w:rsidRPr="003D1D41">
        <w:rPr>
          <w:b/>
          <w:bCs/>
          <w:color w:val="0070C0"/>
        </w:rPr>
        <w:fldChar w:fldCharType="end"/>
      </w:r>
      <w:r>
        <w:t>;</w:t>
      </w:r>
    </w:p>
    <w:p w14:paraId="4FA9AAFE" w14:textId="77777777" w:rsidR="003D1D41" w:rsidRDefault="003D1D41" w:rsidP="007F177E">
      <w:pPr>
        <w:pStyle w:val="ListParagraph"/>
        <w:numPr>
          <w:ilvl w:val="0"/>
          <w:numId w:val="193"/>
        </w:numPr>
        <w:tabs>
          <w:tab w:val="left" w:pos="1241"/>
        </w:tabs>
        <w:contextualSpacing w:val="0"/>
      </w:pPr>
      <w:r w:rsidRPr="003D1D41">
        <w:rPr>
          <w:b/>
          <w:bCs/>
          <w:color w:val="0070C0"/>
        </w:rPr>
        <w:fldChar w:fldCharType="begin"/>
      </w:r>
      <w:r w:rsidRPr="003D1D41">
        <w:rPr>
          <w:b/>
          <w:bCs/>
          <w:color w:val="0070C0"/>
        </w:rPr>
        <w:instrText xml:space="preserve"> REF _Ref160547557 \h  \* MERGEFORMAT </w:instrText>
      </w:r>
      <w:r w:rsidRPr="003D1D41">
        <w:rPr>
          <w:b/>
          <w:bCs/>
          <w:color w:val="0070C0"/>
        </w:rPr>
      </w:r>
      <w:r w:rsidRPr="003D1D41">
        <w:rPr>
          <w:b/>
          <w:bCs/>
          <w:color w:val="0070C0"/>
        </w:rPr>
        <w:fldChar w:fldCharType="separate"/>
      </w:r>
      <w:r w:rsidRPr="003D1D41">
        <w:rPr>
          <w:b/>
          <w:bCs/>
          <w:color w:val="0070C0"/>
        </w:rPr>
        <w:t>Category 2 (Occupancy Issues Over- and Under-Housed Households)</w:t>
      </w:r>
      <w:r w:rsidRPr="003D1D41">
        <w:rPr>
          <w:b/>
          <w:bCs/>
          <w:color w:val="0070C0"/>
        </w:rPr>
        <w:fldChar w:fldCharType="end"/>
      </w:r>
      <w:r>
        <w:t>; and</w:t>
      </w:r>
    </w:p>
    <w:p w14:paraId="3B11A3DF" w14:textId="0419D99F" w:rsidR="003D1D41" w:rsidRDefault="003D1D41" w:rsidP="007F177E">
      <w:pPr>
        <w:pStyle w:val="ListParagraph"/>
        <w:numPr>
          <w:ilvl w:val="0"/>
          <w:numId w:val="193"/>
        </w:numPr>
        <w:tabs>
          <w:tab w:val="left" w:pos="1241"/>
        </w:tabs>
        <w:contextualSpacing w:val="0"/>
      </w:pPr>
      <w:r w:rsidRPr="003D1D41">
        <w:rPr>
          <w:b/>
          <w:bCs/>
          <w:color w:val="0070C0"/>
        </w:rPr>
        <w:fldChar w:fldCharType="begin"/>
      </w:r>
      <w:r w:rsidRPr="003D1D41">
        <w:rPr>
          <w:b/>
          <w:bCs/>
          <w:color w:val="0070C0"/>
        </w:rPr>
        <w:instrText xml:space="preserve"> REF _Ref160547566 \h  \* MERGEFORMAT </w:instrText>
      </w:r>
      <w:r w:rsidRPr="003D1D41">
        <w:rPr>
          <w:b/>
          <w:bCs/>
          <w:color w:val="0070C0"/>
        </w:rPr>
      </w:r>
      <w:r w:rsidRPr="003D1D41">
        <w:rPr>
          <w:b/>
          <w:bCs/>
          <w:color w:val="0070C0"/>
        </w:rPr>
        <w:fldChar w:fldCharType="separate"/>
      </w:r>
      <w:r w:rsidR="00EE04E9" w:rsidRPr="00EE04E9">
        <w:rPr>
          <w:b/>
          <w:bCs/>
          <w:color w:val="0070C0"/>
        </w:rPr>
        <w:t>Category 3 (Special Admission Transfers)</w:t>
      </w:r>
      <w:r w:rsidRPr="003D1D41">
        <w:rPr>
          <w:b/>
          <w:bCs/>
          <w:color w:val="0070C0"/>
        </w:rPr>
        <w:fldChar w:fldCharType="end"/>
      </w:r>
      <w:r>
        <w:t>.</w:t>
      </w:r>
    </w:p>
    <w:p w14:paraId="2EC8746F" w14:textId="77777777" w:rsidR="00AE4077" w:rsidRPr="00D746D0" w:rsidRDefault="0084390E" w:rsidP="00D746D0">
      <w:pPr>
        <w:tabs>
          <w:tab w:val="left" w:pos="1601"/>
        </w:tabs>
      </w:pPr>
      <w:r w:rsidRPr="006C72F4">
        <w:t>Transfers required by HHA are adverse action and subject to the notice requirements for adverse actions.</w:t>
      </w:r>
      <w:r w:rsidR="00AE4077" w:rsidRPr="006C72F4">
        <w:t xml:space="preserve"> </w:t>
      </w:r>
      <w:r w:rsidR="00D746D0" w:rsidRPr="006C72F4">
        <w:t xml:space="preserve">The family will be given </w:t>
      </w:r>
      <w:r w:rsidR="00D05013" w:rsidRPr="006C72F4">
        <w:t>30</w:t>
      </w:r>
      <w:r w:rsidR="00D746D0" w:rsidRPr="006C72F4">
        <w:t xml:space="preserve"> calendar days to vacate the unit after receipt of written notice. However, a</w:t>
      </w:r>
      <w:r w:rsidR="00AE4077" w:rsidRPr="006C72F4">
        <w:rPr>
          <w:szCs w:val="24"/>
        </w:rPr>
        <w:t>s an adverse action, the transfer is subject to the requirements regarding notices of adverse actions. If the family requests a grievance hearing within the required timeframe, HHA may not take action on the transfer until the conclusion of the grievance process.</w:t>
      </w:r>
    </w:p>
    <w:p w14:paraId="5B2798AB" w14:textId="77777777" w:rsidR="004E3391" w:rsidRPr="00A2158C" w:rsidRDefault="004E3391" w:rsidP="00677451">
      <w:pPr>
        <w:pStyle w:val="Heading3"/>
      </w:pPr>
      <w:bookmarkStart w:id="3315" w:name="_Toc137809117"/>
      <w:bookmarkStart w:id="3316" w:name="_Toc137809659"/>
      <w:bookmarkStart w:id="3317" w:name="_Toc137809903"/>
      <w:bookmarkStart w:id="3318" w:name="_Toc137810215"/>
      <w:bookmarkStart w:id="3319" w:name="_Toc138429548"/>
      <w:bookmarkStart w:id="3320" w:name="_Toc138430383"/>
      <w:bookmarkStart w:id="3321" w:name="_Toc138860637"/>
      <w:bookmarkStart w:id="3322" w:name="_Toc147141936"/>
      <w:bookmarkStart w:id="3323" w:name="_Ref160547549"/>
      <w:bookmarkStart w:id="3324" w:name="_Toc200375825"/>
      <w:r w:rsidRPr="00A2158C">
        <w:t>Category 1 (Management Initiatives)</w:t>
      </w:r>
      <w:bookmarkEnd w:id="3315"/>
      <w:bookmarkEnd w:id="3316"/>
      <w:bookmarkEnd w:id="3317"/>
      <w:bookmarkEnd w:id="3318"/>
      <w:bookmarkEnd w:id="3319"/>
      <w:bookmarkEnd w:id="3320"/>
      <w:bookmarkEnd w:id="3321"/>
      <w:bookmarkEnd w:id="3322"/>
      <w:bookmarkEnd w:id="3323"/>
      <w:bookmarkEnd w:id="3324"/>
      <w:r w:rsidRPr="00A2158C">
        <w:t xml:space="preserve"> </w:t>
      </w:r>
    </w:p>
    <w:p w14:paraId="1918C9DD" w14:textId="77777777" w:rsidR="00475353" w:rsidRPr="006C72F4" w:rsidRDefault="004E3391" w:rsidP="00947243">
      <w:pPr>
        <w:tabs>
          <w:tab w:val="left" w:pos="1601"/>
        </w:tabs>
      </w:pPr>
      <w:r w:rsidRPr="00A2158C">
        <w:t>Category 1 Management Initiatives Transfers are mandatory when HHA determines tha</w:t>
      </w:r>
      <w:r w:rsidR="0006724D">
        <w:t>t</w:t>
      </w:r>
      <w:r w:rsidR="00947243">
        <w:t xml:space="preserve"> t</w:t>
      </w:r>
      <w:r w:rsidRPr="002168A6">
        <w:t xml:space="preserve">ransfers </w:t>
      </w:r>
      <w:r w:rsidR="008C0BAA" w:rsidRPr="002168A6">
        <w:t xml:space="preserve">are </w:t>
      </w:r>
      <w:r w:rsidR="008C0BAA" w:rsidRPr="006C72F4">
        <w:t>necessary</w:t>
      </w:r>
      <w:r w:rsidRPr="006C72F4">
        <w:t xml:space="preserve"> to permit repairs related</w:t>
      </w:r>
      <w:r w:rsidR="008C0BAA" w:rsidRPr="006C72F4">
        <w:t xml:space="preserve"> </w:t>
      </w:r>
      <w:r w:rsidRPr="006C72F4">
        <w:t xml:space="preserve">but limited to renovations, revitalization, demolition and/or disposition. </w:t>
      </w:r>
      <w:r w:rsidR="00475353" w:rsidRPr="006C72F4">
        <w:rPr>
          <w:szCs w:val="24"/>
        </w:rPr>
        <w:t>In cases of revitalization or rehabilitation, the family may be offered a temporary relocation if allowed under Relocation Act provisions, and may be allowed to return to their unit, depending on contractual and legal obligations, once revitalization or rehabilitation is complete.</w:t>
      </w:r>
    </w:p>
    <w:p w14:paraId="6704F2C8" w14:textId="77777777" w:rsidR="004E3391" w:rsidRPr="004B66D3" w:rsidRDefault="004E3391" w:rsidP="000278D7">
      <w:pPr>
        <w:tabs>
          <w:tab w:val="left" w:pos="1601"/>
        </w:tabs>
      </w:pPr>
      <w:r w:rsidRPr="006C72F4">
        <w:t>The</w:t>
      </w:r>
      <w:r w:rsidR="004B66D3" w:rsidRPr="006C72F4">
        <w:t>se transfers</w:t>
      </w:r>
      <w:r w:rsidRPr="006C72F4">
        <w:t xml:space="preserve"> will take priority</w:t>
      </w:r>
      <w:r w:rsidRPr="004B66D3">
        <w:t xml:space="preserve"> over new</w:t>
      </w:r>
      <w:r w:rsidRPr="004B66D3">
        <w:rPr>
          <w:spacing w:val="-3"/>
        </w:rPr>
        <w:t xml:space="preserve"> </w:t>
      </w:r>
      <w:r w:rsidRPr="004B66D3">
        <w:t>admissions.</w:t>
      </w:r>
    </w:p>
    <w:p w14:paraId="43E2D825" w14:textId="77777777" w:rsidR="004E3391" w:rsidRPr="0016028D" w:rsidRDefault="004E3391" w:rsidP="00677451">
      <w:pPr>
        <w:pStyle w:val="Heading3"/>
      </w:pPr>
      <w:bookmarkStart w:id="3325" w:name="_Toc137809118"/>
      <w:bookmarkStart w:id="3326" w:name="_Toc137809660"/>
      <w:bookmarkStart w:id="3327" w:name="_Toc137809904"/>
      <w:bookmarkStart w:id="3328" w:name="_Toc137810216"/>
      <w:bookmarkStart w:id="3329" w:name="_Toc138429549"/>
      <w:bookmarkStart w:id="3330" w:name="_Toc138430384"/>
      <w:bookmarkStart w:id="3331" w:name="_Toc138860638"/>
      <w:bookmarkStart w:id="3332" w:name="_Toc147141937"/>
      <w:bookmarkStart w:id="3333" w:name="_Ref160547557"/>
      <w:bookmarkStart w:id="3334" w:name="_Toc200375826"/>
      <w:r w:rsidRPr="0016028D">
        <w:t>Category 2 (</w:t>
      </w:r>
      <w:r w:rsidR="00691E4D">
        <w:t xml:space="preserve">Occupancy Issues </w:t>
      </w:r>
      <w:r w:rsidRPr="00691E4D">
        <w:t>Over</w:t>
      </w:r>
      <w:r w:rsidR="000278D7" w:rsidRPr="00691E4D">
        <w:t>-</w:t>
      </w:r>
      <w:r w:rsidRPr="00691E4D">
        <w:t xml:space="preserve"> and Under</w:t>
      </w:r>
      <w:r w:rsidR="000278D7" w:rsidRPr="00691E4D">
        <w:t>-</w:t>
      </w:r>
      <w:r w:rsidRPr="00691E4D">
        <w:t xml:space="preserve">Housed </w:t>
      </w:r>
      <w:r w:rsidR="000278D7" w:rsidRPr="00691E4D">
        <w:t>Households</w:t>
      </w:r>
      <w:r w:rsidRPr="0016028D">
        <w:t>)</w:t>
      </w:r>
      <w:bookmarkEnd w:id="3325"/>
      <w:bookmarkEnd w:id="3326"/>
      <w:bookmarkEnd w:id="3327"/>
      <w:bookmarkEnd w:id="3328"/>
      <w:bookmarkEnd w:id="3329"/>
      <w:bookmarkEnd w:id="3330"/>
      <w:bookmarkEnd w:id="3331"/>
      <w:bookmarkEnd w:id="3332"/>
      <w:bookmarkEnd w:id="3333"/>
      <w:bookmarkEnd w:id="3334"/>
    </w:p>
    <w:p w14:paraId="708AD616" w14:textId="77777777" w:rsidR="008C15C6" w:rsidRDefault="004E3391" w:rsidP="001934EA">
      <w:pPr>
        <w:tabs>
          <w:tab w:val="left" w:pos="1601"/>
        </w:tabs>
      </w:pPr>
      <w:r w:rsidRPr="00A2158C">
        <w:rPr>
          <w:iCs/>
        </w:rPr>
        <w:t xml:space="preserve">Category 2 </w:t>
      </w:r>
      <w:r w:rsidR="008C15C6">
        <w:rPr>
          <w:iCs/>
        </w:rPr>
        <w:t>Occupancy Issues Transfers are</w:t>
      </w:r>
      <w:r w:rsidRPr="00A2158C">
        <w:t xml:space="preserve"> to resolve </w:t>
      </w:r>
      <w:r w:rsidR="00891A8D">
        <w:t>situations wher</w:t>
      </w:r>
      <w:r w:rsidR="008C15C6">
        <w:t>e:</w:t>
      </w:r>
    </w:p>
    <w:p w14:paraId="1943F13F" w14:textId="77777777" w:rsidR="00F44FAC" w:rsidRPr="006C72F4" w:rsidRDefault="008C15C6" w:rsidP="007F177E">
      <w:pPr>
        <w:pStyle w:val="ListParagraph"/>
        <w:numPr>
          <w:ilvl w:val="0"/>
          <w:numId w:val="286"/>
        </w:numPr>
        <w:tabs>
          <w:tab w:val="left" w:pos="1601"/>
        </w:tabs>
        <w:contextualSpacing w:val="0"/>
      </w:pPr>
      <w:r>
        <w:t>A</w:t>
      </w:r>
      <w:r w:rsidR="00891A8D">
        <w:t xml:space="preserve"> household-size does</w:t>
      </w:r>
      <w:r w:rsidR="004E3391" w:rsidRPr="00A2158C">
        <w:t xml:space="preserve"> not comply with HHA’s occupancy guidelines</w:t>
      </w:r>
      <w:r>
        <w:t>; w</w:t>
      </w:r>
      <w:r w:rsidR="004E3391" w:rsidRPr="00A2158C">
        <w:t>hen households are ruled as under</w:t>
      </w:r>
      <w:r w:rsidR="00891A8D">
        <w:t>-</w:t>
      </w:r>
      <w:r w:rsidR="004E3391" w:rsidRPr="00A2158C">
        <w:t xml:space="preserve"> or over-housed, they will be transferred</w:t>
      </w:r>
      <w:r w:rsidR="00F63B71">
        <w:t xml:space="preserve"> to an appropriate size unit either within </w:t>
      </w:r>
      <w:r w:rsidR="00F63B71" w:rsidRPr="006C72F4">
        <w:t>the property (preferred) or to another property in the same program</w:t>
      </w:r>
      <w:r w:rsidRPr="006C72F4">
        <w:t>; and/or</w:t>
      </w:r>
    </w:p>
    <w:p w14:paraId="5E8ABD0D" w14:textId="77777777" w:rsidR="00F44FAC" w:rsidRPr="006C72F4" w:rsidRDefault="00F44FAC" w:rsidP="007F177E">
      <w:pPr>
        <w:pStyle w:val="ListParagraph"/>
        <w:numPr>
          <w:ilvl w:val="1"/>
          <w:numId w:val="287"/>
        </w:numPr>
        <w:ind w:left="1440"/>
        <w:contextualSpacing w:val="0"/>
      </w:pPr>
      <w:r w:rsidRPr="006C72F4">
        <w:rPr>
          <w:szCs w:val="24"/>
        </w:rPr>
        <w:t>For purposes of the transfer policy, over-housed and under-housed are defined as follows:</w:t>
      </w:r>
    </w:p>
    <w:p w14:paraId="0B837A49" w14:textId="77777777" w:rsidR="00F44FAC" w:rsidRPr="006C72F4" w:rsidRDefault="00F44FAC" w:rsidP="007F177E">
      <w:pPr>
        <w:pStyle w:val="ListParagraph"/>
        <w:numPr>
          <w:ilvl w:val="2"/>
          <w:numId w:val="288"/>
        </w:numPr>
        <w:tabs>
          <w:tab w:val="left" w:pos="1601"/>
        </w:tabs>
        <w:ind w:left="2160"/>
        <w:contextualSpacing w:val="0"/>
      </w:pPr>
      <w:r w:rsidRPr="006C72F4">
        <w:rPr>
          <w:i/>
          <w:szCs w:val="24"/>
        </w:rPr>
        <w:t>Over</w:t>
      </w:r>
      <w:r w:rsidRPr="006C72F4">
        <w:rPr>
          <w:szCs w:val="24"/>
        </w:rPr>
        <w:t>-</w:t>
      </w:r>
      <w:r w:rsidRPr="006C72F4">
        <w:rPr>
          <w:i/>
          <w:iCs/>
          <w:szCs w:val="24"/>
        </w:rPr>
        <w:t>ho</w:t>
      </w:r>
      <w:r w:rsidRPr="006C72F4">
        <w:rPr>
          <w:i/>
          <w:szCs w:val="24"/>
        </w:rPr>
        <w:t>used:</w:t>
      </w:r>
      <w:r w:rsidRPr="006C72F4">
        <w:rPr>
          <w:szCs w:val="24"/>
        </w:rPr>
        <w:t xml:space="preserve"> the family no longer qualifies for the bedroom size in which they are living based on HHA’s occupancy standards </w:t>
      </w:r>
    </w:p>
    <w:p w14:paraId="4DF6FED6" w14:textId="77777777" w:rsidR="00F44FAC" w:rsidRPr="006C72F4" w:rsidRDefault="00F44FAC" w:rsidP="007F177E">
      <w:pPr>
        <w:pStyle w:val="ListParagraph"/>
        <w:numPr>
          <w:ilvl w:val="2"/>
          <w:numId w:val="288"/>
        </w:numPr>
        <w:tabs>
          <w:tab w:val="left" w:pos="1601"/>
        </w:tabs>
        <w:ind w:left="2160"/>
        <w:contextualSpacing w:val="0"/>
      </w:pPr>
      <w:r w:rsidRPr="006C72F4">
        <w:rPr>
          <w:i/>
          <w:iCs/>
          <w:szCs w:val="24"/>
        </w:rPr>
        <w:t>Under-housed</w:t>
      </w:r>
      <w:r w:rsidRPr="006C72F4">
        <w:rPr>
          <w:szCs w:val="24"/>
        </w:rPr>
        <w:t>: the number of household members exceeds the maximum number of persons allowed for the unit size in which the family resides,</w:t>
      </w:r>
    </w:p>
    <w:p w14:paraId="179B3A0D" w14:textId="77777777" w:rsidR="00F44FAC" w:rsidRPr="006C72F4" w:rsidRDefault="00F44FAC" w:rsidP="007F177E">
      <w:pPr>
        <w:pStyle w:val="ListParagraph"/>
        <w:numPr>
          <w:ilvl w:val="1"/>
          <w:numId w:val="287"/>
        </w:numPr>
        <w:ind w:left="1440"/>
        <w:contextualSpacing w:val="0"/>
        <w:rPr>
          <w:szCs w:val="24"/>
        </w:rPr>
      </w:pPr>
      <w:r w:rsidRPr="006C72F4">
        <w:rPr>
          <w:szCs w:val="24"/>
        </w:rPr>
        <w:t>HHA may elect not to transfer an over-housed family in order to prevent vacancies.</w:t>
      </w:r>
    </w:p>
    <w:p w14:paraId="390EC430" w14:textId="77777777" w:rsidR="00A16BB9" w:rsidRPr="0013001B" w:rsidRDefault="00F44FAC" w:rsidP="007F177E">
      <w:pPr>
        <w:pStyle w:val="ListParagraph"/>
        <w:numPr>
          <w:ilvl w:val="1"/>
          <w:numId w:val="287"/>
        </w:numPr>
        <w:ind w:left="1440"/>
        <w:contextualSpacing w:val="0"/>
        <w:rPr>
          <w:szCs w:val="24"/>
        </w:rPr>
      </w:pPr>
      <w:r w:rsidRPr="006C72F4">
        <w:rPr>
          <w:szCs w:val="24"/>
        </w:rPr>
        <w:t>Families that request and are granted an exception to the occupancy standards (for either a larger or smaller size unit) in accordance with the policies in this ACOP. will only be required to transfer if it is necessary to comply with the approved exception.</w:t>
      </w:r>
    </w:p>
    <w:p w14:paraId="06893983" w14:textId="77777777" w:rsidR="008C15C6" w:rsidRPr="006C72F4" w:rsidRDefault="008C15C6" w:rsidP="007F177E">
      <w:pPr>
        <w:pStyle w:val="ListParagraph"/>
        <w:numPr>
          <w:ilvl w:val="0"/>
          <w:numId w:val="286"/>
        </w:numPr>
        <w:tabs>
          <w:tab w:val="left" w:pos="1601"/>
        </w:tabs>
        <w:contextualSpacing w:val="0"/>
      </w:pPr>
      <w:r w:rsidRPr="006C72F4">
        <w:t>A household</w:t>
      </w:r>
      <w:r w:rsidR="00411104" w:rsidRPr="006C72F4">
        <w:t xml:space="preserve"> in an accessible unit with features not needed by the family must move</w:t>
      </w:r>
      <w:r w:rsidR="00237131" w:rsidRPr="006C72F4">
        <w:t xml:space="preserve"> to make the unit available for a family who needs the unit’s accessible features.</w:t>
      </w:r>
    </w:p>
    <w:p w14:paraId="5970026C" w14:textId="77777777" w:rsidR="00F44FAC" w:rsidRPr="006C72F4" w:rsidRDefault="00F44FAC" w:rsidP="007F177E">
      <w:pPr>
        <w:pStyle w:val="ListParagraph"/>
        <w:numPr>
          <w:ilvl w:val="1"/>
          <w:numId w:val="289"/>
        </w:numPr>
        <w:ind w:left="1440"/>
        <w:contextualSpacing w:val="0"/>
        <w:rPr>
          <w:szCs w:val="24"/>
        </w:rPr>
      </w:pPr>
      <w:r w:rsidRPr="006C72F4">
        <w:rPr>
          <w:szCs w:val="24"/>
        </w:rPr>
        <w:t xml:space="preserve">When a family is initially given an accessible unit, but does not require the accessible features, HHA will </w:t>
      </w:r>
      <w:r w:rsidRPr="006C72F4">
        <w:t>require</w:t>
      </w:r>
      <w:r w:rsidRPr="006C72F4">
        <w:rPr>
          <w:szCs w:val="24"/>
        </w:rPr>
        <w:t xml:space="preserve"> the family to agree to move to a non-accessible unit when it becomes available.</w:t>
      </w:r>
    </w:p>
    <w:p w14:paraId="3919CD0A" w14:textId="77777777" w:rsidR="00F44FAC" w:rsidRPr="006C72F4" w:rsidRDefault="00F44FAC" w:rsidP="007F177E">
      <w:pPr>
        <w:pStyle w:val="ListParagraph"/>
        <w:numPr>
          <w:ilvl w:val="1"/>
          <w:numId w:val="289"/>
        </w:numPr>
        <w:ind w:left="1440"/>
        <w:contextualSpacing w:val="0"/>
        <w:rPr>
          <w:szCs w:val="24"/>
        </w:rPr>
      </w:pPr>
      <w:r w:rsidRPr="006C72F4">
        <w:rPr>
          <w:szCs w:val="24"/>
        </w:rPr>
        <w:t>When a non-accessible unit becomes available, HHA will transfer a family living in an accessible unit that does not require the accessible features, to an available unit that is not accessible. HHA may wait until a disabled resident requires the accessible unit before transferring the family that does not require the accessible features out of the accessible unit.</w:t>
      </w:r>
    </w:p>
    <w:p w14:paraId="2DDBD060" w14:textId="77777777" w:rsidR="004E3391" w:rsidRPr="00A2158C" w:rsidRDefault="004E3391" w:rsidP="00237131">
      <w:pPr>
        <w:tabs>
          <w:tab w:val="left" w:pos="1601"/>
        </w:tabs>
      </w:pPr>
      <w:r w:rsidRPr="00A2158C">
        <w:t>These transfers shall take priorities over new</w:t>
      </w:r>
      <w:r w:rsidRPr="00A2158C">
        <w:rPr>
          <w:spacing w:val="-13"/>
        </w:rPr>
        <w:t xml:space="preserve"> </w:t>
      </w:r>
      <w:r w:rsidRPr="00A2158C">
        <w:t>admissions.</w:t>
      </w:r>
    </w:p>
    <w:p w14:paraId="64D5C140" w14:textId="77777777" w:rsidR="004E3391" w:rsidRPr="0016028D" w:rsidRDefault="004E3391" w:rsidP="00677451">
      <w:pPr>
        <w:pStyle w:val="Heading3"/>
      </w:pPr>
      <w:bookmarkStart w:id="3335" w:name="_Toc137809119"/>
      <w:bookmarkStart w:id="3336" w:name="_Toc137809661"/>
      <w:bookmarkStart w:id="3337" w:name="_Toc137809905"/>
      <w:bookmarkStart w:id="3338" w:name="_Toc137810217"/>
      <w:bookmarkStart w:id="3339" w:name="_Toc138429550"/>
      <w:bookmarkStart w:id="3340" w:name="_Toc138430385"/>
      <w:bookmarkStart w:id="3341" w:name="_Toc138860639"/>
      <w:bookmarkStart w:id="3342" w:name="_Toc147141938"/>
      <w:bookmarkStart w:id="3343" w:name="_Ref160547566"/>
      <w:bookmarkStart w:id="3344" w:name="_Toc200375827"/>
      <w:r w:rsidRPr="0016028D">
        <w:t>Category 3 (</w:t>
      </w:r>
      <w:r w:rsidR="00D4719D">
        <w:t>Special Admission</w:t>
      </w:r>
      <w:r w:rsidRPr="0016028D">
        <w:t xml:space="preserve"> Transfers)</w:t>
      </w:r>
      <w:bookmarkEnd w:id="3335"/>
      <w:bookmarkEnd w:id="3336"/>
      <w:bookmarkEnd w:id="3337"/>
      <w:bookmarkEnd w:id="3338"/>
      <w:bookmarkEnd w:id="3339"/>
      <w:bookmarkEnd w:id="3340"/>
      <w:bookmarkEnd w:id="3341"/>
      <w:bookmarkEnd w:id="3342"/>
      <w:bookmarkEnd w:id="3343"/>
      <w:bookmarkEnd w:id="3344"/>
      <w:r w:rsidRPr="0016028D">
        <w:t xml:space="preserve"> </w:t>
      </w:r>
    </w:p>
    <w:p w14:paraId="77638DF0" w14:textId="77777777" w:rsidR="004E3391" w:rsidRPr="00A2158C" w:rsidRDefault="004E3391" w:rsidP="004E3391">
      <w:pPr>
        <w:tabs>
          <w:tab w:val="left" w:pos="1601"/>
        </w:tabs>
      </w:pPr>
      <w:r w:rsidRPr="00A2158C">
        <w:t xml:space="preserve">Category 3 </w:t>
      </w:r>
      <w:r w:rsidR="008301DA">
        <w:t>Special Admission</w:t>
      </w:r>
      <w:r w:rsidRPr="00A2158C">
        <w:t xml:space="preserve"> Transfers </w:t>
      </w:r>
      <w:r w:rsidR="008301DA">
        <w:t xml:space="preserve">(see </w:t>
      </w:r>
      <w:r w:rsidR="008301DA" w:rsidRPr="008301DA">
        <w:rPr>
          <w:b/>
          <w:bCs/>
          <w:color w:val="0070C0"/>
        </w:rPr>
        <w:fldChar w:fldCharType="begin"/>
      </w:r>
      <w:r w:rsidR="008301DA" w:rsidRPr="008301DA">
        <w:rPr>
          <w:b/>
          <w:bCs/>
          <w:color w:val="0070C0"/>
        </w:rPr>
        <w:instrText xml:space="preserve"> REF _Ref163642641 \h  \* MERGEFORMAT </w:instrText>
      </w:r>
      <w:r w:rsidR="008301DA" w:rsidRPr="008301DA">
        <w:rPr>
          <w:b/>
          <w:bCs/>
          <w:color w:val="0070C0"/>
        </w:rPr>
      </w:r>
      <w:r w:rsidR="008301DA" w:rsidRPr="008301DA">
        <w:rPr>
          <w:b/>
          <w:bCs/>
          <w:color w:val="0070C0"/>
        </w:rPr>
        <w:fldChar w:fldCharType="separate"/>
      </w:r>
      <w:r w:rsidR="008301DA" w:rsidRPr="008301DA">
        <w:rPr>
          <w:b/>
          <w:bCs/>
          <w:color w:val="0070C0"/>
        </w:rPr>
        <w:t>Special Admissions for Continually Assisted Families</w:t>
      </w:r>
      <w:r w:rsidR="008301DA" w:rsidRPr="008301DA">
        <w:rPr>
          <w:b/>
          <w:bCs/>
          <w:color w:val="0070C0"/>
        </w:rPr>
        <w:fldChar w:fldCharType="end"/>
      </w:r>
      <w:r w:rsidR="008301DA">
        <w:t xml:space="preserve">) </w:t>
      </w:r>
      <w:r w:rsidR="00E16352">
        <w:t xml:space="preserve">may </w:t>
      </w:r>
      <w:r w:rsidRPr="00A2158C">
        <w:t xml:space="preserve">be processed to satisfy requirement for </w:t>
      </w:r>
      <w:r w:rsidR="00D91415" w:rsidRPr="006C72F4">
        <w:t>non-public housing</w:t>
      </w:r>
      <w:r w:rsidR="00D91415">
        <w:t xml:space="preserve"> </w:t>
      </w:r>
      <w:r w:rsidRPr="00A2158C">
        <w:t>households at tax credit properties whose incomes have declined</w:t>
      </w:r>
      <w:r w:rsidR="00A97FF8">
        <w:t>.</w:t>
      </w:r>
      <w:r w:rsidRPr="00A2158C">
        <w:t xml:space="preserve"> </w:t>
      </w:r>
    </w:p>
    <w:p w14:paraId="41491A49" w14:textId="77777777" w:rsidR="00EC3531" w:rsidRPr="009709BC" w:rsidRDefault="00EC3531" w:rsidP="00677451">
      <w:pPr>
        <w:pStyle w:val="Heading3"/>
      </w:pPr>
      <w:bookmarkStart w:id="3345" w:name="_Toc106038011"/>
      <w:bookmarkStart w:id="3346" w:name="_Toc106201650"/>
      <w:bookmarkStart w:id="3347" w:name="_Toc106202169"/>
      <w:bookmarkStart w:id="3348" w:name="_Toc106202695"/>
      <w:bookmarkStart w:id="3349" w:name="_Toc113345151"/>
      <w:bookmarkStart w:id="3350" w:name="_Toc137461895"/>
      <w:bookmarkStart w:id="3351" w:name="_Toc137471486"/>
      <w:bookmarkStart w:id="3352" w:name="_Toc137471995"/>
      <w:bookmarkStart w:id="3353" w:name="_Toc200375828"/>
      <w:r w:rsidRPr="009709BC">
        <w:t>Cost of Transfer</w:t>
      </w:r>
      <w:r w:rsidR="00A3151B">
        <w:t>:</w:t>
      </w:r>
      <w:r w:rsidRPr="009709BC">
        <w:t xml:space="preserve"> </w:t>
      </w:r>
      <w:r w:rsidR="00920435">
        <w:t>Administrative</w:t>
      </w:r>
      <w:r w:rsidRPr="009709BC">
        <w:t xml:space="preserve"> Transfers</w:t>
      </w:r>
      <w:bookmarkEnd w:id="3345"/>
      <w:bookmarkEnd w:id="3346"/>
      <w:bookmarkEnd w:id="3347"/>
      <w:bookmarkEnd w:id="3348"/>
      <w:bookmarkEnd w:id="3349"/>
      <w:bookmarkEnd w:id="3350"/>
      <w:bookmarkEnd w:id="3351"/>
      <w:bookmarkEnd w:id="3352"/>
      <w:bookmarkEnd w:id="3353"/>
    </w:p>
    <w:p w14:paraId="2C824427" w14:textId="77777777" w:rsidR="00EC3531" w:rsidRPr="009709BC" w:rsidRDefault="00A73199" w:rsidP="00EC3531">
      <w:pPr>
        <w:rPr>
          <w:szCs w:val="24"/>
        </w:rPr>
      </w:pPr>
      <w:r>
        <w:rPr>
          <w:szCs w:val="24"/>
        </w:rPr>
        <w:t>HHA</w:t>
      </w:r>
      <w:r w:rsidR="00EC3531" w:rsidRPr="009709BC">
        <w:rPr>
          <w:szCs w:val="24"/>
        </w:rPr>
        <w:t xml:space="preserve"> will bear the reasonable costs of transfers that </w:t>
      </w:r>
      <w:r>
        <w:rPr>
          <w:szCs w:val="24"/>
        </w:rPr>
        <w:t>HHA</w:t>
      </w:r>
      <w:r w:rsidR="00EC3531" w:rsidRPr="009709BC">
        <w:rPr>
          <w:szCs w:val="24"/>
        </w:rPr>
        <w:t xml:space="preserve"> requires, except that residents will be required to bear the cost of occupancy standards transfers. </w:t>
      </w:r>
    </w:p>
    <w:p w14:paraId="1C7D59A5" w14:textId="77777777" w:rsidR="00EC3531" w:rsidRPr="009709BC" w:rsidRDefault="00EC3531" w:rsidP="00EC3531">
      <w:pPr>
        <w:rPr>
          <w:szCs w:val="24"/>
        </w:rPr>
      </w:pPr>
      <w:r w:rsidRPr="009709BC">
        <w:rPr>
          <w:szCs w:val="24"/>
        </w:rPr>
        <w:t>The reasonable costs of transfers include the cost of packing, moving, and unloading.</w:t>
      </w:r>
    </w:p>
    <w:p w14:paraId="0FE4E1BE" w14:textId="77777777" w:rsidR="00EC3531" w:rsidRPr="009709BC" w:rsidRDefault="00A73199" w:rsidP="00EC3531">
      <w:pPr>
        <w:rPr>
          <w:szCs w:val="24"/>
        </w:rPr>
      </w:pPr>
      <w:r>
        <w:rPr>
          <w:szCs w:val="24"/>
        </w:rPr>
        <w:t>HHA</w:t>
      </w:r>
      <w:r w:rsidR="00EC3531" w:rsidRPr="009709BC">
        <w:rPr>
          <w:szCs w:val="24"/>
        </w:rPr>
        <w:t xml:space="preserve"> will establish a moving allowance based on the typical costs in the community of packing, moving, and unloading. To establish typical costs, </w:t>
      </w:r>
      <w:r>
        <w:rPr>
          <w:szCs w:val="24"/>
        </w:rPr>
        <w:t>HHA</w:t>
      </w:r>
      <w:r w:rsidR="00EC3531" w:rsidRPr="009709BC">
        <w:rPr>
          <w:szCs w:val="24"/>
        </w:rPr>
        <w:t xml:space="preserve"> will collect information from companies in the community that provide these services. </w:t>
      </w:r>
    </w:p>
    <w:p w14:paraId="5AB4DE7C" w14:textId="77777777" w:rsidR="00EC3531" w:rsidRPr="009709BC" w:rsidRDefault="00A73199" w:rsidP="00EC3531">
      <w:pPr>
        <w:rPr>
          <w:szCs w:val="24"/>
        </w:rPr>
      </w:pPr>
      <w:r>
        <w:rPr>
          <w:szCs w:val="24"/>
        </w:rPr>
        <w:t>HHA</w:t>
      </w:r>
      <w:r w:rsidR="00EC3531" w:rsidRPr="009709BC">
        <w:rPr>
          <w:szCs w:val="24"/>
        </w:rPr>
        <w:t xml:space="preserve"> will reimburse the family for eligible out-of-pocket moving expenses up to the </w:t>
      </w:r>
      <w:r>
        <w:rPr>
          <w:szCs w:val="24"/>
        </w:rPr>
        <w:t>HHA</w:t>
      </w:r>
      <w:r w:rsidR="00EC3531" w:rsidRPr="009709BC">
        <w:rPr>
          <w:szCs w:val="24"/>
        </w:rPr>
        <w:t>’s established moving allowance.</w:t>
      </w:r>
    </w:p>
    <w:p w14:paraId="67C8182E" w14:textId="77777777" w:rsidR="00EC3531" w:rsidRPr="009709BC" w:rsidRDefault="00F65AE9" w:rsidP="00EC3531">
      <w:pPr>
        <w:pStyle w:val="Heading2"/>
      </w:pPr>
      <w:bookmarkStart w:id="3354" w:name="_Toc173222769"/>
      <w:bookmarkStart w:id="3355" w:name="_Toc200375829"/>
      <w:bookmarkStart w:id="3356" w:name="_Toc200377035"/>
      <w:r>
        <w:t>Resident-</w:t>
      </w:r>
      <w:r w:rsidR="00A472CD">
        <w:t>Initiated</w:t>
      </w:r>
      <w:r>
        <w:t xml:space="preserve"> Transfers</w:t>
      </w:r>
      <w:bookmarkEnd w:id="3354"/>
      <w:bookmarkEnd w:id="3355"/>
      <w:bookmarkEnd w:id="3356"/>
    </w:p>
    <w:p w14:paraId="02549473" w14:textId="77777777" w:rsidR="00EC3531" w:rsidRPr="009709BC" w:rsidRDefault="00EC3531" w:rsidP="00615937">
      <w:pPr>
        <w:rPr>
          <w:rFonts w:cs="Arial"/>
          <w:szCs w:val="20"/>
        </w:rPr>
      </w:pPr>
      <w:r w:rsidRPr="009709BC">
        <w:rPr>
          <w:rFonts w:cs="Arial"/>
          <w:szCs w:val="20"/>
        </w:rPr>
        <w:t xml:space="preserve">Transfers that are </w:t>
      </w:r>
      <w:r w:rsidR="007F7AAE">
        <w:rPr>
          <w:rFonts w:cs="Arial"/>
          <w:szCs w:val="20"/>
        </w:rPr>
        <w:t>resident</w:t>
      </w:r>
      <w:r w:rsidRPr="009709BC">
        <w:rPr>
          <w:rFonts w:cs="Arial"/>
          <w:szCs w:val="20"/>
        </w:rPr>
        <w:t xml:space="preserve">-initiated are not mandatory. The following is the list of </w:t>
      </w:r>
      <w:r w:rsidR="00A73199">
        <w:rPr>
          <w:rFonts w:cs="Arial"/>
          <w:szCs w:val="20"/>
        </w:rPr>
        <w:t>HHA</w:t>
      </w:r>
      <w:r w:rsidRPr="009709BC">
        <w:rPr>
          <w:rFonts w:cs="Arial"/>
          <w:szCs w:val="20"/>
        </w:rPr>
        <w:t xml:space="preserve"> transfers that are tenant-initiated:</w:t>
      </w:r>
    </w:p>
    <w:p w14:paraId="01CFBD4C" w14:textId="77777777" w:rsidR="00EC3531" w:rsidRPr="009709BC" w:rsidRDefault="00EC3531" w:rsidP="007F177E">
      <w:pPr>
        <w:widowControl w:val="0"/>
        <w:numPr>
          <w:ilvl w:val="0"/>
          <w:numId w:val="174"/>
        </w:numPr>
        <w:rPr>
          <w:rFonts w:cs="Arial"/>
          <w:szCs w:val="20"/>
        </w:rPr>
      </w:pPr>
      <w:r w:rsidRPr="009709BC">
        <w:rPr>
          <w:rFonts w:cs="Arial"/>
          <w:szCs w:val="20"/>
        </w:rPr>
        <w:t xml:space="preserve">Emergency </w:t>
      </w:r>
      <w:r w:rsidR="0078703F">
        <w:rPr>
          <w:rFonts w:cs="Arial"/>
          <w:szCs w:val="20"/>
        </w:rPr>
        <w:t xml:space="preserve">Personal </w:t>
      </w:r>
      <w:r w:rsidRPr="009709BC">
        <w:rPr>
          <w:rFonts w:cs="Arial"/>
          <w:szCs w:val="20"/>
        </w:rPr>
        <w:t>Safety,</w:t>
      </w:r>
    </w:p>
    <w:p w14:paraId="199DC4F6" w14:textId="77777777" w:rsidR="001E103F" w:rsidRDefault="00EC3531" w:rsidP="007F177E">
      <w:pPr>
        <w:widowControl w:val="0"/>
        <w:numPr>
          <w:ilvl w:val="0"/>
          <w:numId w:val="174"/>
        </w:numPr>
        <w:rPr>
          <w:rFonts w:cs="Arial"/>
          <w:szCs w:val="20"/>
        </w:rPr>
      </w:pPr>
      <w:r w:rsidRPr="009709BC">
        <w:rPr>
          <w:rFonts w:cs="Arial"/>
          <w:szCs w:val="20"/>
        </w:rPr>
        <w:t>Reasonable Accommodation</w:t>
      </w:r>
      <w:r w:rsidR="00A472CD">
        <w:rPr>
          <w:rFonts w:cs="Arial"/>
          <w:szCs w:val="20"/>
        </w:rPr>
        <w:t>,</w:t>
      </w:r>
    </w:p>
    <w:p w14:paraId="5499CC41" w14:textId="77777777" w:rsidR="00EC3531" w:rsidRPr="009709BC" w:rsidRDefault="00A0096C" w:rsidP="007F177E">
      <w:pPr>
        <w:widowControl w:val="0"/>
        <w:numPr>
          <w:ilvl w:val="0"/>
          <w:numId w:val="174"/>
        </w:numPr>
        <w:rPr>
          <w:rFonts w:cs="Arial"/>
          <w:szCs w:val="20"/>
        </w:rPr>
      </w:pPr>
      <w:r>
        <w:rPr>
          <w:rFonts w:cs="Arial"/>
          <w:szCs w:val="20"/>
        </w:rPr>
        <w:t>Employment/Education</w:t>
      </w:r>
      <w:r w:rsidR="00B051B4">
        <w:rPr>
          <w:rFonts w:cs="Arial"/>
          <w:szCs w:val="20"/>
        </w:rPr>
        <w:t xml:space="preserve"> Need</w:t>
      </w:r>
      <w:r w:rsidR="00EC3531" w:rsidRPr="009709BC">
        <w:rPr>
          <w:rFonts w:cs="Arial"/>
          <w:szCs w:val="20"/>
        </w:rPr>
        <w:t>.</w:t>
      </w:r>
    </w:p>
    <w:p w14:paraId="2B3DC95A" w14:textId="77777777" w:rsidR="00EC3531" w:rsidRPr="009709BC" w:rsidRDefault="00EC3531" w:rsidP="00677451">
      <w:pPr>
        <w:pStyle w:val="Heading3"/>
      </w:pPr>
      <w:bookmarkStart w:id="3357" w:name="_Toc90029429"/>
      <w:bookmarkStart w:id="3358" w:name="_Toc106038013"/>
      <w:bookmarkStart w:id="3359" w:name="_Toc106201652"/>
      <w:bookmarkStart w:id="3360" w:name="_Toc106202171"/>
      <w:bookmarkStart w:id="3361" w:name="_Toc106202697"/>
      <w:bookmarkStart w:id="3362" w:name="_Toc113345153"/>
      <w:bookmarkStart w:id="3363" w:name="_Toc137461897"/>
      <w:bookmarkStart w:id="3364" w:name="_Toc137471488"/>
      <w:bookmarkStart w:id="3365" w:name="_Toc137471997"/>
      <w:bookmarkStart w:id="3366" w:name="_Toc200375830"/>
      <w:r w:rsidRPr="009709BC">
        <w:t>Emergency P</w:t>
      </w:r>
      <w:r w:rsidR="00A842C3">
        <w:t>ersonal</w:t>
      </w:r>
      <w:r w:rsidRPr="009709BC">
        <w:t xml:space="preserve"> Safety</w:t>
      </w:r>
      <w:bookmarkEnd w:id="3357"/>
      <w:bookmarkEnd w:id="3358"/>
      <w:bookmarkEnd w:id="3359"/>
      <w:bookmarkEnd w:id="3360"/>
      <w:bookmarkEnd w:id="3361"/>
      <w:bookmarkEnd w:id="3362"/>
      <w:bookmarkEnd w:id="3363"/>
      <w:bookmarkEnd w:id="3364"/>
      <w:bookmarkEnd w:id="3365"/>
      <w:bookmarkEnd w:id="3366"/>
    </w:p>
    <w:p w14:paraId="7C624CFF" w14:textId="77777777" w:rsidR="00EC3531" w:rsidRPr="009709BC" w:rsidRDefault="00A842C3" w:rsidP="00B62584">
      <w:r>
        <w:t>A resident may re</w:t>
      </w:r>
      <w:r w:rsidR="007E3B3E">
        <w:t xml:space="preserve">quest an emergency transfer as needed; see </w:t>
      </w:r>
      <w:r w:rsidR="007E3B3E" w:rsidRPr="007E3B3E">
        <w:rPr>
          <w:b/>
          <w:bCs/>
          <w:color w:val="0070C0"/>
        </w:rPr>
        <w:fldChar w:fldCharType="begin"/>
      </w:r>
      <w:r w:rsidR="007E3B3E" w:rsidRPr="007E3B3E">
        <w:rPr>
          <w:b/>
          <w:bCs/>
          <w:color w:val="0070C0"/>
        </w:rPr>
        <w:instrText xml:space="preserve"> REF _Ref160547725 \h  \* MERGEFORMAT </w:instrText>
      </w:r>
      <w:r w:rsidR="007E3B3E" w:rsidRPr="007E3B3E">
        <w:rPr>
          <w:b/>
          <w:bCs/>
          <w:color w:val="0070C0"/>
        </w:rPr>
      </w:r>
      <w:r w:rsidR="007E3B3E" w:rsidRPr="007E3B3E">
        <w:rPr>
          <w:b/>
          <w:bCs/>
          <w:color w:val="0070C0"/>
        </w:rPr>
        <w:fldChar w:fldCharType="separate"/>
      </w:r>
      <w:r w:rsidR="007E3B3E" w:rsidRPr="007E3B3E">
        <w:rPr>
          <w:b/>
          <w:bCs/>
          <w:color w:val="0070C0"/>
        </w:rPr>
        <w:t>Emergency Transfers</w:t>
      </w:r>
      <w:r w:rsidR="007E3B3E" w:rsidRPr="007E3B3E">
        <w:rPr>
          <w:b/>
          <w:bCs/>
          <w:color w:val="0070C0"/>
        </w:rPr>
        <w:fldChar w:fldCharType="end"/>
      </w:r>
      <w:r w:rsidR="007E3B3E">
        <w:t>.</w:t>
      </w:r>
    </w:p>
    <w:p w14:paraId="6230C187" w14:textId="77777777" w:rsidR="00EC3531" w:rsidRPr="009709BC" w:rsidRDefault="00EC3531" w:rsidP="00677451">
      <w:pPr>
        <w:pStyle w:val="Heading3"/>
      </w:pPr>
      <w:bookmarkStart w:id="3367" w:name="_Toc106038014"/>
      <w:bookmarkStart w:id="3368" w:name="_Toc106201653"/>
      <w:bookmarkStart w:id="3369" w:name="_Toc106202172"/>
      <w:bookmarkStart w:id="3370" w:name="_Toc106202698"/>
      <w:bookmarkStart w:id="3371" w:name="_Toc113345154"/>
      <w:bookmarkStart w:id="3372" w:name="_Toc137461898"/>
      <w:bookmarkStart w:id="3373" w:name="_Toc137471489"/>
      <w:bookmarkStart w:id="3374" w:name="_Toc137471998"/>
      <w:bookmarkStart w:id="3375" w:name="_Toc200375831"/>
      <w:r w:rsidRPr="009709BC">
        <w:t>Reasonable Accommodation Transfer</w:t>
      </w:r>
      <w:bookmarkEnd w:id="3367"/>
      <w:bookmarkEnd w:id="3368"/>
      <w:bookmarkEnd w:id="3369"/>
      <w:bookmarkEnd w:id="3370"/>
      <w:bookmarkEnd w:id="3371"/>
      <w:bookmarkEnd w:id="3372"/>
      <w:bookmarkEnd w:id="3373"/>
      <w:bookmarkEnd w:id="3374"/>
      <w:bookmarkEnd w:id="3375"/>
    </w:p>
    <w:p w14:paraId="037D51A8" w14:textId="77777777" w:rsidR="00EC3531" w:rsidRPr="009709BC" w:rsidRDefault="00A73199" w:rsidP="00EC3531">
      <w:r>
        <w:t>HHA</w:t>
      </w:r>
      <w:r w:rsidR="00EC3531" w:rsidRPr="009709BC">
        <w:t xml:space="preserve"> will transfer families with a member </w:t>
      </w:r>
      <w:r w:rsidR="00266844">
        <w:t>with</w:t>
      </w:r>
      <w:r w:rsidR="00EC3531" w:rsidRPr="009709BC">
        <w:t xml:space="preserve"> a verifi</w:t>
      </w:r>
      <w:r w:rsidR="00694FDC">
        <w:t>ed</w:t>
      </w:r>
      <w:r w:rsidR="00EC3531" w:rsidRPr="009709BC">
        <w:t xml:space="preserve"> disability that requires an accommodation that cannot be reasonably provided in the family’s existing unit. These transfers are </w:t>
      </w:r>
      <w:r w:rsidR="00694FDC">
        <w:t>resident</w:t>
      </w:r>
      <w:r w:rsidR="00EC3531" w:rsidRPr="009709BC">
        <w:t xml:space="preserve"> initiated and will be granted only if the tenant demonstrates and </w:t>
      </w:r>
      <w:r>
        <w:t>HHA</w:t>
      </w:r>
      <w:r w:rsidR="00EC3531" w:rsidRPr="009709BC">
        <w:t xml:space="preserve"> verifies a relationship between the</w:t>
      </w:r>
      <w:r w:rsidR="00A3151B">
        <w:t xml:space="preserve"> household member’s</w:t>
      </w:r>
      <w:r w:rsidR="00EC3531" w:rsidRPr="009709BC">
        <w:t xml:space="preserve"> disability and the need for a transfer.  All such transfers shall be subject to existing federal, state and local laws.</w:t>
      </w:r>
    </w:p>
    <w:p w14:paraId="79B245F0" w14:textId="77777777" w:rsidR="00EC3531" w:rsidRDefault="00EC3531" w:rsidP="00EC3531">
      <w:pPr>
        <w:rPr>
          <w:bCs/>
          <w:iCs/>
          <w:szCs w:val="24"/>
        </w:rPr>
      </w:pPr>
      <w:r w:rsidRPr="009709BC">
        <w:rPr>
          <w:bCs/>
          <w:iCs/>
          <w:szCs w:val="24"/>
        </w:rPr>
        <w:t xml:space="preserve">In case of a reasonable accommodation transfer, </w:t>
      </w:r>
      <w:r w:rsidR="00A73199">
        <w:rPr>
          <w:bCs/>
          <w:iCs/>
          <w:szCs w:val="24"/>
        </w:rPr>
        <w:t>HHA</w:t>
      </w:r>
      <w:r w:rsidRPr="009709BC">
        <w:rPr>
          <w:bCs/>
          <w:iCs/>
          <w:szCs w:val="24"/>
        </w:rPr>
        <w:t xml:space="preserve"> will encourage the resident to make the request in writing using a reasonable accommodation request form. However</w:t>
      </w:r>
      <w:r>
        <w:rPr>
          <w:bCs/>
          <w:iCs/>
          <w:szCs w:val="24"/>
        </w:rPr>
        <w:t xml:space="preserve">, </w:t>
      </w:r>
      <w:r w:rsidR="00A73199">
        <w:rPr>
          <w:bCs/>
          <w:iCs/>
          <w:szCs w:val="24"/>
        </w:rPr>
        <w:t>HHA</w:t>
      </w:r>
      <w:r>
        <w:rPr>
          <w:bCs/>
          <w:iCs/>
          <w:szCs w:val="24"/>
        </w:rPr>
        <w:t xml:space="preserve"> will consider the transfer request any time the resident indicates that an accommodation is needed whether or not a formal written request is submitted.</w:t>
      </w:r>
    </w:p>
    <w:p w14:paraId="4731F2F6" w14:textId="77777777" w:rsidR="007573AD" w:rsidRDefault="007573AD" w:rsidP="00EC3531">
      <w:pPr>
        <w:rPr>
          <w:bCs/>
          <w:iCs/>
          <w:szCs w:val="24"/>
        </w:rPr>
      </w:pPr>
      <w:r>
        <w:rPr>
          <w:bCs/>
          <w:iCs/>
          <w:szCs w:val="24"/>
        </w:rPr>
        <w:t xml:space="preserve">See </w:t>
      </w:r>
      <w:r w:rsidRPr="007573AD">
        <w:rPr>
          <w:b/>
          <w:iCs/>
          <w:color w:val="0070C0"/>
          <w:szCs w:val="24"/>
        </w:rPr>
        <w:fldChar w:fldCharType="begin"/>
      </w:r>
      <w:r w:rsidRPr="007573AD">
        <w:rPr>
          <w:b/>
          <w:iCs/>
          <w:color w:val="0070C0"/>
          <w:szCs w:val="24"/>
        </w:rPr>
        <w:instrText xml:space="preserve"> REF _Ref144897645 \h  \* MERGEFORMAT </w:instrText>
      </w:r>
      <w:r w:rsidRPr="007573AD">
        <w:rPr>
          <w:b/>
          <w:iCs/>
          <w:color w:val="0070C0"/>
          <w:szCs w:val="24"/>
        </w:rPr>
      </w:r>
      <w:r w:rsidRPr="007573AD">
        <w:rPr>
          <w:b/>
          <w:iCs/>
          <w:color w:val="0070C0"/>
          <w:szCs w:val="24"/>
        </w:rPr>
        <w:fldChar w:fldCharType="separate"/>
      </w:r>
      <w:r w:rsidRPr="007573AD">
        <w:rPr>
          <w:b/>
          <w:color w:val="0070C0"/>
        </w:rPr>
        <w:t>APPENDIX A: REASONABLE ACCOMMODATION POLICY AND PROCEDURES</w:t>
      </w:r>
      <w:r w:rsidRPr="007573AD">
        <w:rPr>
          <w:b/>
          <w:iCs/>
          <w:color w:val="0070C0"/>
          <w:szCs w:val="24"/>
        </w:rPr>
        <w:fldChar w:fldCharType="end"/>
      </w:r>
      <w:r>
        <w:rPr>
          <w:bCs/>
          <w:iCs/>
          <w:szCs w:val="24"/>
        </w:rPr>
        <w:t>.</w:t>
      </w:r>
    </w:p>
    <w:p w14:paraId="62429B0F" w14:textId="77777777" w:rsidR="00DD5B0C" w:rsidRDefault="00B051B4" w:rsidP="00661BEF">
      <w:pPr>
        <w:pStyle w:val="Heading3"/>
      </w:pPr>
      <w:bookmarkStart w:id="3376" w:name="_Toc200375832"/>
      <w:r>
        <w:t>Employment/Education</w:t>
      </w:r>
      <w:r w:rsidR="00DD5B0C">
        <w:t xml:space="preserve"> Need</w:t>
      </w:r>
      <w:bookmarkEnd w:id="3376"/>
    </w:p>
    <w:p w14:paraId="30438A88" w14:textId="77777777" w:rsidR="00DD5B0C" w:rsidRPr="00867B80" w:rsidRDefault="00DD5B0C" w:rsidP="00EC3531">
      <w:r>
        <w:rPr>
          <w:bCs/>
          <w:iCs/>
          <w:szCs w:val="24"/>
        </w:rPr>
        <w:t xml:space="preserve">HHA will transfer families with a need to move to a location </w:t>
      </w:r>
      <w:r w:rsidR="00671853">
        <w:rPr>
          <w:bCs/>
          <w:iCs/>
          <w:szCs w:val="24"/>
        </w:rPr>
        <w:t>closer to where a family member is currently working and/or going to school</w:t>
      </w:r>
      <w:r w:rsidR="001676AF">
        <w:rPr>
          <w:bCs/>
          <w:iCs/>
          <w:szCs w:val="24"/>
        </w:rPr>
        <w:t>/training</w:t>
      </w:r>
      <w:r w:rsidR="00671853">
        <w:rPr>
          <w:bCs/>
          <w:iCs/>
          <w:szCs w:val="24"/>
        </w:rPr>
        <w:t>.</w:t>
      </w:r>
      <w:r w:rsidR="00657E69">
        <w:rPr>
          <w:bCs/>
          <w:iCs/>
          <w:szCs w:val="24"/>
        </w:rPr>
        <w:t xml:space="preserve"> The family</w:t>
      </w:r>
      <w:r w:rsidR="001676AF">
        <w:rPr>
          <w:bCs/>
          <w:iCs/>
          <w:szCs w:val="24"/>
        </w:rPr>
        <w:t xml:space="preserve"> must request the transfer in writing and provide verification of the </w:t>
      </w:r>
      <w:r w:rsidR="00C70DAC">
        <w:rPr>
          <w:bCs/>
          <w:iCs/>
          <w:szCs w:val="24"/>
        </w:rPr>
        <w:t>location of the employment, school, and/or training facility</w:t>
      </w:r>
      <w:r w:rsidR="00A24F12">
        <w:rPr>
          <w:bCs/>
          <w:iCs/>
          <w:szCs w:val="24"/>
        </w:rPr>
        <w:t xml:space="preserve">, and note the HHA public housing properties which will meet this need (due to proximity of the </w:t>
      </w:r>
      <w:r w:rsidR="00934FE8">
        <w:rPr>
          <w:bCs/>
          <w:iCs/>
          <w:szCs w:val="24"/>
        </w:rPr>
        <w:t>property to the place of employment/education or to</w:t>
      </w:r>
      <w:r w:rsidR="00661BEF">
        <w:rPr>
          <w:bCs/>
          <w:iCs/>
          <w:szCs w:val="24"/>
        </w:rPr>
        <w:t xml:space="preserve"> transportation to the place of employment/education).</w:t>
      </w:r>
    </w:p>
    <w:p w14:paraId="2A265574" w14:textId="77777777" w:rsidR="00EC3531" w:rsidRDefault="00EC3531" w:rsidP="00677451">
      <w:pPr>
        <w:pStyle w:val="Heading3"/>
      </w:pPr>
      <w:bookmarkStart w:id="3377" w:name="_Toc106038015"/>
      <w:bookmarkStart w:id="3378" w:name="_Toc106201654"/>
      <w:bookmarkStart w:id="3379" w:name="_Toc106202173"/>
      <w:bookmarkStart w:id="3380" w:name="_Toc106202699"/>
      <w:bookmarkStart w:id="3381" w:name="_Toc113345155"/>
      <w:bookmarkStart w:id="3382" w:name="_Toc137461899"/>
      <w:bookmarkStart w:id="3383" w:name="_Toc137471490"/>
      <w:bookmarkStart w:id="3384" w:name="_Toc137471999"/>
      <w:bookmarkStart w:id="3385" w:name="_Toc200375833"/>
      <w:r>
        <w:t>Cost of Transfer</w:t>
      </w:r>
      <w:r w:rsidR="00A3151B">
        <w:t>:</w:t>
      </w:r>
      <w:r>
        <w:t xml:space="preserve"> </w:t>
      </w:r>
      <w:r w:rsidR="00A3151B">
        <w:t>Resident-</w:t>
      </w:r>
      <w:r>
        <w:t>Initiated Transfers</w:t>
      </w:r>
      <w:bookmarkEnd w:id="3377"/>
      <w:bookmarkEnd w:id="3378"/>
      <w:bookmarkEnd w:id="3379"/>
      <w:bookmarkEnd w:id="3380"/>
      <w:bookmarkEnd w:id="3381"/>
      <w:bookmarkEnd w:id="3382"/>
      <w:bookmarkEnd w:id="3383"/>
      <w:bookmarkEnd w:id="3384"/>
      <w:bookmarkEnd w:id="3385"/>
    </w:p>
    <w:p w14:paraId="1BA91903" w14:textId="77777777" w:rsidR="00EC3531" w:rsidRDefault="00EC3531" w:rsidP="00EC3531">
      <w:pPr>
        <w:rPr>
          <w:szCs w:val="24"/>
        </w:rPr>
      </w:pPr>
      <w:r>
        <w:rPr>
          <w:szCs w:val="24"/>
        </w:rPr>
        <w:t xml:space="preserve">The resident will bear all of the costs of transfer </w:t>
      </w:r>
      <w:r w:rsidR="007573AD">
        <w:rPr>
          <w:szCs w:val="24"/>
        </w:rPr>
        <w:t>they</w:t>
      </w:r>
      <w:r>
        <w:rPr>
          <w:szCs w:val="24"/>
        </w:rPr>
        <w:t xml:space="preserve"> request, except for transfer costs when the transfer is done as a reasonable accommodation.</w:t>
      </w:r>
    </w:p>
    <w:p w14:paraId="413141B6" w14:textId="77777777" w:rsidR="00267F27" w:rsidRDefault="00267F27" w:rsidP="00267F27">
      <w:pPr>
        <w:pStyle w:val="Heading2"/>
        <w:ind w:left="360"/>
      </w:pPr>
      <w:bookmarkStart w:id="3386" w:name="_Toc114067540"/>
      <w:bookmarkStart w:id="3387" w:name="_Toc119412754"/>
      <w:bookmarkStart w:id="3388" w:name="_Toc137809121"/>
      <w:bookmarkStart w:id="3389" w:name="_Toc137809663"/>
      <w:bookmarkStart w:id="3390" w:name="_Toc137809907"/>
      <w:bookmarkStart w:id="3391" w:name="_Toc137810219"/>
      <w:bookmarkStart w:id="3392" w:name="_Toc138429552"/>
      <w:bookmarkStart w:id="3393" w:name="_Toc138430387"/>
      <w:bookmarkStart w:id="3394" w:name="_Toc138856520"/>
      <w:bookmarkStart w:id="3395" w:name="_Toc138857814"/>
      <w:bookmarkStart w:id="3396" w:name="_Toc138860641"/>
      <w:bookmarkStart w:id="3397" w:name="_Toc147141940"/>
      <w:bookmarkStart w:id="3398" w:name="_Toc173222770"/>
      <w:bookmarkStart w:id="3399" w:name="_Toc200375834"/>
      <w:bookmarkStart w:id="3400" w:name="_Toc200377036"/>
      <w:r w:rsidRPr="00A2158C">
        <w:t>Economic Self-Sufficiency Incentive Transfers</w:t>
      </w:r>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p>
    <w:p w14:paraId="19B2B0BF" w14:textId="77777777" w:rsidR="00267F27" w:rsidRPr="00D01B19" w:rsidRDefault="00267F27" w:rsidP="00D01B19">
      <w:pPr>
        <w:tabs>
          <w:tab w:val="left" w:pos="1241"/>
        </w:tabs>
      </w:pPr>
      <w:r w:rsidRPr="00D01B19">
        <w:t>Economic Self-Sufficiency Incentive Transfers are offered to households who are interested in relocating to a new or modernized public housing unit, at a different site. These transfers are not mandatory and shall take priority of new admissions. The transfer is also limited to tenants solely residing at Cuney Homes, Ewing</w:t>
      </w:r>
      <w:r w:rsidR="00EA2020">
        <w:t xml:space="preserve"> Apartments</w:t>
      </w:r>
      <w:r w:rsidRPr="00D01B19">
        <w:t>, Kelly</w:t>
      </w:r>
      <w:r w:rsidRPr="00D01B19">
        <w:rPr>
          <w:spacing w:val="-13"/>
        </w:rPr>
        <w:t xml:space="preserve"> </w:t>
      </w:r>
      <w:r w:rsidRPr="00D01B19">
        <w:t>Village</w:t>
      </w:r>
      <w:r w:rsidR="00EA2020">
        <w:t>, Kennedy Place,</w:t>
      </w:r>
      <w:r w:rsidRPr="00D01B19">
        <w:rPr>
          <w:spacing w:val="-12"/>
        </w:rPr>
        <w:t xml:space="preserve"> </w:t>
      </w:r>
      <w:r w:rsidRPr="00D01B19">
        <w:t>and</w:t>
      </w:r>
      <w:r w:rsidRPr="00D01B19">
        <w:rPr>
          <w:spacing w:val="-11"/>
        </w:rPr>
        <w:t xml:space="preserve"> </w:t>
      </w:r>
      <w:r w:rsidRPr="00D01B19">
        <w:t>Irvinton</w:t>
      </w:r>
      <w:r w:rsidRPr="00D01B19">
        <w:rPr>
          <w:spacing w:val="-14"/>
        </w:rPr>
        <w:t xml:space="preserve"> </w:t>
      </w:r>
      <w:r w:rsidRPr="00D01B19">
        <w:t>Village</w:t>
      </w:r>
      <w:r w:rsidRPr="00D01B19">
        <w:rPr>
          <w:spacing w:val="-11"/>
        </w:rPr>
        <w:t xml:space="preserve"> </w:t>
      </w:r>
      <w:r w:rsidRPr="00D01B19">
        <w:t>Apartments.</w:t>
      </w:r>
      <w:r w:rsidR="00D01B19" w:rsidRPr="00D01B19">
        <w:t xml:space="preserve"> I</w:t>
      </w:r>
      <w:r w:rsidRPr="00D01B19">
        <w:t>nterested</w:t>
      </w:r>
      <w:r w:rsidRPr="00D01B19">
        <w:rPr>
          <w:spacing w:val="-11"/>
        </w:rPr>
        <w:t xml:space="preserve"> </w:t>
      </w:r>
      <w:r w:rsidRPr="00D01B19">
        <w:t>tenants</w:t>
      </w:r>
      <w:r w:rsidRPr="00D01B19">
        <w:rPr>
          <w:spacing w:val="-15"/>
        </w:rPr>
        <w:t xml:space="preserve"> </w:t>
      </w:r>
      <w:r w:rsidRPr="00D01B19">
        <w:t>must</w:t>
      </w:r>
      <w:r w:rsidRPr="00D01B19">
        <w:rPr>
          <w:spacing w:val="-13"/>
        </w:rPr>
        <w:t xml:space="preserve"> </w:t>
      </w:r>
      <w:r w:rsidRPr="00D01B19">
        <w:t>also</w:t>
      </w:r>
      <w:r w:rsidRPr="00D01B19">
        <w:rPr>
          <w:spacing w:val="-14"/>
        </w:rPr>
        <w:t xml:space="preserve"> </w:t>
      </w:r>
      <w:r w:rsidRPr="00D01B19">
        <w:t>meet</w:t>
      </w:r>
      <w:r w:rsidRPr="00D01B19">
        <w:rPr>
          <w:spacing w:val="-10"/>
        </w:rPr>
        <w:t xml:space="preserve"> </w:t>
      </w:r>
      <w:r w:rsidRPr="00D01B19">
        <w:t>all</w:t>
      </w:r>
      <w:r w:rsidRPr="00D01B19">
        <w:rPr>
          <w:spacing w:val="-12"/>
        </w:rPr>
        <w:t xml:space="preserve"> </w:t>
      </w:r>
      <w:r w:rsidRPr="00D01B19">
        <w:t>admission requirements to be eligible for the transfer in addition to the following</w:t>
      </w:r>
      <w:r w:rsidRPr="00D01B19">
        <w:rPr>
          <w:spacing w:val="-13"/>
        </w:rPr>
        <w:t xml:space="preserve"> </w:t>
      </w:r>
      <w:r w:rsidRPr="00D01B19">
        <w:t>criteria:</w:t>
      </w:r>
    </w:p>
    <w:p w14:paraId="773349C1" w14:textId="77777777" w:rsidR="00267F27" w:rsidRPr="00D01B19" w:rsidRDefault="00267F27" w:rsidP="007F177E">
      <w:pPr>
        <w:pStyle w:val="00Normal"/>
        <w:numPr>
          <w:ilvl w:val="0"/>
          <w:numId w:val="176"/>
        </w:numPr>
        <w:spacing w:after="160" w:line="259" w:lineRule="auto"/>
        <w:rPr>
          <w:sz w:val="22"/>
          <w:szCs w:val="22"/>
        </w:rPr>
      </w:pPr>
      <w:r w:rsidRPr="00D01B19">
        <w:rPr>
          <w:sz w:val="22"/>
          <w:szCs w:val="22"/>
        </w:rPr>
        <w:t>In good-standing with HHA’s Lease Agreement no pending evictions nor pending formal administrative</w:t>
      </w:r>
      <w:r w:rsidRPr="00D01B19">
        <w:rPr>
          <w:spacing w:val="-3"/>
          <w:sz w:val="22"/>
          <w:szCs w:val="22"/>
        </w:rPr>
        <w:t xml:space="preserve"> </w:t>
      </w:r>
      <w:r w:rsidRPr="00D01B19">
        <w:rPr>
          <w:sz w:val="22"/>
          <w:szCs w:val="22"/>
        </w:rPr>
        <w:t>reviews</w:t>
      </w:r>
      <w:r w:rsidR="00B62E41">
        <w:rPr>
          <w:sz w:val="22"/>
          <w:szCs w:val="22"/>
        </w:rPr>
        <w:t>;</w:t>
      </w:r>
    </w:p>
    <w:p w14:paraId="05A15E10" w14:textId="77777777" w:rsidR="00267F27" w:rsidRPr="00D01B19" w:rsidRDefault="00267F27" w:rsidP="007F177E">
      <w:pPr>
        <w:pStyle w:val="00Normal"/>
        <w:numPr>
          <w:ilvl w:val="0"/>
          <w:numId w:val="176"/>
        </w:numPr>
        <w:spacing w:after="160" w:line="259" w:lineRule="auto"/>
        <w:rPr>
          <w:sz w:val="22"/>
          <w:szCs w:val="22"/>
        </w:rPr>
      </w:pPr>
      <w:r w:rsidRPr="00D01B19">
        <w:rPr>
          <w:sz w:val="22"/>
          <w:szCs w:val="22"/>
        </w:rPr>
        <w:t>Residency at Cuney Homes, Ewing Apartments, Kelly Village,</w:t>
      </w:r>
      <w:r w:rsidR="00EA2020">
        <w:rPr>
          <w:sz w:val="22"/>
          <w:szCs w:val="22"/>
        </w:rPr>
        <w:t xml:space="preserve"> Kennedy Place,</w:t>
      </w:r>
      <w:r w:rsidRPr="00D01B19">
        <w:rPr>
          <w:sz w:val="22"/>
          <w:szCs w:val="22"/>
        </w:rPr>
        <w:t xml:space="preserve"> or Irvinton Village for at least</w:t>
      </w:r>
      <w:r w:rsidRPr="00D01B19">
        <w:rPr>
          <w:spacing w:val="-5"/>
          <w:sz w:val="22"/>
          <w:szCs w:val="22"/>
        </w:rPr>
        <w:t xml:space="preserve"> </w:t>
      </w:r>
      <w:r w:rsidR="00D01B19">
        <w:rPr>
          <w:sz w:val="22"/>
          <w:szCs w:val="22"/>
        </w:rPr>
        <w:t xml:space="preserve">three (3) </w:t>
      </w:r>
      <w:r w:rsidRPr="00D01B19">
        <w:rPr>
          <w:sz w:val="22"/>
          <w:szCs w:val="22"/>
        </w:rPr>
        <w:t>years</w:t>
      </w:r>
      <w:r w:rsidR="00B62E41">
        <w:rPr>
          <w:sz w:val="22"/>
          <w:szCs w:val="22"/>
        </w:rPr>
        <w:t>;</w:t>
      </w:r>
    </w:p>
    <w:p w14:paraId="1AA2437D" w14:textId="77777777" w:rsidR="00267F27" w:rsidRPr="00D01B19" w:rsidRDefault="00267F27" w:rsidP="007F177E">
      <w:pPr>
        <w:pStyle w:val="00Normal"/>
        <w:numPr>
          <w:ilvl w:val="0"/>
          <w:numId w:val="176"/>
        </w:numPr>
        <w:spacing w:after="160" w:line="259" w:lineRule="auto"/>
        <w:rPr>
          <w:sz w:val="22"/>
          <w:szCs w:val="22"/>
        </w:rPr>
      </w:pPr>
      <w:r w:rsidRPr="00D01B19">
        <w:rPr>
          <w:sz w:val="22"/>
          <w:szCs w:val="22"/>
        </w:rPr>
        <w:t>No outstanding debt with HHA for the past</w:t>
      </w:r>
      <w:r w:rsidRPr="00D01B19">
        <w:rPr>
          <w:spacing w:val="-7"/>
          <w:sz w:val="22"/>
          <w:szCs w:val="22"/>
        </w:rPr>
        <w:t xml:space="preserve"> </w:t>
      </w:r>
      <w:r w:rsidR="00D01B19">
        <w:rPr>
          <w:spacing w:val="-7"/>
          <w:sz w:val="22"/>
          <w:szCs w:val="22"/>
        </w:rPr>
        <w:t xml:space="preserve">two (2) </w:t>
      </w:r>
      <w:r w:rsidRPr="00D01B19">
        <w:rPr>
          <w:sz w:val="22"/>
          <w:szCs w:val="22"/>
        </w:rPr>
        <w:t>years</w:t>
      </w:r>
      <w:r w:rsidR="00B62E41">
        <w:rPr>
          <w:sz w:val="22"/>
          <w:szCs w:val="22"/>
        </w:rPr>
        <w:t>;</w:t>
      </w:r>
    </w:p>
    <w:p w14:paraId="5E03C450" w14:textId="77777777" w:rsidR="00267F27" w:rsidRPr="00D01B19" w:rsidRDefault="00267F27" w:rsidP="007F177E">
      <w:pPr>
        <w:pStyle w:val="00Normal"/>
        <w:numPr>
          <w:ilvl w:val="0"/>
          <w:numId w:val="176"/>
        </w:numPr>
        <w:spacing w:after="160" w:line="259" w:lineRule="auto"/>
        <w:rPr>
          <w:sz w:val="22"/>
          <w:szCs w:val="22"/>
        </w:rPr>
      </w:pPr>
      <w:r w:rsidRPr="00D01B19">
        <w:rPr>
          <w:sz w:val="22"/>
          <w:szCs w:val="22"/>
        </w:rPr>
        <w:t>No history of non-compliance nor disturbances that resulted in a lease violation(s) being issued within the past</w:t>
      </w:r>
      <w:r w:rsidRPr="00D01B19">
        <w:rPr>
          <w:spacing w:val="-6"/>
          <w:sz w:val="22"/>
          <w:szCs w:val="22"/>
        </w:rPr>
        <w:t xml:space="preserve"> </w:t>
      </w:r>
      <w:r w:rsidR="00B62E41">
        <w:rPr>
          <w:spacing w:val="-6"/>
          <w:sz w:val="22"/>
          <w:szCs w:val="22"/>
        </w:rPr>
        <w:t xml:space="preserve">two (2) </w:t>
      </w:r>
      <w:r w:rsidRPr="00D01B19">
        <w:rPr>
          <w:sz w:val="22"/>
          <w:szCs w:val="22"/>
        </w:rPr>
        <w:t>years</w:t>
      </w:r>
      <w:r w:rsidR="00B62E41">
        <w:rPr>
          <w:sz w:val="22"/>
          <w:szCs w:val="22"/>
        </w:rPr>
        <w:t>; and</w:t>
      </w:r>
    </w:p>
    <w:p w14:paraId="518F09DA" w14:textId="77777777" w:rsidR="00267F27" w:rsidRPr="00D01B19" w:rsidRDefault="00267F27" w:rsidP="007F177E">
      <w:pPr>
        <w:pStyle w:val="00Normal"/>
        <w:numPr>
          <w:ilvl w:val="0"/>
          <w:numId w:val="176"/>
        </w:numPr>
        <w:spacing w:after="160" w:line="259" w:lineRule="auto"/>
        <w:rPr>
          <w:sz w:val="22"/>
          <w:szCs w:val="22"/>
        </w:rPr>
      </w:pPr>
      <w:r w:rsidRPr="00D01B19">
        <w:rPr>
          <w:sz w:val="22"/>
          <w:szCs w:val="22"/>
        </w:rPr>
        <w:t>Employed or enrolled in an HHA Economic Self-Sufficiency</w:t>
      </w:r>
      <w:r w:rsidRPr="00D01B19">
        <w:rPr>
          <w:spacing w:val="-12"/>
          <w:sz w:val="22"/>
          <w:szCs w:val="22"/>
        </w:rPr>
        <w:t xml:space="preserve"> </w:t>
      </w:r>
      <w:r w:rsidRPr="00D01B19">
        <w:rPr>
          <w:sz w:val="22"/>
          <w:szCs w:val="22"/>
        </w:rPr>
        <w:t>Program.</w:t>
      </w:r>
    </w:p>
    <w:p w14:paraId="7779D366" w14:textId="77777777" w:rsidR="00267F27" w:rsidRPr="00A2158C" w:rsidRDefault="00267F27" w:rsidP="00267F27">
      <w:pPr>
        <w:pStyle w:val="Heading2"/>
        <w:ind w:left="360"/>
      </w:pPr>
      <w:bookmarkStart w:id="3401" w:name="_Toc114067541"/>
      <w:bookmarkStart w:id="3402" w:name="_Toc119412755"/>
      <w:bookmarkStart w:id="3403" w:name="_Toc137809122"/>
      <w:bookmarkStart w:id="3404" w:name="_Toc137809664"/>
      <w:bookmarkStart w:id="3405" w:name="_Toc137809908"/>
      <w:bookmarkStart w:id="3406" w:name="_Toc137810220"/>
      <w:bookmarkStart w:id="3407" w:name="_Toc138429553"/>
      <w:bookmarkStart w:id="3408" w:name="_Toc138430388"/>
      <w:bookmarkStart w:id="3409" w:name="_Toc138856521"/>
      <w:bookmarkStart w:id="3410" w:name="_Toc138857815"/>
      <w:bookmarkStart w:id="3411" w:name="_Toc138860642"/>
      <w:bookmarkStart w:id="3412" w:name="_Toc147141941"/>
      <w:bookmarkStart w:id="3413" w:name="_Toc173222771"/>
      <w:bookmarkStart w:id="3414" w:name="_Toc200375835"/>
      <w:bookmarkStart w:id="3415" w:name="_Toc200377037"/>
      <w:r w:rsidRPr="00A2158C">
        <w:t>Processing</w:t>
      </w:r>
      <w:r w:rsidRPr="00A2158C">
        <w:rPr>
          <w:spacing w:val="-2"/>
        </w:rPr>
        <w:t xml:space="preserve"> </w:t>
      </w:r>
      <w:r w:rsidRPr="00A2158C">
        <w:t>Transfers</w:t>
      </w:r>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p>
    <w:p w14:paraId="17AFDCC7" w14:textId="77777777" w:rsidR="00267F27" w:rsidRPr="00A2158C" w:rsidRDefault="00267F27" w:rsidP="00164C2E">
      <w:pPr>
        <w:widowControl w:val="0"/>
        <w:autoSpaceDE w:val="0"/>
        <w:autoSpaceDN w:val="0"/>
      </w:pPr>
      <w:r w:rsidRPr="00A2158C">
        <w:t>A centralized transfer waiting list will be administered by the Occupancy Division. Managers submit requests for transfer, including necessary documentation, to the Occupancy Specialist</w:t>
      </w:r>
      <w:r w:rsidRPr="003D0726">
        <w:rPr>
          <w:spacing w:val="-2"/>
        </w:rPr>
        <w:t xml:space="preserve"> </w:t>
      </w:r>
      <w:r w:rsidRPr="00A2158C">
        <w:t>Manager.</w:t>
      </w:r>
    </w:p>
    <w:p w14:paraId="50B58759" w14:textId="77777777" w:rsidR="00267F27" w:rsidRDefault="00267F27" w:rsidP="00164C2E">
      <w:pPr>
        <w:widowControl w:val="0"/>
        <w:autoSpaceDE w:val="0"/>
        <w:autoSpaceDN w:val="0"/>
      </w:pPr>
      <w:r w:rsidRPr="00A2158C">
        <w:t>Transfers will be sorted into their appropriate categories by the Occupancy staff. Admissions will be made in the following</w:t>
      </w:r>
      <w:r w:rsidRPr="00B024EB">
        <w:rPr>
          <w:spacing w:val="-10"/>
        </w:rPr>
        <w:t xml:space="preserve"> </w:t>
      </w:r>
      <w:r w:rsidRPr="00A2158C">
        <w:t>order:</w:t>
      </w:r>
    </w:p>
    <w:p w14:paraId="5F163EFE" w14:textId="77777777" w:rsidR="007573AD" w:rsidRPr="00A2158C" w:rsidRDefault="007573AD" w:rsidP="007F177E">
      <w:pPr>
        <w:pStyle w:val="ListParagraph"/>
        <w:widowControl w:val="0"/>
        <w:numPr>
          <w:ilvl w:val="0"/>
          <w:numId w:val="177"/>
        </w:numPr>
        <w:autoSpaceDE w:val="0"/>
        <w:autoSpaceDN w:val="0"/>
        <w:contextualSpacing w:val="0"/>
      </w:pPr>
      <w:r w:rsidRPr="00A2158C">
        <w:t>Emergency</w:t>
      </w:r>
      <w:r w:rsidRPr="0016028D">
        <w:t xml:space="preserve"> </w:t>
      </w:r>
      <w:r w:rsidRPr="00A2158C">
        <w:t>Transfers</w:t>
      </w:r>
      <w:r w:rsidR="00281238">
        <w:t>,</w:t>
      </w:r>
    </w:p>
    <w:p w14:paraId="737B720F" w14:textId="77777777" w:rsidR="00267F27" w:rsidRPr="00A2158C" w:rsidRDefault="00267F27" w:rsidP="007F177E">
      <w:pPr>
        <w:pStyle w:val="ListParagraph"/>
        <w:widowControl w:val="0"/>
        <w:numPr>
          <w:ilvl w:val="0"/>
          <w:numId w:val="177"/>
        </w:numPr>
        <w:autoSpaceDE w:val="0"/>
        <w:autoSpaceDN w:val="0"/>
        <w:contextualSpacing w:val="0"/>
      </w:pPr>
      <w:r w:rsidRPr="00A2158C">
        <w:t>Administrative</w:t>
      </w:r>
      <w:r w:rsidRPr="004A5836">
        <w:rPr>
          <w:spacing w:val="-3"/>
        </w:rPr>
        <w:t xml:space="preserve"> </w:t>
      </w:r>
      <w:r w:rsidRPr="00A2158C">
        <w:t>Transfers</w:t>
      </w:r>
      <w:r w:rsidR="00281238">
        <w:t>,</w:t>
      </w:r>
    </w:p>
    <w:p w14:paraId="61D396D8" w14:textId="77777777" w:rsidR="00267F27" w:rsidRPr="00A2158C" w:rsidRDefault="00267F27" w:rsidP="007F177E">
      <w:pPr>
        <w:pStyle w:val="ListParagraph"/>
        <w:widowControl w:val="0"/>
        <w:numPr>
          <w:ilvl w:val="0"/>
          <w:numId w:val="177"/>
        </w:numPr>
        <w:autoSpaceDE w:val="0"/>
        <w:autoSpaceDN w:val="0"/>
        <w:contextualSpacing w:val="0"/>
      </w:pPr>
      <w:r w:rsidRPr="00A2158C">
        <w:t>Resident</w:t>
      </w:r>
      <w:r>
        <w:t>-</w:t>
      </w:r>
      <w:r w:rsidR="00281238">
        <w:t>Initiated</w:t>
      </w:r>
      <w:r w:rsidRPr="00A2158C">
        <w:t xml:space="preserve"> Transfers</w:t>
      </w:r>
      <w:r w:rsidR="00281238">
        <w:t>,</w:t>
      </w:r>
    </w:p>
    <w:p w14:paraId="0D4EBDCE" w14:textId="77777777" w:rsidR="00267F27" w:rsidRPr="00A2158C" w:rsidRDefault="00267F27" w:rsidP="007F177E">
      <w:pPr>
        <w:pStyle w:val="ListParagraph"/>
        <w:widowControl w:val="0"/>
        <w:numPr>
          <w:ilvl w:val="0"/>
          <w:numId w:val="177"/>
        </w:numPr>
        <w:autoSpaceDE w:val="0"/>
        <w:autoSpaceDN w:val="0"/>
        <w:contextualSpacing w:val="0"/>
      </w:pPr>
      <w:r w:rsidRPr="00A2158C">
        <w:t>Economic Self-Sufficiency Incentive Transfers</w:t>
      </w:r>
      <w:r w:rsidR="00281238">
        <w:t>.</w:t>
      </w:r>
    </w:p>
    <w:p w14:paraId="20D43971" w14:textId="77777777" w:rsidR="00267F27" w:rsidRPr="00A2158C" w:rsidRDefault="00267F27" w:rsidP="00164C2E">
      <w:pPr>
        <w:widowControl w:val="0"/>
        <w:autoSpaceDE w:val="0"/>
        <w:autoSpaceDN w:val="0"/>
      </w:pPr>
      <w:r w:rsidRPr="00A2158C">
        <w:t>Within each category, transfer application will be sorted by the date the completed file (including any verification needed) is received from the</w:t>
      </w:r>
      <w:r w:rsidRPr="0016028D">
        <w:t xml:space="preserve"> </w:t>
      </w:r>
      <w:r w:rsidRPr="00A2158C">
        <w:t>manager.</w:t>
      </w:r>
    </w:p>
    <w:p w14:paraId="08AC60F9" w14:textId="77777777" w:rsidR="00267F27" w:rsidRPr="00A2158C" w:rsidRDefault="00267F27" w:rsidP="00164C2E">
      <w:pPr>
        <w:widowControl w:val="0"/>
        <w:autoSpaceDE w:val="0"/>
        <w:autoSpaceDN w:val="0"/>
      </w:pPr>
      <w:r w:rsidRPr="00A2158C">
        <w:t>Administrative transfers to correct occupancy standards may be recommended by the Management team at time of re-examination or interim</w:t>
      </w:r>
      <w:r w:rsidRPr="0016028D">
        <w:t xml:space="preserve"> </w:t>
      </w:r>
      <w:r w:rsidRPr="00A2158C">
        <w:t>redetermination.</w:t>
      </w:r>
    </w:p>
    <w:p w14:paraId="5810D76B" w14:textId="77777777" w:rsidR="00267F27" w:rsidRDefault="00267F27" w:rsidP="00267F27">
      <w:pPr>
        <w:pStyle w:val="Heading2"/>
        <w:ind w:left="360"/>
      </w:pPr>
      <w:bookmarkStart w:id="3416" w:name="_Toc114067543"/>
      <w:bookmarkStart w:id="3417" w:name="_Toc119412757"/>
      <w:bookmarkStart w:id="3418" w:name="_Toc137809124"/>
      <w:bookmarkStart w:id="3419" w:name="_Toc137809666"/>
      <w:bookmarkStart w:id="3420" w:name="_Toc137809910"/>
      <w:bookmarkStart w:id="3421" w:name="_Toc137810222"/>
      <w:bookmarkStart w:id="3422" w:name="_Toc138429555"/>
      <w:bookmarkStart w:id="3423" w:name="_Toc138430390"/>
      <w:bookmarkStart w:id="3424" w:name="_Toc138856523"/>
      <w:bookmarkStart w:id="3425" w:name="_Toc138857817"/>
      <w:bookmarkStart w:id="3426" w:name="_Toc138860644"/>
      <w:bookmarkStart w:id="3427" w:name="_Toc147141943"/>
      <w:bookmarkStart w:id="3428" w:name="_Toc173222772"/>
      <w:bookmarkStart w:id="3429" w:name="_Toc200375836"/>
      <w:bookmarkStart w:id="3430" w:name="_Toc200377038"/>
      <w:r w:rsidRPr="00A2158C">
        <w:t xml:space="preserve">Reexamination </w:t>
      </w:r>
      <w:r>
        <w:t>and</w:t>
      </w:r>
      <w:r w:rsidRPr="00A2158C">
        <w:t xml:space="preserve"> Moves</w:t>
      </w:r>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p>
    <w:p w14:paraId="19250F19" w14:textId="77777777" w:rsidR="00240EDC" w:rsidRDefault="00240EDC" w:rsidP="00677451">
      <w:pPr>
        <w:pStyle w:val="Heading3"/>
      </w:pPr>
      <w:bookmarkStart w:id="3431" w:name="_Toc200375837"/>
      <w:r>
        <w:t>Treatment Group</w:t>
      </w:r>
      <w:bookmarkEnd w:id="3431"/>
    </w:p>
    <w:p w14:paraId="3DC0E2C9" w14:textId="77777777" w:rsidR="00EE7BB4" w:rsidRDefault="00EE7BB4" w:rsidP="00EE7BB4">
      <w:pPr>
        <w:rPr>
          <w:bCs/>
        </w:rPr>
      </w:pPr>
      <w:r w:rsidRPr="0072296E">
        <w:rPr>
          <w:bCs/>
        </w:rPr>
        <w:t xml:space="preserve">If a </w:t>
      </w:r>
      <w:r w:rsidR="00E961A0">
        <w:rPr>
          <w:bCs/>
        </w:rPr>
        <w:t xml:space="preserve">Treatment </w:t>
      </w:r>
      <w:r w:rsidRPr="0072296E">
        <w:rPr>
          <w:bCs/>
        </w:rPr>
        <w:t>household moves, HHA will update any applicable utility allowance and conduct an Other Change of Unit action type to process the move. HHA will not adjust the rent</w:t>
      </w:r>
      <w:r w:rsidR="00E961A0">
        <w:rPr>
          <w:bCs/>
        </w:rPr>
        <w:t>.</w:t>
      </w:r>
    </w:p>
    <w:p w14:paraId="2BC91568" w14:textId="77777777" w:rsidR="00EE7BB4" w:rsidRDefault="00EE7BB4" w:rsidP="00EE7BB4">
      <w:pPr>
        <w:rPr>
          <w:bCs/>
        </w:rPr>
      </w:pPr>
      <w:r w:rsidRPr="0072296E">
        <w:rPr>
          <w:bCs/>
        </w:rPr>
        <w:t>The effective date of the next triennial recertification will not be changed to align with the new lease date when and if a move occurs after study enrollment</w:t>
      </w:r>
      <w:r>
        <w:rPr>
          <w:bCs/>
        </w:rPr>
        <w:t>.</w:t>
      </w:r>
    </w:p>
    <w:p w14:paraId="5C470F32" w14:textId="77777777" w:rsidR="00EE7BB4" w:rsidRPr="00EE7BB4" w:rsidRDefault="00EE7BB4" w:rsidP="00EE7BB4">
      <w:r w:rsidRPr="0072296E">
        <w:rPr>
          <w:bCs/>
        </w:rPr>
        <w:t>When a move occurs within one or two months following study enrollment, HHA may move the effective date of the first recertification to match the new lease date; however, after that the effective date of the next triennial recertification will not be changed</w:t>
      </w:r>
      <w:r>
        <w:rPr>
          <w:bCs/>
        </w:rPr>
        <w:t>.</w:t>
      </w:r>
    </w:p>
    <w:p w14:paraId="2D1ED7E4" w14:textId="77777777" w:rsidR="00267F27" w:rsidRPr="00A2158C" w:rsidRDefault="00267F27" w:rsidP="00677451">
      <w:pPr>
        <w:pStyle w:val="Heading3"/>
      </w:pPr>
      <w:bookmarkStart w:id="3432" w:name="_Toc137809125"/>
      <w:bookmarkStart w:id="3433" w:name="_Toc137809667"/>
      <w:bookmarkStart w:id="3434" w:name="_Toc137809911"/>
      <w:bookmarkStart w:id="3435" w:name="_Toc137810223"/>
      <w:bookmarkStart w:id="3436" w:name="_Toc138429556"/>
      <w:bookmarkStart w:id="3437" w:name="_Toc138430391"/>
      <w:bookmarkStart w:id="3438" w:name="_Toc138860645"/>
      <w:bookmarkStart w:id="3439" w:name="_Toc147141944"/>
      <w:bookmarkStart w:id="3440" w:name="_Toc200375838"/>
      <w:r w:rsidRPr="00A2158C">
        <w:t>Control Group</w:t>
      </w:r>
      <w:bookmarkEnd w:id="3432"/>
      <w:bookmarkEnd w:id="3433"/>
      <w:bookmarkEnd w:id="3434"/>
      <w:bookmarkEnd w:id="3435"/>
      <w:bookmarkEnd w:id="3436"/>
      <w:bookmarkEnd w:id="3437"/>
      <w:bookmarkEnd w:id="3438"/>
      <w:bookmarkEnd w:id="3439"/>
      <w:bookmarkEnd w:id="3440"/>
    </w:p>
    <w:p w14:paraId="134D20CB" w14:textId="77777777" w:rsidR="00267F27" w:rsidRPr="00A2158C" w:rsidRDefault="00267F27" w:rsidP="00267F27">
      <w:r w:rsidRPr="00A2158C">
        <w:t xml:space="preserve">If a household moves, HHA will update any applicable utility allowance and conduct an </w:t>
      </w:r>
      <w:r w:rsidRPr="00CF1B9E">
        <w:rPr>
          <w:i/>
          <w:iCs/>
        </w:rPr>
        <w:t>Other Change of Unit</w:t>
      </w:r>
      <w:r w:rsidRPr="00A2158C">
        <w:t xml:space="preserve"> action type to process the move.  HHA will conduct a reexamination and update the income and rent at the time of the move.</w:t>
      </w:r>
    </w:p>
    <w:p w14:paraId="10EFD2DB" w14:textId="77777777" w:rsidR="00267F27" w:rsidRDefault="00267F27" w:rsidP="00267F27">
      <w:r w:rsidRPr="00A2158C">
        <w:t xml:space="preserve">The effective date of the next annual recertification will change to align with the new lease date.  </w:t>
      </w:r>
    </w:p>
    <w:p w14:paraId="5B78DD7F" w14:textId="77777777" w:rsidR="00701764" w:rsidRDefault="00701764" w:rsidP="00677451">
      <w:pPr>
        <w:pStyle w:val="Heading3"/>
      </w:pPr>
      <w:bookmarkStart w:id="3441" w:name="_Toc200375839"/>
      <w:r>
        <w:t>Excluded Group</w:t>
      </w:r>
      <w:bookmarkEnd w:id="3441"/>
    </w:p>
    <w:p w14:paraId="46D624FB" w14:textId="77777777" w:rsidR="00701764" w:rsidRPr="00701764" w:rsidRDefault="00701764" w:rsidP="00701764">
      <w:r w:rsidRPr="00701764">
        <w:t>If a household moves, HHA will update any applicable utility allowance and conduct an Other Change of Unit action type to process the move.  HHA will conduct a reexamination and update the income and rent at the time of the move.</w:t>
      </w:r>
    </w:p>
    <w:p w14:paraId="205594D7" w14:textId="77777777" w:rsidR="00701764" w:rsidRPr="00701764" w:rsidRDefault="00701764" w:rsidP="00701764">
      <w:r w:rsidRPr="00701764">
        <w:t xml:space="preserve">The effective date of the next triennial recertification will change to align with the new lease date.  </w:t>
      </w:r>
    </w:p>
    <w:p w14:paraId="0E3BC5EA" w14:textId="77777777" w:rsidR="00EC3531" w:rsidRDefault="00D2215D" w:rsidP="00EC3531">
      <w:pPr>
        <w:pStyle w:val="Heading2"/>
      </w:pPr>
      <w:bookmarkStart w:id="3442" w:name="_Toc173222773"/>
      <w:bookmarkStart w:id="3443" w:name="_Toc200375840"/>
      <w:bookmarkStart w:id="3444" w:name="_Toc200377039"/>
      <w:r>
        <w:t>Security Deposits for All Transfers</w:t>
      </w:r>
      <w:bookmarkEnd w:id="3442"/>
      <w:bookmarkEnd w:id="3443"/>
      <w:bookmarkEnd w:id="3444"/>
    </w:p>
    <w:p w14:paraId="26245243" w14:textId="77777777" w:rsidR="00EC3531" w:rsidRDefault="00EC3531" w:rsidP="00EC3531">
      <w:pPr>
        <w:rPr>
          <w:szCs w:val="24"/>
        </w:rPr>
      </w:pPr>
      <w:r>
        <w:rPr>
          <w:szCs w:val="24"/>
        </w:rPr>
        <w:t xml:space="preserve">When a family transfers from one unit to another, </w:t>
      </w:r>
      <w:r w:rsidR="00A73199">
        <w:rPr>
          <w:szCs w:val="24"/>
        </w:rPr>
        <w:t>HHA</w:t>
      </w:r>
      <w:r>
        <w:rPr>
          <w:szCs w:val="24"/>
        </w:rPr>
        <w:t xml:space="preserve"> will transfer their security deposit to the new unit. The tenant will be billed for any maintenance or others charges due for the “old” unit.</w:t>
      </w:r>
    </w:p>
    <w:p w14:paraId="5A74AD47" w14:textId="77777777" w:rsidR="00EC3531" w:rsidRDefault="00EC3531" w:rsidP="00EC3531">
      <w:pPr>
        <w:pStyle w:val="Heading2"/>
      </w:pPr>
      <w:bookmarkStart w:id="3445" w:name="_Toc106038017"/>
      <w:bookmarkStart w:id="3446" w:name="_Toc106201656"/>
      <w:bookmarkStart w:id="3447" w:name="_Toc106202175"/>
      <w:bookmarkStart w:id="3448" w:name="_Toc106202701"/>
      <w:bookmarkStart w:id="3449" w:name="_Toc113345157"/>
      <w:bookmarkStart w:id="3450" w:name="_Toc137460443"/>
      <w:bookmarkStart w:id="3451" w:name="_Toc137460688"/>
      <w:bookmarkStart w:id="3452" w:name="_Toc137460933"/>
      <w:bookmarkStart w:id="3453" w:name="_Toc137461901"/>
      <w:bookmarkStart w:id="3454" w:name="_Toc137471492"/>
      <w:bookmarkStart w:id="3455" w:name="_Toc137472001"/>
      <w:bookmarkStart w:id="3456" w:name="_Toc173222774"/>
      <w:bookmarkStart w:id="3457" w:name="_Toc200375841"/>
      <w:bookmarkStart w:id="3458" w:name="_Toc200377040"/>
      <w:r>
        <w:t>T</w:t>
      </w:r>
      <w:r w:rsidR="00C009D1">
        <w:t>ransfer and Pending Legal Actions/Determination</w:t>
      </w:r>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p>
    <w:p w14:paraId="49286DEF" w14:textId="77777777" w:rsidR="00EC3531" w:rsidRPr="00D64429" w:rsidRDefault="00EC3531" w:rsidP="00EC3531">
      <w:pPr>
        <w:rPr>
          <w:rFonts w:cs="Arial"/>
          <w:color w:val="FF0000"/>
        </w:rPr>
      </w:pPr>
      <w:r w:rsidRPr="00AD2B20">
        <w:rPr>
          <w:rFonts w:cs="Arial"/>
        </w:rPr>
        <w:t xml:space="preserve">As provided for in the lease, any pending legal actions or existing debts will transfer with the resident family in the event a resident family is allowed to transfer. Execution of a new lease does not waive </w:t>
      </w:r>
      <w:r w:rsidR="00A73199">
        <w:rPr>
          <w:rFonts w:cs="Arial"/>
        </w:rPr>
        <w:t>HHA</w:t>
      </w:r>
      <w:r w:rsidRPr="00AD2B20">
        <w:rPr>
          <w:rFonts w:cs="Arial"/>
        </w:rPr>
        <w:t xml:space="preserve"> rights to collect payments due under a prior lease or waive </w:t>
      </w:r>
      <w:r w:rsidR="00A73199">
        <w:rPr>
          <w:rFonts w:cs="Arial"/>
        </w:rPr>
        <w:t>HHA</w:t>
      </w:r>
      <w:r w:rsidRPr="00AD2B20">
        <w:rPr>
          <w:rFonts w:cs="Arial"/>
        </w:rPr>
        <w:t xml:space="preserve">’s rights to pursue termination or eviction actions under a prior lease.  </w:t>
      </w:r>
    </w:p>
    <w:p w14:paraId="2F0E4E4E" w14:textId="77777777" w:rsidR="00EC3531" w:rsidRPr="009709BC" w:rsidRDefault="00EC3531" w:rsidP="00EC3531">
      <w:pPr>
        <w:pStyle w:val="Heading2"/>
      </w:pPr>
      <w:bookmarkStart w:id="3459" w:name="_Toc106038021"/>
      <w:bookmarkStart w:id="3460" w:name="_Toc106201660"/>
      <w:bookmarkStart w:id="3461" w:name="_Toc106202179"/>
      <w:bookmarkStart w:id="3462" w:name="_Toc106202705"/>
      <w:bookmarkStart w:id="3463" w:name="_Toc113345161"/>
      <w:bookmarkStart w:id="3464" w:name="_Toc137460447"/>
      <w:bookmarkStart w:id="3465" w:name="_Toc137460692"/>
      <w:bookmarkStart w:id="3466" w:name="_Toc137460937"/>
      <w:bookmarkStart w:id="3467" w:name="_Toc137461905"/>
      <w:bookmarkStart w:id="3468" w:name="_Toc137471496"/>
      <w:bookmarkStart w:id="3469" w:name="_Toc137472005"/>
      <w:bookmarkStart w:id="3470" w:name="_Ref163642936"/>
      <w:bookmarkStart w:id="3471" w:name="_Ref163642956"/>
      <w:bookmarkStart w:id="3472" w:name="_Toc173222775"/>
      <w:bookmarkStart w:id="3473" w:name="_Toc200375842"/>
      <w:bookmarkStart w:id="3474" w:name="_Toc200377041"/>
      <w:r w:rsidRPr="009709BC">
        <w:t>T</w:t>
      </w:r>
      <w:r w:rsidR="00521973">
        <w:t>ransfer Offer Policy</w:t>
      </w:r>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p>
    <w:p w14:paraId="52DED011" w14:textId="77777777" w:rsidR="00EC3531" w:rsidRDefault="00EC3531" w:rsidP="00EC3531">
      <w:pPr>
        <w:rPr>
          <w:szCs w:val="24"/>
        </w:rPr>
      </w:pPr>
      <w:r>
        <w:rPr>
          <w:szCs w:val="24"/>
        </w:rPr>
        <w:t>Residents will receive one offer of a transfer.</w:t>
      </w:r>
    </w:p>
    <w:p w14:paraId="48E0EBD3" w14:textId="77777777" w:rsidR="00EC3531" w:rsidRDefault="00EC3531" w:rsidP="00EC3531">
      <w:pPr>
        <w:rPr>
          <w:szCs w:val="24"/>
        </w:rPr>
      </w:pPr>
      <w:r>
        <w:rPr>
          <w:szCs w:val="24"/>
        </w:rPr>
        <w:t xml:space="preserve">When the transfer is required by </w:t>
      </w:r>
      <w:r w:rsidR="00A73199">
        <w:rPr>
          <w:szCs w:val="24"/>
        </w:rPr>
        <w:t>HHA</w:t>
      </w:r>
      <w:r>
        <w:rPr>
          <w:szCs w:val="24"/>
        </w:rPr>
        <w:t>, the refusal of that offer without good cause will result in lease termination.</w:t>
      </w:r>
    </w:p>
    <w:p w14:paraId="77C3DAB6" w14:textId="77777777" w:rsidR="00EC3531" w:rsidRDefault="00EC3531" w:rsidP="00EC3531">
      <w:r>
        <w:rPr>
          <w:szCs w:val="24"/>
        </w:rPr>
        <w:t xml:space="preserve">When the transfer has been requested by the resident, </w:t>
      </w:r>
      <w:r w:rsidR="00D82733">
        <w:t>if</w:t>
      </w:r>
      <w:r w:rsidR="00D82733" w:rsidRPr="00A2158C">
        <w:t xml:space="preserve"> a household declines the </w:t>
      </w:r>
      <w:r w:rsidR="00AB2102">
        <w:t xml:space="preserve">offered </w:t>
      </w:r>
      <w:r w:rsidR="00D82733" w:rsidRPr="00A2158C">
        <w:t>unit</w:t>
      </w:r>
      <w:r w:rsidR="00AB2102">
        <w:t xml:space="preserve"> </w:t>
      </w:r>
      <w:r w:rsidR="00D82733" w:rsidRPr="00A2158C">
        <w:t>a lease termination</w:t>
      </w:r>
      <w:r w:rsidR="00D82733" w:rsidRPr="00A2158C">
        <w:rPr>
          <w:spacing w:val="-9"/>
        </w:rPr>
        <w:t xml:space="preserve"> </w:t>
      </w:r>
      <w:r w:rsidR="00D82733" w:rsidRPr="00A2158C">
        <w:t>will</w:t>
      </w:r>
      <w:r w:rsidR="00D82733" w:rsidRPr="00A2158C">
        <w:rPr>
          <w:spacing w:val="-6"/>
        </w:rPr>
        <w:t xml:space="preserve"> </w:t>
      </w:r>
      <w:r w:rsidR="00D82733" w:rsidRPr="00A2158C">
        <w:t>not</w:t>
      </w:r>
      <w:r w:rsidR="00D82733" w:rsidRPr="00A2158C">
        <w:rPr>
          <w:spacing w:val="-5"/>
        </w:rPr>
        <w:t xml:space="preserve"> </w:t>
      </w:r>
      <w:r w:rsidR="00D82733" w:rsidRPr="00A2158C">
        <w:t>be</w:t>
      </w:r>
      <w:r w:rsidR="00D82733" w:rsidRPr="00A2158C">
        <w:rPr>
          <w:spacing w:val="-4"/>
        </w:rPr>
        <w:t xml:space="preserve"> </w:t>
      </w:r>
      <w:r w:rsidR="00D82733" w:rsidRPr="00A2158C">
        <w:t>issued.</w:t>
      </w:r>
      <w:r w:rsidR="00AB2102">
        <w:t xml:space="preserve"> </w:t>
      </w:r>
      <w:r w:rsidR="00D82733" w:rsidRPr="00A2158C">
        <w:t>The</w:t>
      </w:r>
      <w:r w:rsidR="00D82733" w:rsidRPr="00A2158C">
        <w:rPr>
          <w:spacing w:val="-6"/>
        </w:rPr>
        <w:t xml:space="preserve"> </w:t>
      </w:r>
      <w:r w:rsidR="00AB2102">
        <w:rPr>
          <w:spacing w:val="-6"/>
        </w:rPr>
        <w:t>h</w:t>
      </w:r>
      <w:r w:rsidR="00D82733" w:rsidRPr="00A2158C">
        <w:t>ousehold’s</w:t>
      </w:r>
      <w:r w:rsidR="00D82733" w:rsidRPr="00A2158C">
        <w:rPr>
          <w:spacing w:val="-6"/>
        </w:rPr>
        <w:t xml:space="preserve"> </w:t>
      </w:r>
      <w:r w:rsidR="00D82733" w:rsidRPr="00A2158C">
        <w:t>refusal</w:t>
      </w:r>
      <w:r w:rsidR="00D82733" w:rsidRPr="00A2158C">
        <w:rPr>
          <w:spacing w:val="-6"/>
        </w:rPr>
        <w:t xml:space="preserve"> </w:t>
      </w:r>
      <w:r w:rsidR="00D82733" w:rsidRPr="00A2158C">
        <w:t>of</w:t>
      </w:r>
      <w:r w:rsidR="00D82733" w:rsidRPr="00A2158C">
        <w:rPr>
          <w:spacing w:val="-5"/>
        </w:rPr>
        <w:t xml:space="preserve"> </w:t>
      </w:r>
      <w:r w:rsidR="00D82733" w:rsidRPr="00A2158C">
        <w:t>a</w:t>
      </w:r>
      <w:r w:rsidR="00D82733" w:rsidRPr="00A2158C">
        <w:rPr>
          <w:spacing w:val="-6"/>
        </w:rPr>
        <w:t xml:space="preserve"> </w:t>
      </w:r>
      <w:r w:rsidR="00D82733" w:rsidRPr="00A2158C">
        <w:t>unit</w:t>
      </w:r>
      <w:r w:rsidR="00D82733" w:rsidRPr="00A2158C">
        <w:rPr>
          <w:spacing w:val="-5"/>
        </w:rPr>
        <w:t xml:space="preserve"> </w:t>
      </w:r>
      <w:r w:rsidR="00D82733" w:rsidRPr="00A2158C">
        <w:t>transfer</w:t>
      </w:r>
      <w:r w:rsidR="00D82733" w:rsidRPr="00A2158C">
        <w:rPr>
          <w:spacing w:val="-5"/>
        </w:rPr>
        <w:t xml:space="preserve"> </w:t>
      </w:r>
      <w:r w:rsidR="000A2AA0">
        <w:rPr>
          <w:spacing w:val="-5"/>
        </w:rPr>
        <w:t xml:space="preserve">without good cause </w:t>
      </w:r>
      <w:r w:rsidR="00D82733" w:rsidRPr="00A2158C">
        <w:t>will</w:t>
      </w:r>
      <w:r w:rsidR="00D82733" w:rsidRPr="00A2158C">
        <w:rPr>
          <w:spacing w:val="-5"/>
        </w:rPr>
        <w:t xml:space="preserve"> </w:t>
      </w:r>
      <w:r w:rsidR="00D82733" w:rsidRPr="00A2158C">
        <w:t>be</w:t>
      </w:r>
      <w:r w:rsidR="00D82733" w:rsidRPr="00A2158C">
        <w:rPr>
          <w:spacing w:val="-7"/>
        </w:rPr>
        <w:t xml:space="preserve"> </w:t>
      </w:r>
      <w:r w:rsidR="00D82733" w:rsidRPr="00A2158C">
        <w:t>perceived</w:t>
      </w:r>
      <w:r w:rsidR="00D82733" w:rsidRPr="00A2158C">
        <w:rPr>
          <w:spacing w:val="-6"/>
        </w:rPr>
        <w:t xml:space="preserve"> </w:t>
      </w:r>
      <w:r w:rsidR="00D82733" w:rsidRPr="00A2158C">
        <w:t xml:space="preserve">by HHA as the households’ right to remain in their current unit. </w:t>
      </w:r>
    </w:p>
    <w:p w14:paraId="2FAA68E3" w14:textId="77777777" w:rsidR="00EC3531" w:rsidRDefault="00EC3531" w:rsidP="00EC3531">
      <w:pPr>
        <w:pStyle w:val="Heading2"/>
      </w:pPr>
      <w:bookmarkStart w:id="3475" w:name="_Toc106038022"/>
      <w:bookmarkStart w:id="3476" w:name="_Toc106201661"/>
      <w:bookmarkStart w:id="3477" w:name="_Toc106202180"/>
      <w:bookmarkStart w:id="3478" w:name="_Toc106202706"/>
      <w:bookmarkStart w:id="3479" w:name="_Toc113345162"/>
      <w:bookmarkStart w:id="3480" w:name="_Toc137460448"/>
      <w:bookmarkStart w:id="3481" w:name="_Toc137460693"/>
      <w:bookmarkStart w:id="3482" w:name="_Toc137460938"/>
      <w:bookmarkStart w:id="3483" w:name="_Toc137461906"/>
      <w:bookmarkStart w:id="3484" w:name="_Toc137471497"/>
      <w:bookmarkStart w:id="3485" w:name="_Toc137472006"/>
      <w:bookmarkStart w:id="3486" w:name="_Ref163643073"/>
      <w:bookmarkStart w:id="3487" w:name="_Toc173222776"/>
      <w:bookmarkStart w:id="3488" w:name="_Toc200375843"/>
      <w:bookmarkStart w:id="3489" w:name="_Toc200377042"/>
      <w:r>
        <w:t>G</w:t>
      </w:r>
      <w:r w:rsidR="00AB2102">
        <w:t>ood Cause for Unit Refusal</w:t>
      </w:r>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p>
    <w:p w14:paraId="37868E2E" w14:textId="77777777" w:rsidR="00EC3531" w:rsidRDefault="00EC3531" w:rsidP="00EC3531">
      <w:pPr>
        <w:rPr>
          <w:szCs w:val="24"/>
        </w:rPr>
      </w:pPr>
      <w:r w:rsidRPr="00867B80">
        <w:t>A tenant may refuse a transfer unit offer with verifiable good cause</w:t>
      </w:r>
      <w:r>
        <w:t>.</w:t>
      </w:r>
      <w:r w:rsidRPr="00827A21">
        <w:rPr>
          <w:szCs w:val="24"/>
        </w:rPr>
        <w:t xml:space="preserve"> Reasons offered must be specific to the family. Refusals due to location alone do not qualify for this good cause exemption.</w:t>
      </w:r>
      <w:r>
        <w:rPr>
          <w:szCs w:val="24"/>
        </w:rPr>
        <w:t xml:space="preserve"> </w:t>
      </w:r>
      <w:r w:rsidR="00A73199">
        <w:rPr>
          <w:szCs w:val="24"/>
        </w:rPr>
        <w:t>HHA</w:t>
      </w:r>
      <w:r>
        <w:rPr>
          <w:szCs w:val="24"/>
        </w:rPr>
        <w:t xml:space="preserve"> will require documentation of good cause for unit refusals.</w:t>
      </w:r>
    </w:p>
    <w:p w14:paraId="400939A7" w14:textId="77777777" w:rsidR="00EC3531" w:rsidRDefault="00EC3531" w:rsidP="00F832BB">
      <w:pPr>
        <w:rPr>
          <w:szCs w:val="24"/>
        </w:rPr>
      </w:pPr>
      <w:r>
        <w:rPr>
          <w:szCs w:val="24"/>
        </w:rPr>
        <w:t>Examples of good cause for refusal of a unit offer include, but are not limited to, the following:</w:t>
      </w:r>
    </w:p>
    <w:p w14:paraId="3CF58553" w14:textId="77777777" w:rsidR="00EC3531" w:rsidRDefault="00EC3531" w:rsidP="007F177E">
      <w:pPr>
        <w:pStyle w:val="ListParagraph"/>
        <w:numPr>
          <w:ilvl w:val="0"/>
          <w:numId w:val="175"/>
        </w:numPr>
        <w:contextualSpacing w:val="0"/>
        <w:rPr>
          <w:szCs w:val="24"/>
        </w:rPr>
      </w:pPr>
      <w:r>
        <w:t xml:space="preserve">The family demonstrates to </w:t>
      </w:r>
      <w:r w:rsidR="00A73199">
        <w:t>HHA</w:t>
      </w:r>
      <w:r>
        <w:t xml:space="preserve">’s satisfaction </w:t>
      </w:r>
      <w:r w:rsidRPr="00827A21">
        <w:rPr>
          <w:szCs w:val="24"/>
        </w:rPr>
        <w:t>that accepting the unit offer will require an adult household member to quit a job, drop out of an educational institution or job training program, or take a child out of day care or an educational program for children with disabilities.</w:t>
      </w:r>
    </w:p>
    <w:p w14:paraId="320889D5" w14:textId="77777777" w:rsidR="00EC3531" w:rsidRDefault="00EC3531" w:rsidP="007F177E">
      <w:pPr>
        <w:pStyle w:val="ListParagraph"/>
        <w:numPr>
          <w:ilvl w:val="0"/>
          <w:numId w:val="175"/>
        </w:numPr>
        <w:contextualSpacing w:val="0"/>
        <w:rPr>
          <w:szCs w:val="24"/>
        </w:rPr>
      </w:pPr>
      <w:r w:rsidRPr="00827A21">
        <w:rPr>
          <w:szCs w:val="24"/>
        </w:rPr>
        <w:t xml:space="preserve">The family demonstrates to </w:t>
      </w:r>
      <w:r w:rsidR="00A73199">
        <w:rPr>
          <w:szCs w:val="24"/>
        </w:rPr>
        <w:t>HHA</w:t>
      </w:r>
      <w:r w:rsidRPr="00827A21">
        <w:rPr>
          <w:szCs w:val="24"/>
        </w:rPr>
        <w:t xml:space="preserve">’s satisfaction that accepting the offer will place a family member’s life, health, or safety in jeopardy. The family should offer specific and compelling documentation such as restraining orders, other court orders, risk assessments related to witness protection from a law enforcement agency, or documentation of </w:t>
      </w:r>
      <w:r w:rsidR="003736FB" w:rsidRPr="006279F1">
        <w:rPr>
          <w:rFonts w:cs="Arial"/>
          <w:spacing w:val="-2"/>
        </w:rPr>
        <w:t>domestic violence, dating violence, sexual assault, stalking and/or human trafficking</w:t>
      </w:r>
      <w:r>
        <w:rPr>
          <w:szCs w:val="24"/>
        </w:rPr>
        <w:t xml:space="preserve">. </w:t>
      </w:r>
    </w:p>
    <w:p w14:paraId="0C9C9190" w14:textId="77777777" w:rsidR="00EC3531" w:rsidRDefault="00EC3531" w:rsidP="007F177E">
      <w:pPr>
        <w:pStyle w:val="ListParagraph"/>
        <w:numPr>
          <w:ilvl w:val="0"/>
          <w:numId w:val="175"/>
        </w:numPr>
        <w:contextualSpacing w:val="0"/>
        <w:rPr>
          <w:szCs w:val="24"/>
        </w:rPr>
      </w:pPr>
      <w:r w:rsidRPr="00827A21">
        <w:rPr>
          <w:szCs w:val="24"/>
        </w:rPr>
        <w:t>A health professional verifies temporary hospitalization or recovery from illness of the principal household member, other household members (as listed on final application) or live-in aide necessary to the care of the principal household member.</w:t>
      </w:r>
    </w:p>
    <w:p w14:paraId="6D890B57" w14:textId="77777777" w:rsidR="00EC3531" w:rsidRDefault="00EC3531" w:rsidP="007F177E">
      <w:pPr>
        <w:pStyle w:val="ListParagraph"/>
        <w:numPr>
          <w:ilvl w:val="0"/>
          <w:numId w:val="175"/>
        </w:numPr>
        <w:contextualSpacing w:val="0"/>
        <w:rPr>
          <w:szCs w:val="24"/>
        </w:rPr>
      </w:pPr>
      <w:r w:rsidRPr="00827A21">
        <w:rPr>
          <w:szCs w:val="24"/>
        </w:rPr>
        <w:t>The unit is inappropriate for the applicant’s disabilities, or the family does not need the accessible features in the unit offered and does not want to be subject to a 30-day notice to move.</w:t>
      </w:r>
    </w:p>
    <w:p w14:paraId="3D84F421" w14:textId="77777777" w:rsidR="00EC3531" w:rsidRPr="00827A21" w:rsidRDefault="00EC3531" w:rsidP="007F177E">
      <w:pPr>
        <w:pStyle w:val="ListParagraph"/>
        <w:numPr>
          <w:ilvl w:val="0"/>
          <w:numId w:val="175"/>
        </w:numPr>
        <w:contextualSpacing w:val="0"/>
        <w:rPr>
          <w:szCs w:val="24"/>
        </w:rPr>
      </w:pPr>
      <w:r w:rsidRPr="00827A21">
        <w:rPr>
          <w:szCs w:val="24"/>
        </w:rPr>
        <w:t>The unit has lead-based paint and the family includes children under the age of six.</w:t>
      </w:r>
    </w:p>
    <w:p w14:paraId="309662A4" w14:textId="77777777" w:rsidR="00EC3531" w:rsidRPr="00D64429" w:rsidRDefault="00EC3531" w:rsidP="00EC3531">
      <w:pPr>
        <w:pStyle w:val="Heading2"/>
        <w:rPr>
          <w:szCs w:val="24"/>
        </w:rPr>
      </w:pPr>
      <w:bookmarkStart w:id="3490" w:name="_Toc113345163"/>
      <w:bookmarkStart w:id="3491" w:name="_Toc137460449"/>
      <w:bookmarkStart w:id="3492" w:name="_Toc137460694"/>
      <w:bookmarkStart w:id="3493" w:name="_Toc137460939"/>
      <w:bookmarkStart w:id="3494" w:name="_Toc137461907"/>
      <w:bookmarkStart w:id="3495" w:name="_Toc137471498"/>
      <w:bookmarkStart w:id="3496" w:name="_Toc137472007"/>
      <w:bookmarkStart w:id="3497" w:name="_Toc173222777"/>
      <w:bookmarkStart w:id="3498" w:name="_Toc200375844"/>
      <w:bookmarkStart w:id="3499" w:name="_Toc200377043"/>
      <w:r w:rsidRPr="00D64429">
        <w:t>D</w:t>
      </w:r>
      <w:bookmarkEnd w:id="3490"/>
      <w:bookmarkEnd w:id="3491"/>
      <w:bookmarkEnd w:id="3492"/>
      <w:bookmarkEnd w:id="3493"/>
      <w:bookmarkEnd w:id="3494"/>
      <w:bookmarkEnd w:id="3495"/>
      <w:bookmarkEnd w:id="3496"/>
      <w:r w:rsidR="00ED2C0A">
        <w:t>econcentration</w:t>
      </w:r>
      <w:bookmarkEnd w:id="3497"/>
      <w:bookmarkEnd w:id="3498"/>
      <w:bookmarkEnd w:id="3499"/>
    </w:p>
    <w:p w14:paraId="14530074" w14:textId="77777777" w:rsidR="00EC3531" w:rsidRDefault="00EC3531" w:rsidP="000C66F7">
      <w:pPr>
        <w:rPr>
          <w:szCs w:val="24"/>
        </w:rPr>
      </w:pPr>
      <w:r w:rsidRPr="00D64429">
        <w:rPr>
          <w:szCs w:val="24"/>
        </w:rPr>
        <w:t>If subject to deconcentration requirements</w:t>
      </w:r>
      <w:r w:rsidR="00060EC2">
        <w:rPr>
          <w:szCs w:val="24"/>
        </w:rPr>
        <w:t xml:space="preserve"> (see </w:t>
      </w:r>
      <w:r w:rsidR="00060EC2" w:rsidRPr="00060EC2">
        <w:rPr>
          <w:b/>
          <w:bCs/>
          <w:color w:val="0070C0"/>
          <w:szCs w:val="24"/>
        </w:rPr>
        <w:fldChar w:fldCharType="begin"/>
      </w:r>
      <w:r w:rsidR="00060EC2" w:rsidRPr="00060EC2">
        <w:rPr>
          <w:b/>
          <w:bCs/>
          <w:color w:val="0070C0"/>
          <w:szCs w:val="24"/>
        </w:rPr>
        <w:instrText xml:space="preserve"> REF _Ref160548555 \h  \* MERGEFORMAT </w:instrText>
      </w:r>
      <w:r w:rsidR="00060EC2" w:rsidRPr="00060EC2">
        <w:rPr>
          <w:b/>
          <w:bCs/>
          <w:color w:val="0070C0"/>
          <w:szCs w:val="24"/>
        </w:rPr>
      </w:r>
      <w:r w:rsidR="00060EC2" w:rsidRPr="00060EC2">
        <w:rPr>
          <w:b/>
          <w:bCs/>
          <w:color w:val="0070C0"/>
          <w:szCs w:val="24"/>
        </w:rPr>
        <w:fldChar w:fldCharType="separate"/>
      </w:r>
      <w:r w:rsidR="00060EC2" w:rsidRPr="00060EC2">
        <w:rPr>
          <w:b/>
          <w:bCs/>
          <w:color w:val="0070C0"/>
        </w:rPr>
        <w:t>Deconcentration of Poverty and Income Mixing</w:t>
      </w:r>
      <w:r w:rsidR="00060EC2" w:rsidRPr="00060EC2">
        <w:rPr>
          <w:b/>
          <w:bCs/>
          <w:color w:val="0070C0"/>
          <w:szCs w:val="24"/>
        </w:rPr>
        <w:fldChar w:fldCharType="end"/>
      </w:r>
      <w:r w:rsidR="00060EC2">
        <w:rPr>
          <w:szCs w:val="24"/>
        </w:rPr>
        <w:t>)</w:t>
      </w:r>
      <w:r w:rsidRPr="00D64429">
        <w:rPr>
          <w:szCs w:val="24"/>
        </w:rPr>
        <w:t xml:space="preserve">, </w:t>
      </w:r>
      <w:r w:rsidR="00A73199">
        <w:rPr>
          <w:szCs w:val="24"/>
        </w:rPr>
        <w:t>HHA</w:t>
      </w:r>
      <w:r w:rsidRPr="00D64429">
        <w:rPr>
          <w:szCs w:val="24"/>
        </w:rPr>
        <w:t xml:space="preserve"> will consider its deconcentration goals when transfer units are offered. When feasible, families above the </w:t>
      </w:r>
      <w:r w:rsidR="00060EC2">
        <w:rPr>
          <w:szCs w:val="24"/>
        </w:rPr>
        <w:t>e</w:t>
      </w:r>
      <w:r w:rsidRPr="00D64429">
        <w:rPr>
          <w:szCs w:val="24"/>
        </w:rPr>
        <w:t xml:space="preserve">stablished </w:t>
      </w:r>
      <w:r w:rsidR="00060EC2">
        <w:rPr>
          <w:szCs w:val="24"/>
        </w:rPr>
        <w:t>i</w:t>
      </w:r>
      <w:r w:rsidRPr="00D64429">
        <w:rPr>
          <w:szCs w:val="24"/>
        </w:rPr>
        <w:t xml:space="preserve">ncome </w:t>
      </w:r>
      <w:r w:rsidR="00060EC2">
        <w:rPr>
          <w:szCs w:val="24"/>
        </w:rPr>
        <w:t>r</w:t>
      </w:r>
      <w:r w:rsidRPr="00D64429">
        <w:rPr>
          <w:szCs w:val="24"/>
        </w:rPr>
        <w:t xml:space="preserve">ange will be offered a unit in a development that is below the </w:t>
      </w:r>
      <w:r w:rsidR="00060EC2">
        <w:rPr>
          <w:szCs w:val="24"/>
        </w:rPr>
        <w:t>e</w:t>
      </w:r>
      <w:r w:rsidRPr="00D64429">
        <w:rPr>
          <w:szCs w:val="24"/>
        </w:rPr>
        <w:t xml:space="preserve">stablished </w:t>
      </w:r>
      <w:r w:rsidR="00060EC2">
        <w:rPr>
          <w:szCs w:val="24"/>
        </w:rPr>
        <w:t>i</w:t>
      </w:r>
      <w:r w:rsidRPr="00D64429">
        <w:rPr>
          <w:szCs w:val="24"/>
        </w:rPr>
        <w:t xml:space="preserve">ncome </w:t>
      </w:r>
      <w:r w:rsidR="00060EC2">
        <w:rPr>
          <w:szCs w:val="24"/>
        </w:rPr>
        <w:t>r</w:t>
      </w:r>
      <w:r w:rsidRPr="00D64429">
        <w:rPr>
          <w:szCs w:val="24"/>
        </w:rPr>
        <w:t xml:space="preserve">ange, and vice versa, to achieve the </w:t>
      </w:r>
      <w:r w:rsidR="00A73199">
        <w:rPr>
          <w:szCs w:val="24"/>
        </w:rPr>
        <w:t>HHA</w:t>
      </w:r>
      <w:r w:rsidRPr="00D64429">
        <w:rPr>
          <w:szCs w:val="24"/>
        </w:rPr>
        <w:t xml:space="preserve">’s deconcentration goals. A deconcentration offer will be considered a </w:t>
      </w:r>
      <w:r w:rsidRPr="00E8571F">
        <w:rPr>
          <w:i/>
          <w:iCs/>
          <w:szCs w:val="24"/>
        </w:rPr>
        <w:t>bonus</w:t>
      </w:r>
      <w:r w:rsidRPr="00D64429">
        <w:rPr>
          <w:szCs w:val="24"/>
        </w:rPr>
        <w:t xml:space="preserve"> offer; that is, if a resident refuses a deconcentration offer, the resident will receive one additional transfer offer</w:t>
      </w:r>
      <w:r w:rsidRPr="00E8571F">
        <w:rPr>
          <w:szCs w:val="24"/>
        </w:rPr>
        <w:t xml:space="preserve">. </w:t>
      </w:r>
    </w:p>
    <w:p w14:paraId="4F451192" w14:textId="77777777" w:rsidR="000C66F7" w:rsidRDefault="000C66F7" w:rsidP="000C66F7">
      <w:pPr>
        <w:rPr>
          <w:szCs w:val="24"/>
        </w:rPr>
      </w:pPr>
    </w:p>
    <w:p w14:paraId="27BFE70E" w14:textId="77777777" w:rsidR="000C66F7" w:rsidRPr="000C66F7" w:rsidRDefault="000C66F7" w:rsidP="000C66F7">
      <w:pPr>
        <w:rPr>
          <w:strike/>
          <w:color w:val="FF0000"/>
          <w:szCs w:val="24"/>
        </w:rPr>
      </w:pPr>
    </w:p>
    <w:p w14:paraId="080FD5D6" w14:textId="77777777" w:rsidR="00A95B1E" w:rsidRDefault="00A95B1E" w:rsidP="00A95B1E">
      <w:pPr>
        <w:pStyle w:val="Heading1"/>
        <w:ind w:left="0" w:firstLine="0"/>
        <w:sectPr w:rsidR="00A95B1E" w:rsidSect="00EE2233">
          <w:pgSz w:w="12240" w:h="15840"/>
          <w:pgMar w:top="1440" w:right="1440" w:bottom="1440" w:left="1440" w:header="720" w:footer="720" w:gutter="0"/>
          <w:cols w:space="720"/>
          <w:docGrid w:linePitch="360"/>
        </w:sectPr>
      </w:pPr>
    </w:p>
    <w:p w14:paraId="628B2CBC" w14:textId="77777777" w:rsidR="00D440D8" w:rsidRPr="00BB2B05" w:rsidRDefault="0022320B" w:rsidP="00D440D8">
      <w:pPr>
        <w:pStyle w:val="Heading1"/>
        <w:ind w:left="0" w:firstLine="0"/>
      </w:pPr>
      <w:bookmarkStart w:id="3500" w:name="_Ref154580844"/>
      <w:bookmarkStart w:id="3501" w:name="_Toc173222778"/>
      <w:bookmarkStart w:id="3502" w:name="_Toc200375845"/>
      <w:bookmarkStart w:id="3503" w:name="_Toc200377044"/>
      <w:r w:rsidRPr="00BB2B05">
        <w:t xml:space="preserve">HEARINGS AND </w:t>
      </w:r>
      <w:r w:rsidR="002B2C95" w:rsidRPr="00BB2B05">
        <w:t>GRIEVANCES</w:t>
      </w:r>
      <w:bookmarkEnd w:id="3500"/>
      <w:bookmarkEnd w:id="3501"/>
      <w:bookmarkEnd w:id="3502"/>
      <w:bookmarkEnd w:id="3503"/>
    </w:p>
    <w:p w14:paraId="104018C4" w14:textId="77777777" w:rsidR="004643A1" w:rsidRPr="00122C89" w:rsidRDefault="0004532C" w:rsidP="004643A1">
      <w:pPr>
        <w:pStyle w:val="Heading2"/>
      </w:pPr>
      <w:bookmarkStart w:id="3504" w:name="_Toc485980558"/>
      <w:bookmarkStart w:id="3505" w:name="_Toc508698486"/>
      <w:bookmarkStart w:id="3506" w:name="_Toc520796721"/>
      <w:bookmarkStart w:id="3507" w:name="_Toc527019676"/>
      <w:bookmarkStart w:id="3508" w:name="_Toc534707216"/>
      <w:bookmarkStart w:id="3509" w:name="_Toc534707894"/>
      <w:bookmarkStart w:id="3510" w:name="_Toc534708702"/>
      <w:bookmarkStart w:id="3511" w:name="_Toc106038054"/>
      <w:bookmarkStart w:id="3512" w:name="_Toc106201693"/>
      <w:bookmarkStart w:id="3513" w:name="_Toc106202212"/>
      <w:bookmarkStart w:id="3514" w:name="_Toc106202738"/>
      <w:bookmarkStart w:id="3515" w:name="_Toc113345194"/>
      <w:bookmarkStart w:id="3516" w:name="_Toc137460464"/>
      <w:bookmarkStart w:id="3517" w:name="_Toc137460709"/>
      <w:bookmarkStart w:id="3518" w:name="_Toc137460954"/>
      <w:bookmarkStart w:id="3519" w:name="_Toc137461938"/>
      <w:bookmarkStart w:id="3520" w:name="_Toc137471529"/>
      <w:bookmarkStart w:id="3521" w:name="_Toc137472038"/>
      <w:bookmarkStart w:id="3522" w:name="_Toc173222779"/>
      <w:bookmarkStart w:id="3523" w:name="_Toc200375846"/>
      <w:bookmarkStart w:id="3524" w:name="_Toc200377045"/>
      <w:r w:rsidRPr="00122C89">
        <w:t>O</w:t>
      </w:r>
      <w:bookmarkEnd w:id="3504"/>
      <w:r w:rsidRPr="00122C89">
        <w:t>verview</w:t>
      </w:r>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p>
    <w:p w14:paraId="0602E356" w14:textId="77777777" w:rsidR="004643A1" w:rsidRDefault="004643A1" w:rsidP="00D93DA8">
      <w:pPr>
        <w:rPr>
          <w:rFonts w:cs="Arial"/>
          <w:szCs w:val="20"/>
        </w:rPr>
      </w:pPr>
      <w:r>
        <w:rPr>
          <w:rFonts w:cs="Arial"/>
          <w:szCs w:val="20"/>
        </w:rPr>
        <w:t xml:space="preserve">This chapter discusses </w:t>
      </w:r>
      <w:r w:rsidR="00A764B2">
        <w:rPr>
          <w:rFonts w:cs="Arial"/>
          <w:szCs w:val="20"/>
        </w:rPr>
        <w:t xml:space="preserve">grievances and </w:t>
      </w:r>
      <w:r>
        <w:rPr>
          <w:rFonts w:cs="Arial"/>
          <w:szCs w:val="20"/>
        </w:rPr>
        <w:t xml:space="preserve">appeals pertaining to </w:t>
      </w:r>
      <w:r w:rsidR="00CA0DE6">
        <w:rPr>
          <w:rFonts w:cs="Arial"/>
          <w:szCs w:val="20"/>
        </w:rPr>
        <w:t>HHA</w:t>
      </w:r>
      <w:r>
        <w:rPr>
          <w:rFonts w:cs="Arial"/>
          <w:szCs w:val="20"/>
        </w:rPr>
        <w:t xml:space="preserve"> actions or failures to act that adversely affect public housing applicants or residents. There is a separate process for each of the following:</w:t>
      </w:r>
    </w:p>
    <w:p w14:paraId="37D7FC56" w14:textId="77777777" w:rsidR="004643A1" w:rsidRPr="001C434C" w:rsidRDefault="004643A1" w:rsidP="007F177E">
      <w:pPr>
        <w:pStyle w:val="ListParagraph"/>
        <w:numPr>
          <w:ilvl w:val="0"/>
          <w:numId w:val="122"/>
        </w:numPr>
        <w:contextualSpacing w:val="0"/>
        <w:rPr>
          <w:rFonts w:cs="Arial"/>
          <w:szCs w:val="20"/>
        </w:rPr>
      </w:pPr>
      <w:r>
        <w:rPr>
          <w:rFonts w:cs="Arial"/>
          <w:szCs w:val="20"/>
        </w:rPr>
        <w:t>Informal hearings for applicants;</w:t>
      </w:r>
      <w:r w:rsidRPr="001C434C">
        <w:rPr>
          <w:rFonts w:cs="Arial"/>
          <w:szCs w:val="20"/>
        </w:rPr>
        <w:t xml:space="preserve"> </w:t>
      </w:r>
    </w:p>
    <w:p w14:paraId="73F83B84" w14:textId="77777777" w:rsidR="004643A1" w:rsidRDefault="004643A1" w:rsidP="007F177E">
      <w:pPr>
        <w:pStyle w:val="ListParagraph"/>
        <w:numPr>
          <w:ilvl w:val="0"/>
          <w:numId w:val="122"/>
        </w:numPr>
        <w:contextualSpacing w:val="0"/>
        <w:rPr>
          <w:rFonts w:cs="Arial"/>
          <w:szCs w:val="20"/>
        </w:rPr>
      </w:pPr>
      <w:r>
        <w:rPr>
          <w:rFonts w:cs="Arial"/>
          <w:szCs w:val="20"/>
        </w:rPr>
        <w:t>Hearings and appeals for noncitizens</w:t>
      </w:r>
      <w:r w:rsidR="00D93DA8">
        <w:rPr>
          <w:rFonts w:cs="Arial"/>
          <w:szCs w:val="20"/>
        </w:rPr>
        <w:t>; and</w:t>
      </w:r>
    </w:p>
    <w:p w14:paraId="151033B6" w14:textId="77777777" w:rsidR="00D93DA8" w:rsidRDefault="00D93DA8" w:rsidP="007F177E">
      <w:pPr>
        <w:pStyle w:val="ListParagraph"/>
        <w:numPr>
          <w:ilvl w:val="0"/>
          <w:numId w:val="122"/>
        </w:numPr>
        <w:contextualSpacing w:val="0"/>
        <w:rPr>
          <w:rFonts w:cs="Arial"/>
          <w:szCs w:val="20"/>
        </w:rPr>
      </w:pPr>
      <w:r>
        <w:rPr>
          <w:rFonts w:cs="Arial"/>
          <w:szCs w:val="20"/>
        </w:rPr>
        <w:t>Grievance procedures for public housing residents.</w:t>
      </w:r>
    </w:p>
    <w:p w14:paraId="299C913B" w14:textId="77777777" w:rsidR="004643A1" w:rsidRPr="00122C89" w:rsidRDefault="0004532C" w:rsidP="004643A1">
      <w:pPr>
        <w:pStyle w:val="Heading2"/>
      </w:pPr>
      <w:bookmarkStart w:id="3525" w:name="_Toc485980559"/>
      <w:bookmarkStart w:id="3526" w:name="_Ref488211622"/>
      <w:bookmarkStart w:id="3527" w:name="_Toc508698487"/>
      <w:bookmarkStart w:id="3528" w:name="_Ref514313725"/>
      <w:bookmarkStart w:id="3529" w:name="_Toc520796722"/>
      <w:bookmarkStart w:id="3530" w:name="_Toc527019677"/>
      <w:bookmarkStart w:id="3531" w:name="_Toc534707217"/>
      <w:bookmarkStart w:id="3532" w:name="_Toc534707895"/>
      <w:bookmarkStart w:id="3533" w:name="_Toc534708703"/>
      <w:bookmarkStart w:id="3534" w:name="_Toc106038055"/>
      <w:bookmarkStart w:id="3535" w:name="_Toc106201694"/>
      <w:bookmarkStart w:id="3536" w:name="_Toc106202213"/>
      <w:bookmarkStart w:id="3537" w:name="_Toc106202739"/>
      <w:bookmarkStart w:id="3538" w:name="_Toc113345195"/>
      <w:bookmarkStart w:id="3539" w:name="_Toc137460465"/>
      <w:bookmarkStart w:id="3540" w:name="_Toc137460710"/>
      <w:bookmarkStart w:id="3541" w:name="_Toc137460955"/>
      <w:bookmarkStart w:id="3542" w:name="_Toc137461939"/>
      <w:bookmarkStart w:id="3543" w:name="_Toc137471530"/>
      <w:bookmarkStart w:id="3544" w:name="_Toc137472039"/>
      <w:bookmarkStart w:id="3545" w:name="_Toc173222780"/>
      <w:bookmarkStart w:id="3546" w:name="_Toc200375847"/>
      <w:bookmarkStart w:id="3547" w:name="_Toc200377046"/>
      <w:r w:rsidRPr="00122C89">
        <w:t>I</w:t>
      </w:r>
      <w:bookmarkEnd w:id="3525"/>
      <w:r w:rsidRPr="00122C89">
        <w:t xml:space="preserve">nformal </w:t>
      </w:r>
      <w:r>
        <w:t>Hearings</w:t>
      </w:r>
      <w:r w:rsidRPr="00122C89">
        <w:t xml:space="preserve"> </w:t>
      </w:r>
      <w:r w:rsidR="003269E1">
        <w:t>for</w:t>
      </w:r>
      <w:r w:rsidRPr="00122C89">
        <w:t xml:space="preserve"> Applicants</w:t>
      </w:r>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p>
    <w:p w14:paraId="767C3C2D" w14:textId="77777777" w:rsidR="004643A1" w:rsidRPr="00C47BF8" w:rsidRDefault="004643A1" w:rsidP="00C47BF8">
      <w:pPr>
        <w:rPr>
          <w:rFonts w:cs="Arial"/>
        </w:rPr>
      </w:pPr>
      <w:r w:rsidRPr="00A35543">
        <w:rPr>
          <w:rFonts w:cs="Arial"/>
          <w:szCs w:val="20"/>
        </w:rPr>
        <w:t xml:space="preserve">Informal hearings are provided for public housing applicants. An </w:t>
      </w:r>
      <w:r w:rsidRPr="00A35543">
        <w:rPr>
          <w:rFonts w:cs="Arial"/>
          <w:i/>
          <w:iCs/>
          <w:szCs w:val="20"/>
        </w:rPr>
        <w:t>applicant</w:t>
      </w:r>
      <w:r w:rsidRPr="00A35543">
        <w:rPr>
          <w:rFonts w:cs="Arial"/>
          <w:szCs w:val="20"/>
        </w:rPr>
        <w:t xml:space="preserve"> is someone who has applied for admission to the public housing program but is not yet a tenant in the program. Informal hearings are intended to provide a means for an applicant to dispute a determination of ineligibility for admission to a project</w:t>
      </w:r>
      <w:r w:rsidR="00920901">
        <w:rPr>
          <w:rFonts w:cs="Arial"/>
          <w:szCs w:val="20"/>
        </w:rPr>
        <w:t xml:space="preserve"> or their removal from the waiting list for failure to comply with </w:t>
      </w:r>
      <w:r w:rsidR="0082107A">
        <w:rPr>
          <w:rFonts w:cs="Arial"/>
          <w:szCs w:val="20"/>
        </w:rPr>
        <w:t>actions that would allow them to lease up</w:t>
      </w:r>
      <w:r w:rsidRPr="00A35543">
        <w:rPr>
          <w:rFonts w:cs="Arial"/>
          <w:szCs w:val="20"/>
        </w:rPr>
        <w:t xml:space="preserve">. Applicants to public housing are not entitled to the same hearing process afforded </w:t>
      </w:r>
      <w:r w:rsidRPr="00C47BF8">
        <w:rPr>
          <w:rFonts w:cs="Arial"/>
        </w:rPr>
        <w:t xml:space="preserve">tenants under </w:t>
      </w:r>
      <w:r w:rsidR="00CA0DE6" w:rsidRPr="00C47BF8">
        <w:rPr>
          <w:rFonts w:cs="Arial"/>
        </w:rPr>
        <w:t>HHA</w:t>
      </w:r>
      <w:r w:rsidRPr="00C47BF8">
        <w:rPr>
          <w:rFonts w:cs="Arial"/>
        </w:rPr>
        <w:t xml:space="preserve"> grievance procedures.</w:t>
      </w:r>
    </w:p>
    <w:p w14:paraId="171D8FF3" w14:textId="77777777" w:rsidR="004643A1" w:rsidRPr="00C47BF8" w:rsidRDefault="00F26783" w:rsidP="00C47BF8">
      <w:pPr>
        <w:rPr>
          <w:rFonts w:cs="Arial"/>
        </w:rPr>
      </w:pPr>
      <w:r w:rsidRPr="00C47BF8">
        <w:rPr>
          <w:rFonts w:cs="Arial"/>
        </w:rPr>
        <w:t>Informal hearings provide applicants the opportunity to review the reasons for denial of admissio</w:t>
      </w:r>
      <w:r w:rsidR="00243FFF">
        <w:rPr>
          <w:rFonts w:cs="Arial"/>
        </w:rPr>
        <w:t xml:space="preserve">n or initial lease up, </w:t>
      </w:r>
      <w:r w:rsidRPr="00C47BF8">
        <w:rPr>
          <w:rFonts w:cs="Arial"/>
        </w:rPr>
        <w:t>and to present evidence to refute the grounds for denial</w:t>
      </w:r>
      <w:r w:rsidR="00F005F0">
        <w:rPr>
          <w:rFonts w:cs="Arial"/>
        </w:rPr>
        <w:t>/refusal to lease</w:t>
      </w:r>
      <w:r w:rsidR="00243FFF">
        <w:rPr>
          <w:rFonts w:cs="Arial"/>
        </w:rPr>
        <w:t xml:space="preserve"> prior to </w:t>
      </w:r>
      <w:r w:rsidR="009A62CF">
        <w:rPr>
          <w:rFonts w:cs="Arial"/>
        </w:rPr>
        <w:t xml:space="preserve">initial </w:t>
      </w:r>
      <w:r w:rsidR="00243FFF">
        <w:rPr>
          <w:rFonts w:cs="Arial"/>
        </w:rPr>
        <w:t>lease up</w:t>
      </w:r>
      <w:r w:rsidRPr="00C47BF8">
        <w:rPr>
          <w:rFonts w:cs="Arial"/>
        </w:rPr>
        <w:t>.</w:t>
      </w:r>
      <w:r w:rsidR="00C47BF8" w:rsidRPr="00C47BF8">
        <w:rPr>
          <w:rFonts w:cs="Arial"/>
        </w:rPr>
        <w:t xml:space="preserve"> HHA will only offer informal hearings to applicants for the purpose of disputing denials of admission</w:t>
      </w:r>
      <w:r w:rsidR="009A62CF">
        <w:rPr>
          <w:rFonts w:cs="Arial"/>
        </w:rPr>
        <w:t>/lease up</w:t>
      </w:r>
      <w:r w:rsidR="00C47BF8" w:rsidRPr="00C47BF8">
        <w:rPr>
          <w:rFonts w:cs="Arial"/>
        </w:rPr>
        <w:t>.</w:t>
      </w:r>
    </w:p>
    <w:p w14:paraId="64280BA8" w14:textId="77777777" w:rsidR="004643A1" w:rsidRPr="00677451" w:rsidRDefault="004643A1" w:rsidP="00677451">
      <w:pPr>
        <w:pStyle w:val="Heading3"/>
      </w:pPr>
      <w:bookmarkStart w:id="3548" w:name="_Toc106038056"/>
      <w:bookmarkStart w:id="3549" w:name="_Toc106201695"/>
      <w:bookmarkStart w:id="3550" w:name="_Toc106202214"/>
      <w:bookmarkStart w:id="3551" w:name="_Toc106202740"/>
      <w:bookmarkStart w:id="3552" w:name="_Toc113345196"/>
      <w:bookmarkStart w:id="3553" w:name="_Toc137461940"/>
      <w:bookmarkStart w:id="3554" w:name="_Toc137471531"/>
      <w:bookmarkStart w:id="3555" w:name="_Toc137472040"/>
      <w:bookmarkStart w:id="3556" w:name="_Toc200375848"/>
      <w:r w:rsidRPr="00677451">
        <w:t>Notice of Denial</w:t>
      </w:r>
      <w:bookmarkEnd w:id="3548"/>
      <w:bookmarkEnd w:id="3549"/>
      <w:bookmarkEnd w:id="3550"/>
      <w:bookmarkEnd w:id="3551"/>
      <w:bookmarkEnd w:id="3552"/>
      <w:bookmarkEnd w:id="3553"/>
      <w:bookmarkEnd w:id="3554"/>
      <w:bookmarkEnd w:id="3555"/>
      <w:bookmarkEnd w:id="3556"/>
    </w:p>
    <w:p w14:paraId="6F541694" w14:textId="77777777" w:rsidR="004643A1" w:rsidRPr="009709BC" w:rsidRDefault="00CA0DE6" w:rsidP="004643A1">
      <w:pPr>
        <w:rPr>
          <w:rFonts w:cs="Arial"/>
          <w:szCs w:val="20"/>
        </w:rPr>
      </w:pPr>
      <w:r>
        <w:rPr>
          <w:rFonts w:cs="Arial"/>
          <w:szCs w:val="20"/>
        </w:rPr>
        <w:t>HHA</w:t>
      </w:r>
      <w:r w:rsidR="004643A1" w:rsidRPr="006416FF">
        <w:rPr>
          <w:rFonts w:cs="Arial"/>
          <w:szCs w:val="20"/>
        </w:rPr>
        <w:t xml:space="preserve"> must give an applicant prompt notice of a decision denying eligibility for admission</w:t>
      </w:r>
      <w:r w:rsidR="00AA2B49">
        <w:rPr>
          <w:rFonts w:cs="Arial"/>
          <w:szCs w:val="20"/>
        </w:rPr>
        <w:t xml:space="preserve"> or </w:t>
      </w:r>
      <w:r w:rsidR="007019A0">
        <w:rPr>
          <w:rFonts w:cs="Arial"/>
          <w:szCs w:val="20"/>
        </w:rPr>
        <w:t>lease up</w:t>
      </w:r>
      <w:r w:rsidR="004643A1" w:rsidRPr="006416FF">
        <w:rPr>
          <w:rFonts w:cs="Arial"/>
          <w:szCs w:val="20"/>
        </w:rPr>
        <w:t xml:space="preserve">. The notice must contain a brief statement of the reasons for </w:t>
      </w:r>
      <w:r>
        <w:rPr>
          <w:rFonts w:cs="Arial"/>
          <w:szCs w:val="20"/>
        </w:rPr>
        <w:t>HHA</w:t>
      </w:r>
      <w:r w:rsidR="004643A1">
        <w:rPr>
          <w:rFonts w:cs="Arial"/>
          <w:szCs w:val="20"/>
        </w:rPr>
        <w:t>’s</w:t>
      </w:r>
      <w:r w:rsidR="004643A1" w:rsidRPr="006416FF">
        <w:rPr>
          <w:rFonts w:cs="Arial"/>
          <w:szCs w:val="20"/>
        </w:rPr>
        <w:t xml:space="preserve"> decision and must also state that the applicant may </w:t>
      </w:r>
      <w:r w:rsidR="004643A1" w:rsidRPr="009709BC">
        <w:rPr>
          <w:rFonts w:cs="Arial"/>
          <w:szCs w:val="20"/>
        </w:rPr>
        <w:t xml:space="preserve">request an informal hearing to dispute the decision. The notice must describe how to obtain the informal hearing. As applicable, </w:t>
      </w:r>
      <w:r>
        <w:rPr>
          <w:rFonts w:cs="Arial"/>
          <w:szCs w:val="20"/>
        </w:rPr>
        <w:t>HHA</w:t>
      </w:r>
      <w:r w:rsidR="004643A1" w:rsidRPr="009709BC">
        <w:rPr>
          <w:rFonts w:cs="Arial"/>
          <w:szCs w:val="20"/>
        </w:rPr>
        <w:t>’s notice of denial will include information about required or requested remote informal hearings.</w:t>
      </w:r>
    </w:p>
    <w:p w14:paraId="07F310D9" w14:textId="77777777" w:rsidR="004643A1" w:rsidRPr="009709BC" w:rsidRDefault="004643A1" w:rsidP="00677451">
      <w:pPr>
        <w:pStyle w:val="Heading3"/>
      </w:pPr>
      <w:bookmarkStart w:id="3557" w:name="_Toc508698489"/>
      <w:bookmarkStart w:id="3558" w:name="_Toc520796725"/>
      <w:bookmarkStart w:id="3559" w:name="_Toc527019680"/>
      <w:bookmarkStart w:id="3560" w:name="_Toc534707220"/>
      <w:bookmarkStart w:id="3561" w:name="_Toc534707898"/>
      <w:bookmarkStart w:id="3562" w:name="_Toc534708706"/>
      <w:bookmarkStart w:id="3563" w:name="_Toc106038057"/>
      <w:bookmarkStart w:id="3564" w:name="_Toc106201696"/>
      <w:bookmarkStart w:id="3565" w:name="_Toc106202215"/>
      <w:bookmarkStart w:id="3566" w:name="_Toc106202741"/>
      <w:bookmarkStart w:id="3567" w:name="_Toc113345197"/>
      <w:bookmarkStart w:id="3568" w:name="_Toc137461941"/>
      <w:bookmarkStart w:id="3569" w:name="_Toc137471532"/>
      <w:bookmarkStart w:id="3570" w:name="_Toc137472041"/>
      <w:bookmarkStart w:id="3571" w:name="_Toc200375849"/>
      <w:r w:rsidRPr="009709BC">
        <w:t xml:space="preserve">Scheduling an Informal </w:t>
      </w:r>
      <w:bookmarkEnd w:id="3557"/>
      <w:bookmarkEnd w:id="3558"/>
      <w:bookmarkEnd w:id="3559"/>
      <w:bookmarkEnd w:id="3560"/>
      <w:bookmarkEnd w:id="3561"/>
      <w:bookmarkEnd w:id="3562"/>
      <w:r w:rsidRPr="009709BC">
        <w:t>Hearing</w:t>
      </w:r>
      <w:bookmarkEnd w:id="3563"/>
      <w:bookmarkEnd w:id="3564"/>
      <w:bookmarkEnd w:id="3565"/>
      <w:bookmarkEnd w:id="3566"/>
      <w:bookmarkEnd w:id="3567"/>
      <w:bookmarkEnd w:id="3568"/>
      <w:bookmarkEnd w:id="3569"/>
      <w:bookmarkEnd w:id="3570"/>
      <w:bookmarkEnd w:id="3571"/>
    </w:p>
    <w:p w14:paraId="12DA09A9" w14:textId="77777777" w:rsidR="004643A1" w:rsidRPr="009709BC" w:rsidRDefault="004643A1" w:rsidP="004643A1">
      <w:r w:rsidRPr="009709BC">
        <w:t xml:space="preserve">Applicants must submit their request for an informal hearing in writing to </w:t>
      </w:r>
      <w:r w:rsidR="00CA0DE6">
        <w:t>HHA</w:t>
      </w:r>
      <w:r w:rsidRPr="009709BC">
        <w:t xml:space="preserve"> </w:t>
      </w:r>
      <w:r w:rsidRPr="001104DE">
        <w:t xml:space="preserve">within </w:t>
      </w:r>
      <w:r w:rsidR="001104DE" w:rsidRPr="001104DE">
        <w:t>15 calendar</w:t>
      </w:r>
      <w:r w:rsidRPr="001104DE">
        <w:t xml:space="preserve"> days from the date of the notification of their ineligibility.</w:t>
      </w:r>
      <w:r w:rsidRPr="009709BC">
        <w:t xml:space="preserve"> </w:t>
      </w:r>
    </w:p>
    <w:p w14:paraId="51B14E0B" w14:textId="77777777" w:rsidR="004643A1" w:rsidRDefault="004643A1" w:rsidP="004643A1">
      <w:pPr>
        <w:rPr>
          <w:rFonts w:cs="Arial"/>
          <w:szCs w:val="20"/>
        </w:rPr>
      </w:pPr>
      <w:r w:rsidRPr="009709BC">
        <w:rPr>
          <w:rFonts w:cs="Arial"/>
          <w:szCs w:val="20"/>
        </w:rPr>
        <w:t xml:space="preserve">If the applicant requests an informal hearing, </w:t>
      </w:r>
      <w:r w:rsidR="00CA0DE6">
        <w:rPr>
          <w:rFonts w:cs="Arial"/>
          <w:szCs w:val="20"/>
        </w:rPr>
        <w:t>HHA</w:t>
      </w:r>
      <w:r w:rsidRPr="009709BC">
        <w:rPr>
          <w:rFonts w:cs="Arial"/>
          <w:szCs w:val="20"/>
        </w:rPr>
        <w:t xml:space="preserve"> will schedule and notify the applicant of the place, date, and time of the informal hearing. </w:t>
      </w:r>
    </w:p>
    <w:p w14:paraId="1A0BD7F0" w14:textId="77777777" w:rsidR="00437032" w:rsidRPr="00437032" w:rsidRDefault="00437032" w:rsidP="00677451">
      <w:pPr>
        <w:pStyle w:val="Heading3"/>
      </w:pPr>
      <w:bookmarkStart w:id="3572" w:name="_Toc200375850"/>
      <w:r w:rsidRPr="00437032">
        <w:t>Informal Hearing Format</w:t>
      </w:r>
      <w:bookmarkEnd w:id="3572"/>
    </w:p>
    <w:p w14:paraId="5367C0CB" w14:textId="77777777" w:rsidR="005F0AC6" w:rsidRDefault="005F0AC6" w:rsidP="005F0AC6">
      <w:pPr>
        <w:pStyle w:val="Heading4"/>
      </w:pPr>
      <w:bookmarkStart w:id="3573" w:name="_Toc508698490"/>
      <w:bookmarkStart w:id="3574" w:name="_Toc520796726"/>
      <w:bookmarkStart w:id="3575" w:name="_Toc527019681"/>
      <w:bookmarkStart w:id="3576" w:name="_Toc534707221"/>
      <w:bookmarkStart w:id="3577" w:name="_Toc534707899"/>
      <w:bookmarkStart w:id="3578" w:name="_Toc534708707"/>
      <w:bookmarkStart w:id="3579" w:name="_Toc106038058"/>
      <w:bookmarkStart w:id="3580" w:name="_Toc106201697"/>
      <w:bookmarkStart w:id="3581" w:name="_Toc106202216"/>
      <w:bookmarkStart w:id="3582" w:name="_Toc106202742"/>
      <w:bookmarkStart w:id="3583" w:name="_Toc113345198"/>
      <w:bookmarkStart w:id="3584" w:name="_Toc137461942"/>
      <w:bookmarkStart w:id="3585" w:name="_Toc137471533"/>
      <w:bookmarkStart w:id="3586" w:name="_Toc137472042"/>
      <w:r>
        <w:t>Virtual Hearings</w:t>
      </w:r>
    </w:p>
    <w:p w14:paraId="4E5C04D6" w14:textId="77777777" w:rsidR="002C2AF5" w:rsidRPr="00862A6C" w:rsidRDefault="002C2AF5" w:rsidP="00862A6C">
      <w:pPr>
        <w:rPr>
          <w:rFonts w:cs="Arial"/>
          <w:szCs w:val="20"/>
        </w:rPr>
      </w:pPr>
      <w:r w:rsidRPr="00862A6C">
        <w:rPr>
          <w:rFonts w:cs="Arial"/>
          <w:szCs w:val="20"/>
        </w:rPr>
        <w:t xml:space="preserve">Informal hearings are </w:t>
      </w:r>
      <w:r w:rsidR="00A020C0">
        <w:rPr>
          <w:rFonts w:cs="Arial"/>
          <w:szCs w:val="20"/>
        </w:rPr>
        <w:t xml:space="preserve">primarily held </w:t>
      </w:r>
      <w:r w:rsidRPr="00862A6C">
        <w:rPr>
          <w:rFonts w:cs="Arial"/>
          <w:szCs w:val="20"/>
        </w:rPr>
        <w:t>virtually. Applicants can choose to participate either by video or phone.</w:t>
      </w:r>
    </w:p>
    <w:p w14:paraId="3B325E75" w14:textId="77777777" w:rsidR="002C2AF5" w:rsidRPr="00862A6C" w:rsidRDefault="002C2AF5" w:rsidP="00862A6C">
      <w:pPr>
        <w:rPr>
          <w:rFonts w:cs="Arial"/>
          <w:szCs w:val="20"/>
        </w:rPr>
      </w:pPr>
      <w:r w:rsidRPr="00862A6C">
        <w:rPr>
          <w:rFonts w:cs="Arial"/>
          <w:szCs w:val="20"/>
        </w:rPr>
        <w:t xml:space="preserve">The hearing officer will open the </w:t>
      </w:r>
      <w:r w:rsidR="00A020C0">
        <w:rPr>
          <w:rFonts w:cs="Arial"/>
          <w:szCs w:val="20"/>
        </w:rPr>
        <w:t>virtual</w:t>
      </w:r>
      <w:r w:rsidRPr="00862A6C">
        <w:rPr>
          <w:rFonts w:cs="Arial"/>
          <w:szCs w:val="20"/>
        </w:rPr>
        <w:t xml:space="preserve"> waiting room to allow the </w:t>
      </w:r>
      <w:r w:rsidR="00A020C0">
        <w:rPr>
          <w:rFonts w:cs="Arial"/>
          <w:szCs w:val="20"/>
        </w:rPr>
        <w:t xml:space="preserve">applicant </w:t>
      </w:r>
      <w:r w:rsidRPr="00862A6C">
        <w:rPr>
          <w:rFonts w:cs="Arial"/>
          <w:szCs w:val="20"/>
        </w:rPr>
        <w:t xml:space="preserve">and the HHA representative to enter to begin the hearing. Both the HHA and the applicant will be allowed fifteen (15) minutes to enter the </w:t>
      </w:r>
      <w:r w:rsidR="00A020C0">
        <w:rPr>
          <w:rFonts w:cs="Arial"/>
          <w:szCs w:val="20"/>
        </w:rPr>
        <w:t>virtual</w:t>
      </w:r>
      <w:r w:rsidRPr="00862A6C">
        <w:rPr>
          <w:rFonts w:cs="Arial"/>
          <w:szCs w:val="20"/>
        </w:rPr>
        <w:t xml:space="preserve"> waiting room to begin the hearing. If either party fails to enter the waiting room within fifteen (15) minutes of the scheduled hearing time, the absent party will have waived their right to a hearing.</w:t>
      </w:r>
    </w:p>
    <w:p w14:paraId="165E8ABE" w14:textId="77777777" w:rsidR="002C2AF5" w:rsidRPr="00862A6C" w:rsidRDefault="002C2AF5" w:rsidP="00862A6C">
      <w:pPr>
        <w:rPr>
          <w:rFonts w:cs="Arial"/>
          <w:szCs w:val="20"/>
        </w:rPr>
      </w:pPr>
      <w:r w:rsidRPr="00862A6C">
        <w:rPr>
          <w:rFonts w:cs="Arial"/>
          <w:szCs w:val="20"/>
        </w:rPr>
        <w:t>If the applicant experiences difficulties entering the videoconference waiting room at the time of their scheduled hearing, the applicant may contact Customer Service to advise of their issue.</w:t>
      </w:r>
    </w:p>
    <w:p w14:paraId="43FD6581" w14:textId="77777777" w:rsidR="005F0AC6" w:rsidRDefault="002C2AF5" w:rsidP="005F0AC6">
      <w:pPr>
        <w:pStyle w:val="Heading4"/>
      </w:pPr>
      <w:r w:rsidRPr="00862A6C">
        <w:t>In-Person Hearings</w:t>
      </w:r>
    </w:p>
    <w:p w14:paraId="6B2BCE77" w14:textId="77777777" w:rsidR="002C2AF5" w:rsidRPr="00862A6C" w:rsidRDefault="002C2AF5" w:rsidP="00862A6C">
      <w:pPr>
        <w:rPr>
          <w:rFonts w:cs="Arial"/>
          <w:szCs w:val="20"/>
        </w:rPr>
      </w:pPr>
      <w:r w:rsidRPr="00862A6C">
        <w:rPr>
          <w:rFonts w:cs="Arial"/>
          <w:szCs w:val="20"/>
        </w:rPr>
        <w:t>Applicants who are unable to participate in a virtual hearing can request that an in-person hearing be scheduled.  In-person hearings will be conducted at the HHA’s office at 2640 Fountain View.</w:t>
      </w:r>
    </w:p>
    <w:p w14:paraId="0A9CABD0" w14:textId="77777777" w:rsidR="004643A1" w:rsidRPr="009709BC" w:rsidRDefault="004643A1" w:rsidP="00677451">
      <w:pPr>
        <w:pStyle w:val="Heading3"/>
      </w:pPr>
      <w:bookmarkStart w:id="3587" w:name="_Toc200375851"/>
      <w:r w:rsidRPr="009709BC">
        <w:t>Informal Hearing Procedures</w:t>
      </w:r>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r w:rsidRPr="009709BC">
        <w:t xml:space="preserve"> </w:t>
      </w:r>
    </w:p>
    <w:p w14:paraId="3777F25A" w14:textId="77777777" w:rsidR="004643A1" w:rsidRPr="00D0694F" w:rsidRDefault="004643A1" w:rsidP="004643A1">
      <w:pPr>
        <w:rPr>
          <w:szCs w:val="24"/>
        </w:rPr>
      </w:pPr>
      <w:r w:rsidRPr="00D0694F">
        <w:rPr>
          <w:szCs w:val="24"/>
        </w:rPr>
        <w:t xml:space="preserve">The informal </w:t>
      </w:r>
      <w:r>
        <w:rPr>
          <w:szCs w:val="24"/>
        </w:rPr>
        <w:t>hearing</w:t>
      </w:r>
      <w:r w:rsidRPr="00D0694F">
        <w:rPr>
          <w:szCs w:val="24"/>
        </w:rPr>
        <w:t xml:space="preserve"> will be conducted by a person other than the one who made or approved the decision under review, or a subordinate of this person.</w:t>
      </w:r>
    </w:p>
    <w:p w14:paraId="0F992B7C" w14:textId="77777777" w:rsidR="004643A1" w:rsidRDefault="004643A1" w:rsidP="004643A1">
      <w:pPr>
        <w:rPr>
          <w:szCs w:val="24"/>
        </w:rPr>
      </w:pPr>
      <w:r w:rsidRPr="00D0694F">
        <w:rPr>
          <w:szCs w:val="24"/>
        </w:rPr>
        <w:t xml:space="preserve">The applicant will be provided an opportunity to present written or oral objections to </w:t>
      </w:r>
      <w:r w:rsidR="00CA0DE6">
        <w:rPr>
          <w:szCs w:val="24"/>
        </w:rPr>
        <w:t>HHA</w:t>
      </w:r>
      <w:r>
        <w:rPr>
          <w:szCs w:val="24"/>
        </w:rPr>
        <w:t>’</w:t>
      </w:r>
      <w:r w:rsidRPr="00D0694F">
        <w:rPr>
          <w:szCs w:val="24"/>
        </w:rPr>
        <w:t>s decision.</w:t>
      </w:r>
    </w:p>
    <w:p w14:paraId="0225DDC9" w14:textId="77777777" w:rsidR="004643A1" w:rsidRPr="009709BC" w:rsidRDefault="004643A1" w:rsidP="00677451">
      <w:pPr>
        <w:pStyle w:val="Heading3"/>
      </w:pPr>
      <w:bookmarkStart w:id="3588" w:name="_Hlk67490633"/>
      <w:bookmarkStart w:id="3589" w:name="_Toc106038060"/>
      <w:bookmarkStart w:id="3590" w:name="_Toc106201699"/>
      <w:bookmarkStart w:id="3591" w:name="_Toc106202218"/>
      <w:bookmarkStart w:id="3592" w:name="_Toc106202744"/>
      <w:bookmarkStart w:id="3593" w:name="_Toc113345200"/>
      <w:bookmarkStart w:id="3594" w:name="_Toc137461944"/>
      <w:bookmarkStart w:id="3595" w:name="_Toc137471535"/>
      <w:bookmarkStart w:id="3596" w:name="_Toc137472044"/>
      <w:bookmarkStart w:id="3597" w:name="_Toc200375852"/>
      <w:r w:rsidRPr="009709BC">
        <w:t>Ensuring Accessibility for Persons with Disabilities and LEP Individuals</w:t>
      </w:r>
      <w:bookmarkEnd w:id="3588"/>
      <w:bookmarkEnd w:id="3589"/>
      <w:bookmarkEnd w:id="3590"/>
      <w:bookmarkEnd w:id="3591"/>
      <w:bookmarkEnd w:id="3592"/>
      <w:bookmarkEnd w:id="3593"/>
      <w:bookmarkEnd w:id="3594"/>
      <w:bookmarkEnd w:id="3595"/>
      <w:bookmarkEnd w:id="3596"/>
      <w:bookmarkEnd w:id="3597"/>
    </w:p>
    <w:p w14:paraId="01BA222B" w14:textId="77777777" w:rsidR="00085653" w:rsidRDefault="00085653" w:rsidP="00085653">
      <w:pPr>
        <w:rPr>
          <w:rFonts w:cs="Arial"/>
          <w:szCs w:val="20"/>
        </w:rPr>
      </w:pPr>
      <w:bookmarkStart w:id="3598" w:name="_Toc508698491"/>
      <w:bookmarkStart w:id="3599" w:name="_Toc520796727"/>
      <w:bookmarkStart w:id="3600" w:name="_Toc527019682"/>
      <w:bookmarkStart w:id="3601" w:name="_Toc534707222"/>
      <w:bookmarkStart w:id="3602" w:name="_Toc534707900"/>
      <w:bookmarkStart w:id="3603" w:name="_Toc534708708"/>
      <w:bookmarkStart w:id="3604" w:name="_Toc106038061"/>
      <w:bookmarkStart w:id="3605" w:name="_Toc106201700"/>
      <w:bookmarkStart w:id="3606" w:name="_Toc106202219"/>
      <w:bookmarkStart w:id="3607" w:name="_Toc106202745"/>
      <w:bookmarkStart w:id="3608" w:name="_Toc113345201"/>
      <w:bookmarkStart w:id="3609" w:name="_Toc137461945"/>
      <w:bookmarkStart w:id="3610" w:name="_Toc137471536"/>
      <w:bookmarkStart w:id="3611" w:name="_Toc137472045"/>
      <w:r w:rsidRPr="007C47BB">
        <w:rPr>
          <w:rFonts w:cs="Arial"/>
          <w:szCs w:val="20"/>
        </w:rPr>
        <w:t>HHA will ensure equal opportunity and nondiscrimination for individuals with disabilities and limited English proficient (LEP) persons under Section 504 of the Rehabilitation Act of 1973 (Section 504), the Americans with Disabilities Act of 1990 (ADA), Title VI of the Civil Rights Act of 1964, and the Fair Housing Act. HHA will make reasonable accommodations in policies, practices, and procedures to ensure persons with disabilities have equal opportunity to participate in all of HHA’s privileges, benefits, and services, including informal hearings.</w:t>
      </w:r>
    </w:p>
    <w:p w14:paraId="5CBD7D4D" w14:textId="77777777" w:rsidR="004643A1" w:rsidRPr="009709BC" w:rsidRDefault="004643A1" w:rsidP="00677451">
      <w:pPr>
        <w:pStyle w:val="Heading3"/>
      </w:pPr>
      <w:bookmarkStart w:id="3612" w:name="_Toc200375853"/>
      <w:r w:rsidRPr="009709BC">
        <w:t>Informal Hearing Decision</w:t>
      </w:r>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r w:rsidRPr="009709BC">
        <w:t xml:space="preserve"> </w:t>
      </w:r>
    </w:p>
    <w:p w14:paraId="6C7CCDDB" w14:textId="77777777" w:rsidR="004643A1" w:rsidRPr="009709BC" w:rsidRDefault="004643A1" w:rsidP="00880BA4">
      <w:pPr>
        <w:autoSpaceDE w:val="0"/>
        <w:autoSpaceDN w:val="0"/>
        <w:adjustRightInd w:val="0"/>
        <w:rPr>
          <w:rFonts w:cs="Arial"/>
          <w:color w:val="000000"/>
          <w:szCs w:val="20"/>
        </w:rPr>
      </w:pPr>
      <w:r w:rsidRPr="009709BC">
        <w:rPr>
          <w:rFonts w:cs="Arial"/>
          <w:color w:val="000000"/>
          <w:szCs w:val="20"/>
        </w:rPr>
        <w:t xml:space="preserve">In deciding the informal hearing, </w:t>
      </w:r>
      <w:r w:rsidR="00CA0DE6">
        <w:rPr>
          <w:rFonts w:cs="Arial"/>
          <w:color w:val="000000"/>
          <w:szCs w:val="20"/>
        </w:rPr>
        <w:t>HHA</w:t>
      </w:r>
      <w:r w:rsidRPr="009709BC">
        <w:rPr>
          <w:rFonts w:cs="Arial"/>
          <w:color w:val="000000"/>
          <w:szCs w:val="20"/>
        </w:rPr>
        <w:t xml:space="preserve"> will evaluate the following issues: </w:t>
      </w:r>
    </w:p>
    <w:p w14:paraId="0AF2296C" w14:textId="77777777" w:rsidR="004643A1" w:rsidRPr="00122C89" w:rsidRDefault="004643A1" w:rsidP="007F177E">
      <w:pPr>
        <w:pStyle w:val="ListParagraph"/>
        <w:numPr>
          <w:ilvl w:val="0"/>
          <w:numId w:val="182"/>
        </w:numPr>
        <w:ind w:left="720"/>
        <w:contextualSpacing w:val="0"/>
        <w:rPr>
          <w:rFonts w:cs="Arial"/>
          <w:szCs w:val="20"/>
        </w:rPr>
      </w:pPr>
      <w:r w:rsidRPr="009709BC">
        <w:rPr>
          <w:rFonts w:cs="Arial"/>
          <w:szCs w:val="20"/>
        </w:rPr>
        <w:t>Whether or not the grounds for the denial were stated</w:t>
      </w:r>
      <w:r w:rsidRPr="00122C89">
        <w:rPr>
          <w:rFonts w:cs="Arial"/>
          <w:szCs w:val="20"/>
        </w:rPr>
        <w:t xml:space="preserve"> factually in the notice to the family. </w:t>
      </w:r>
    </w:p>
    <w:p w14:paraId="072BC637" w14:textId="77777777" w:rsidR="004643A1" w:rsidRPr="00122C89" w:rsidRDefault="004643A1" w:rsidP="007F177E">
      <w:pPr>
        <w:pStyle w:val="ListParagraph"/>
        <w:numPr>
          <w:ilvl w:val="0"/>
          <w:numId w:val="182"/>
        </w:numPr>
        <w:ind w:left="720"/>
        <w:contextualSpacing w:val="0"/>
        <w:rPr>
          <w:rFonts w:cs="Arial"/>
          <w:szCs w:val="20"/>
        </w:rPr>
      </w:pPr>
      <w:r w:rsidRPr="00122C89">
        <w:rPr>
          <w:rFonts w:cs="Arial"/>
          <w:color w:val="000000"/>
          <w:szCs w:val="20"/>
        </w:rPr>
        <w:t xml:space="preserve">The validity of the grounds for denial of </w:t>
      </w:r>
      <w:r>
        <w:rPr>
          <w:rFonts w:cs="Arial"/>
          <w:color w:val="000000"/>
          <w:szCs w:val="20"/>
        </w:rPr>
        <w:t>admission</w:t>
      </w:r>
      <w:r w:rsidRPr="00122C89">
        <w:rPr>
          <w:rFonts w:cs="Arial"/>
          <w:color w:val="000000"/>
          <w:szCs w:val="20"/>
        </w:rPr>
        <w:t xml:space="preserve">. </w:t>
      </w:r>
    </w:p>
    <w:p w14:paraId="355FE560" w14:textId="77777777" w:rsidR="004643A1" w:rsidRPr="00122C89" w:rsidRDefault="004643A1" w:rsidP="007F177E">
      <w:pPr>
        <w:pStyle w:val="ListParagraph"/>
        <w:numPr>
          <w:ilvl w:val="0"/>
          <w:numId w:val="182"/>
        </w:numPr>
        <w:ind w:left="720"/>
        <w:contextualSpacing w:val="0"/>
        <w:rPr>
          <w:rFonts w:cs="Arial"/>
          <w:color w:val="000000"/>
          <w:szCs w:val="20"/>
        </w:rPr>
      </w:pPr>
      <w:r w:rsidRPr="00122C89">
        <w:rPr>
          <w:rFonts w:cs="Arial"/>
          <w:color w:val="000000"/>
          <w:szCs w:val="20"/>
        </w:rPr>
        <w:t xml:space="preserve">The validity of the evidence; </w:t>
      </w:r>
      <w:r w:rsidR="00CA0DE6">
        <w:rPr>
          <w:rFonts w:cs="Arial"/>
          <w:szCs w:val="20"/>
        </w:rPr>
        <w:t>HHA</w:t>
      </w:r>
      <w:r w:rsidRPr="00122C89">
        <w:rPr>
          <w:rFonts w:cs="Arial"/>
          <w:szCs w:val="20"/>
        </w:rPr>
        <w:t xml:space="preserve"> will evaluate whether the facts presented prove the grounds for denial of a</w:t>
      </w:r>
      <w:r>
        <w:rPr>
          <w:rFonts w:cs="Arial"/>
          <w:szCs w:val="20"/>
        </w:rPr>
        <w:t>dmission</w:t>
      </w:r>
      <w:r w:rsidRPr="00122C89">
        <w:rPr>
          <w:rFonts w:cs="Arial"/>
          <w:szCs w:val="20"/>
        </w:rPr>
        <w:t xml:space="preserve">. </w:t>
      </w:r>
    </w:p>
    <w:p w14:paraId="3AEF72F6" w14:textId="77777777" w:rsidR="004643A1" w:rsidRPr="00D0694F" w:rsidRDefault="00CA0DE6" w:rsidP="00880BA4">
      <w:pPr>
        <w:rPr>
          <w:szCs w:val="24"/>
        </w:rPr>
      </w:pPr>
      <w:r>
        <w:rPr>
          <w:szCs w:val="24"/>
        </w:rPr>
        <w:t>HHA</w:t>
      </w:r>
      <w:r w:rsidR="004643A1" w:rsidRPr="00D0694F">
        <w:rPr>
          <w:szCs w:val="24"/>
        </w:rPr>
        <w:t xml:space="preserve"> will timely notify the applicant of the final decision, including a statement explaining the reason(s) for the decision. The notice will be mailed timely to the applicant and their representative, if any, along with proof of mailing.</w:t>
      </w:r>
    </w:p>
    <w:p w14:paraId="0F1A0E1A" w14:textId="77777777" w:rsidR="004643A1" w:rsidRPr="00D0694F" w:rsidRDefault="004643A1" w:rsidP="00880BA4">
      <w:pPr>
        <w:rPr>
          <w:szCs w:val="24"/>
        </w:rPr>
      </w:pPr>
      <w:r w:rsidRPr="00D0694F">
        <w:rPr>
          <w:szCs w:val="24"/>
        </w:rPr>
        <w:t xml:space="preserve">If the decision to deny is overturned as a result of the </w:t>
      </w:r>
      <w:r>
        <w:rPr>
          <w:szCs w:val="24"/>
        </w:rPr>
        <w:t>informal hearing</w:t>
      </w:r>
      <w:r w:rsidRPr="00D0694F">
        <w:rPr>
          <w:szCs w:val="24"/>
        </w:rPr>
        <w:t>, processing for admission will resume.</w:t>
      </w:r>
    </w:p>
    <w:p w14:paraId="759BC0E7" w14:textId="77777777" w:rsidR="004643A1" w:rsidRDefault="004643A1" w:rsidP="00880BA4">
      <w:pPr>
        <w:rPr>
          <w:szCs w:val="24"/>
        </w:rPr>
      </w:pPr>
      <w:r w:rsidRPr="00D0694F">
        <w:rPr>
          <w:szCs w:val="24"/>
        </w:rPr>
        <w:t xml:space="preserve">If the family fails to appear for their </w:t>
      </w:r>
      <w:r>
        <w:rPr>
          <w:szCs w:val="24"/>
        </w:rPr>
        <w:t>informal hearing</w:t>
      </w:r>
      <w:r w:rsidRPr="00D0694F">
        <w:rPr>
          <w:szCs w:val="24"/>
        </w:rPr>
        <w:t>, the denial of admission will stand and the family will be so notified.</w:t>
      </w:r>
    </w:p>
    <w:p w14:paraId="7344465D" w14:textId="77777777" w:rsidR="004643A1" w:rsidRPr="00870BC7" w:rsidRDefault="004643A1" w:rsidP="00677451">
      <w:pPr>
        <w:pStyle w:val="Heading3"/>
      </w:pPr>
      <w:bookmarkStart w:id="3613" w:name="_Toc106038062"/>
      <w:bookmarkStart w:id="3614" w:name="_Toc106201701"/>
      <w:bookmarkStart w:id="3615" w:name="_Toc106202220"/>
      <w:bookmarkStart w:id="3616" w:name="_Toc106202746"/>
      <w:bookmarkStart w:id="3617" w:name="_Toc113345202"/>
      <w:bookmarkStart w:id="3618" w:name="_Toc137461946"/>
      <w:bookmarkStart w:id="3619" w:name="_Toc137471537"/>
      <w:bookmarkStart w:id="3620" w:name="_Toc137472046"/>
      <w:bookmarkStart w:id="3621" w:name="_Toc200375854"/>
      <w:r w:rsidRPr="00870BC7">
        <w:t>Reasonable Accommodation for Persons with Disabilities</w:t>
      </w:r>
      <w:bookmarkEnd w:id="3613"/>
      <w:bookmarkEnd w:id="3614"/>
      <w:bookmarkEnd w:id="3615"/>
      <w:bookmarkEnd w:id="3616"/>
      <w:bookmarkEnd w:id="3617"/>
      <w:bookmarkEnd w:id="3618"/>
      <w:bookmarkEnd w:id="3619"/>
      <w:bookmarkEnd w:id="3620"/>
      <w:bookmarkEnd w:id="3621"/>
    </w:p>
    <w:p w14:paraId="1D4C6615" w14:textId="77777777" w:rsidR="004643A1" w:rsidRDefault="004643A1" w:rsidP="004643A1">
      <w:pPr>
        <w:rPr>
          <w:szCs w:val="24"/>
        </w:rPr>
      </w:pPr>
      <w:r>
        <w:t xml:space="preserve">Persons with disabilities may request reasonable accommodations to participate in the informal hearing process and </w:t>
      </w:r>
      <w:r w:rsidR="00CA0DE6">
        <w:t>HHA</w:t>
      </w:r>
      <w:r>
        <w:t xml:space="preserve"> must consider such accommodations. </w:t>
      </w:r>
      <w:r w:rsidR="00CA0DE6">
        <w:t>HHA</w:t>
      </w:r>
      <w:r>
        <w:t xml:space="preserve"> must also consider reasonable accommodation requests pertaining to the reasons for denial if related to the person’s disability.</w:t>
      </w:r>
    </w:p>
    <w:p w14:paraId="16F4F6B1" w14:textId="77777777" w:rsidR="004643A1" w:rsidRPr="00122C89" w:rsidRDefault="00A51332" w:rsidP="004643A1">
      <w:pPr>
        <w:pStyle w:val="Heading2"/>
      </w:pPr>
      <w:bookmarkStart w:id="3622" w:name="_Toc485980561"/>
      <w:bookmarkStart w:id="3623" w:name="_Ref488210310"/>
      <w:bookmarkStart w:id="3624" w:name="_Toc508698505"/>
      <w:bookmarkStart w:id="3625" w:name="_Toc520796741"/>
      <w:bookmarkStart w:id="3626" w:name="_Toc527019697"/>
      <w:bookmarkStart w:id="3627" w:name="_Toc534707237"/>
      <w:bookmarkStart w:id="3628" w:name="_Toc534707915"/>
      <w:bookmarkStart w:id="3629" w:name="_Toc534708723"/>
      <w:bookmarkStart w:id="3630" w:name="_Toc106038080"/>
      <w:bookmarkStart w:id="3631" w:name="_Toc106201719"/>
      <w:bookmarkStart w:id="3632" w:name="_Toc106202238"/>
      <w:bookmarkStart w:id="3633" w:name="_Toc106202764"/>
      <w:bookmarkStart w:id="3634" w:name="_Toc113345203"/>
      <w:bookmarkStart w:id="3635" w:name="_Toc137460466"/>
      <w:bookmarkStart w:id="3636" w:name="_Toc137460711"/>
      <w:bookmarkStart w:id="3637" w:name="_Toc137460956"/>
      <w:bookmarkStart w:id="3638" w:name="_Toc137461947"/>
      <w:bookmarkStart w:id="3639" w:name="_Toc137471538"/>
      <w:bookmarkStart w:id="3640" w:name="_Toc137472047"/>
      <w:bookmarkStart w:id="3641" w:name="_Toc173222781"/>
      <w:bookmarkStart w:id="3642" w:name="_Toc200375855"/>
      <w:bookmarkStart w:id="3643" w:name="_Toc200377047"/>
      <w:r w:rsidRPr="00122C89">
        <w:t>H</w:t>
      </w:r>
      <w:bookmarkEnd w:id="3622"/>
      <w:r w:rsidRPr="00122C89">
        <w:t xml:space="preserve">earings </w:t>
      </w:r>
      <w:r>
        <w:t>a</w:t>
      </w:r>
      <w:r w:rsidRPr="00122C89">
        <w:t xml:space="preserve">nd Appeals </w:t>
      </w:r>
      <w:r>
        <w:t>f</w:t>
      </w:r>
      <w:r w:rsidRPr="00122C89">
        <w:t>or Noncitizens</w:t>
      </w:r>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p>
    <w:p w14:paraId="4EA8AD95" w14:textId="77777777" w:rsidR="004643A1" w:rsidRPr="00122C89" w:rsidRDefault="004643A1" w:rsidP="004643A1">
      <w:pPr>
        <w:rPr>
          <w:rFonts w:cs="Arial"/>
          <w:szCs w:val="20"/>
        </w:rPr>
      </w:pPr>
      <w:r w:rsidRPr="00122C89">
        <w:rPr>
          <w:rFonts w:cs="Arial"/>
          <w:szCs w:val="20"/>
        </w:rPr>
        <w:t xml:space="preserve">Denial or termination of assistance based on immigration status is subject to special hearing and notice rules. </w:t>
      </w:r>
      <w:r w:rsidRPr="00725346">
        <w:rPr>
          <w:rFonts w:cs="Arial"/>
          <w:szCs w:val="20"/>
        </w:rPr>
        <w:t>These special hearings are referred to in the regulations as informal hearings, but the requirements for such hearings are different from the informal hearings used to deny applicants for reasons other than immigration status.</w:t>
      </w:r>
    </w:p>
    <w:p w14:paraId="3817F955" w14:textId="77777777" w:rsidR="004643A1" w:rsidRDefault="004643A1" w:rsidP="004643A1">
      <w:pPr>
        <w:rPr>
          <w:rFonts w:cs="Arial"/>
          <w:szCs w:val="20"/>
        </w:rPr>
      </w:pPr>
      <w:r w:rsidRPr="00122C89">
        <w:rPr>
          <w:rFonts w:cs="Arial"/>
          <w:szCs w:val="20"/>
        </w:rPr>
        <w:t xml:space="preserve">Assistance to a family may not be delayed, denied, or terminated on the basis of immigration status at any time prior to a decision under the United States Citizenship and Immigration Services (USCIS) appeal process. Assistance to a family may not be terminated or denied while </w:t>
      </w:r>
      <w:r w:rsidR="00CA0DE6">
        <w:rPr>
          <w:rFonts w:cs="Arial"/>
          <w:szCs w:val="20"/>
        </w:rPr>
        <w:t>HHA</w:t>
      </w:r>
      <w:r w:rsidRPr="00122C89">
        <w:rPr>
          <w:rFonts w:cs="Arial"/>
          <w:szCs w:val="20"/>
        </w:rPr>
        <w:t xml:space="preserve"> hearing is pending, but assistance to an applicant may be delayed pending the completion of the informal hearing.</w:t>
      </w:r>
    </w:p>
    <w:p w14:paraId="0AC5014E" w14:textId="77777777" w:rsidR="007F093C" w:rsidRPr="00800A24" w:rsidRDefault="00264D03" w:rsidP="00800A24">
      <w:pPr>
        <w:rPr>
          <w:rFonts w:cs="Arial"/>
          <w:szCs w:val="20"/>
        </w:rPr>
      </w:pPr>
      <w:r>
        <w:rPr>
          <w:rFonts w:cs="Arial"/>
          <w:szCs w:val="20"/>
        </w:rPr>
        <w:t xml:space="preserve">See </w:t>
      </w:r>
      <w:hyperlink r:id="rId18" w:history="1">
        <w:r w:rsidRPr="004D0366">
          <w:rPr>
            <w:rStyle w:val="Hyperlink"/>
            <w:rFonts w:cs="Arial"/>
            <w:szCs w:val="20"/>
          </w:rPr>
          <w:t>24 CFR 5.514</w:t>
        </w:r>
      </w:hyperlink>
      <w:r>
        <w:rPr>
          <w:rFonts w:cs="Arial"/>
          <w:szCs w:val="20"/>
        </w:rPr>
        <w:t xml:space="preserve"> for more information on the process for hearings and appeals for non-citizens.</w:t>
      </w:r>
    </w:p>
    <w:p w14:paraId="42CFD57E" w14:textId="77777777" w:rsidR="002C1895" w:rsidRPr="00122C89" w:rsidRDefault="002C1895" w:rsidP="002C1895">
      <w:pPr>
        <w:pStyle w:val="Heading2"/>
      </w:pPr>
      <w:bookmarkStart w:id="3644" w:name="_Ref103933874"/>
      <w:bookmarkStart w:id="3645" w:name="_Toc106038063"/>
      <w:bookmarkStart w:id="3646" w:name="_Toc106201702"/>
      <w:bookmarkStart w:id="3647" w:name="_Toc106202221"/>
      <w:bookmarkStart w:id="3648" w:name="_Toc106202747"/>
      <w:bookmarkStart w:id="3649" w:name="_Toc113345215"/>
      <w:bookmarkStart w:id="3650" w:name="_Toc137460468"/>
      <w:bookmarkStart w:id="3651" w:name="_Toc137460713"/>
      <w:bookmarkStart w:id="3652" w:name="_Toc137460958"/>
      <w:bookmarkStart w:id="3653" w:name="_Toc137461959"/>
      <w:bookmarkStart w:id="3654" w:name="_Toc137471550"/>
      <w:bookmarkStart w:id="3655" w:name="_Toc137472059"/>
      <w:bookmarkStart w:id="3656" w:name="_Toc173222782"/>
      <w:bookmarkStart w:id="3657" w:name="_Toc200375856"/>
      <w:bookmarkStart w:id="3658" w:name="_Toc200377048"/>
      <w:r>
        <w:t xml:space="preserve">Grievance </w:t>
      </w:r>
      <w:r w:rsidR="007A7BF4">
        <w:t>Hearings for</w:t>
      </w:r>
      <w:r>
        <w:t xml:space="preserve"> Public Housing Residents</w:t>
      </w:r>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p>
    <w:p w14:paraId="3A3E198B" w14:textId="77777777" w:rsidR="002C1895" w:rsidRDefault="002C1895" w:rsidP="002C1895">
      <w:r>
        <w:t>HHA has a grievance policy</w:t>
      </w:r>
      <w:r w:rsidRPr="001C434C">
        <w:t xml:space="preserve"> (</w:t>
      </w:r>
      <w:r w:rsidRPr="002C1895">
        <w:rPr>
          <w:b/>
          <w:bCs/>
          <w:color w:val="0070C0"/>
        </w:rPr>
        <w:fldChar w:fldCharType="begin"/>
      </w:r>
      <w:r w:rsidRPr="002C1895">
        <w:rPr>
          <w:b/>
          <w:bCs/>
          <w:color w:val="0070C0"/>
        </w:rPr>
        <w:instrText xml:space="preserve"> REF _Ref150760024 \h  \* MERGEFORMAT </w:instrText>
      </w:r>
      <w:r w:rsidRPr="002C1895">
        <w:rPr>
          <w:b/>
          <w:bCs/>
          <w:color w:val="0070C0"/>
        </w:rPr>
      </w:r>
      <w:r w:rsidRPr="002C1895">
        <w:rPr>
          <w:b/>
          <w:bCs/>
          <w:color w:val="0070C0"/>
        </w:rPr>
        <w:fldChar w:fldCharType="separate"/>
      </w:r>
      <w:r w:rsidRPr="002C1895">
        <w:rPr>
          <w:b/>
          <w:bCs/>
          <w:color w:val="0070C0"/>
        </w:rPr>
        <w:t>APPENDIX D: GRIEVANCE POLICY</w:t>
      </w:r>
      <w:r w:rsidRPr="002C1895">
        <w:rPr>
          <w:b/>
          <w:bCs/>
          <w:color w:val="0070C0"/>
        </w:rPr>
        <w:fldChar w:fldCharType="end"/>
      </w:r>
      <w:r w:rsidRPr="001C434C">
        <w:t xml:space="preserve">) in place through which </w:t>
      </w:r>
      <w:r>
        <w:t xml:space="preserve">public housing </w:t>
      </w:r>
      <w:r w:rsidRPr="001C434C">
        <w:t xml:space="preserve">residents are provided an opportunity to grieve any </w:t>
      </w:r>
      <w:r>
        <w:t>HHA</w:t>
      </w:r>
      <w:r w:rsidRPr="001C434C">
        <w:t xml:space="preserve"> action or failure to act involving</w:t>
      </w:r>
      <w:r>
        <w:t xml:space="preserve"> the lease or HHA policies which adversely affect their rights, duties, welfare, or status.  </w:t>
      </w:r>
    </w:p>
    <w:p w14:paraId="7B66AA02" w14:textId="77777777" w:rsidR="002C1895" w:rsidRDefault="002C1895" w:rsidP="002C1895">
      <w:r>
        <w:t>HHA’s grievance</w:t>
      </w:r>
      <w:r>
        <w:rPr>
          <w:spacing w:val="-3"/>
        </w:rPr>
        <w:t xml:space="preserve"> </w:t>
      </w:r>
      <w:r>
        <w:t>procedure</w:t>
      </w:r>
      <w:r>
        <w:rPr>
          <w:spacing w:val="1"/>
        </w:rPr>
        <w:t xml:space="preserve"> </w:t>
      </w:r>
      <w:r>
        <w:t>is</w:t>
      </w:r>
      <w:r>
        <w:rPr>
          <w:spacing w:val="-3"/>
        </w:rPr>
        <w:t xml:space="preserve"> </w:t>
      </w:r>
      <w:r>
        <w:t>incorporated</w:t>
      </w:r>
      <w:r>
        <w:rPr>
          <w:spacing w:val="-1"/>
        </w:rPr>
        <w:t xml:space="preserve"> </w:t>
      </w:r>
      <w:r>
        <w:t>by</w:t>
      </w:r>
      <w:r>
        <w:rPr>
          <w:spacing w:val="-6"/>
        </w:rPr>
        <w:t xml:space="preserve"> </w:t>
      </w:r>
      <w:r>
        <w:t>reference</w:t>
      </w:r>
      <w:r>
        <w:rPr>
          <w:spacing w:val="-3"/>
        </w:rPr>
        <w:t xml:space="preserve"> </w:t>
      </w:r>
      <w:r>
        <w:t>in</w:t>
      </w:r>
      <w:r>
        <w:rPr>
          <w:spacing w:val="-1"/>
        </w:rPr>
        <w:t xml:space="preserve"> </w:t>
      </w:r>
      <w:r>
        <w:t>the</w:t>
      </w:r>
      <w:r>
        <w:rPr>
          <w:spacing w:val="-2"/>
        </w:rPr>
        <w:t xml:space="preserve"> </w:t>
      </w:r>
      <w:r>
        <w:t>tenant</w:t>
      </w:r>
      <w:r>
        <w:rPr>
          <w:spacing w:val="-2"/>
        </w:rPr>
        <w:t xml:space="preserve"> lease.</w:t>
      </w:r>
      <w:r w:rsidR="00BD19C6">
        <w:rPr>
          <w:spacing w:val="-2"/>
        </w:rPr>
        <w:t xml:space="preserve"> </w:t>
      </w:r>
    </w:p>
    <w:p w14:paraId="2C94F7A1" w14:textId="77777777" w:rsidR="002C1895" w:rsidRDefault="002C1895" w:rsidP="002C1895">
      <w:r w:rsidRPr="006C6D7D">
        <w:t xml:space="preserve">Residents and resident organizations will have 30 calendar days from the date they are notified by </w:t>
      </w:r>
      <w:r>
        <w:t>HHA</w:t>
      </w:r>
      <w:r w:rsidRPr="006C6D7D">
        <w:t xml:space="preserve"> of any proposed changes in </w:t>
      </w:r>
      <w:r>
        <w:t>HHA</w:t>
      </w:r>
      <w:r w:rsidRPr="006C6D7D">
        <w:t xml:space="preserve"> grievance procedure, to submit written comments to </w:t>
      </w:r>
      <w:r>
        <w:t>HHA</w:t>
      </w:r>
      <w:r w:rsidRPr="006C6D7D">
        <w:t>.</w:t>
      </w:r>
    </w:p>
    <w:p w14:paraId="69EC9A5A" w14:textId="77777777" w:rsidR="00063E36" w:rsidRDefault="00063E36" w:rsidP="00063E36"/>
    <w:p w14:paraId="34EA57BF" w14:textId="77777777" w:rsidR="00323942" w:rsidRDefault="00323942" w:rsidP="00D440D8">
      <w:pPr>
        <w:sectPr w:rsidR="00323942" w:rsidSect="00EE2233">
          <w:pgSz w:w="12240" w:h="15840"/>
          <w:pgMar w:top="1440" w:right="1440" w:bottom="1440" w:left="1440" w:header="720" w:footer="720" w:gutter="0"/>
          <w:cols w:space="720"/>
          <w:docGrid w:linePitch="360"/>
        </w:sectPr>
      </w:pPr>
    </w:p>
    <w:p w14:paraId="1D350731" w14:textId="77777777" w:rsidR="00393257" w:rsidRPr="00552196" w:rsidRDefault="002F2011" w:rsidP="00393257">
      <w:pPr>
        <w:pStyle w:val="Heading1"/>
        <w:ind w:left="0" w:firstLine="0"/>
      </w:pPr>
      <w:bookmarkStart w:id="3659" w:name="_Ref151015636"/>
      <w:bookmarkStart w:id="3660" w:name="_Ref151016957"/>
      <w:bookmarkStart w:id="3661" w:name="_Ref151017029"/>
      <w:bookmarkStart w:id="3662" w:name="_Toc173222783"/>
      <w:bookmarkStart w:id="3663" w:name="_Toc200375857"/>
      <w:bookmarkStart w:id="3664" w:name="_Toc200377049"/>
      <w:r w:rsidRPr="00552196">
        <w:t>LEASE TERMINATIONS</w:t>
      </w:r>
      <w:bookmarkEnd w:id="3659"/>
      <w:bookmarkEnd w:id="3660"/>
      <w:bookmarkEnd w:id="3661"/>
      <w:bookmarkEnd w:id="3662"/>
      <w:bookmarkEnd w:id="3663"/>
      <w:bookmarkEnd w:id="3664"/>
    </w:p>
    <w:p w14:paraId="16619D3F" w14:textId="77777777" w:rsidR="00665E33" w:rsidRPr="00122C89" w:rsidRDefault="00665E33" w:rsidP="00665E33">
      <w:pPr>
        <w:pStyle w:val="Heading2"/>
      </w:pPr>
      <w:bookmarkStart w:id="3665" w:name="_Toc527019654"/>
      <w:bookmarkStart w:id="3666" w:name="_Toc534707195"/>
      <w:bookmarkStart w:id="3667" w:name="_Toc534707873"/>
      <w:bookmarkStart w:id="3668" w:name="_Toc534708681"/>
      <w:bookmarkStart w:id="3669" w:name="_Toc106038025"/>
      <w:bookmarkStart w:id="3670" w:name="_Toc106201664"/>
      <w:bookmarkStart w:id="3671" w:name="_Toc106202183"/>
      <w:bookmarkStart w:id="3672" w:name="_Toc106202709"/>
      <w:bookmarkStart w:id="3673" w:name="_Toc113345166"/>
      <w:bookmarkStart w:id="3674" w:name="_Toc137460452"/>
      <w:bookmarkStart w:id="3675" w:name="_Toc137460697"/>
      <w:bookmarkStart w:id="3676" w:name="_Toc137460942"/>
      <w:bookmarkStart w:id="3677" w:name="_Toc137461910"/>
      <w:bookmarkStart w:id="3678" w:name="_Toc137471501"/>
      <w:bookmarkStart w:id="3679" w:name="_Toc137472010"/>
      <w:bookmarkStart w:id="3680" w:name="_Toc173222784"/>
      <w:bookmarkStart w:id="3681" w:name="_Toc200375858"/>
      <w:bookmarkStart w:id="3682" w:name="_Toc200377050"/>
      <w:r w:rsidRPr="00122C89">
        <w:t>I</w:t>
      </w:r>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r w:rsidR="00A376B9">
        <w:t>ntroduction</w:t>
      </w:r>
      <w:bookmarkEnd w:id="3680"/>
      <w:bookmarkEnd w:id="3681"/>
      <w:bookmarkEnd w:id="3682"/>
    </w:p>
    <w:p w14:paraId="39DA4770" w14:textId="77777777" w:rsidR="00665E33" w:rsidRPr="00D02AA2" w:rsidRDefault="00665E33" w:rsidP="00665E33">
      <w:r w:rsidRPr="00A25847">
        <w:t>This chapter presents the policies that govern voluntary termination of the lease by the family and the mandatory and voluntary termination of the lease by</w:t>
      </w:r>
      <w:r>
        <w:t xml:space="preserve"> </w:t>
      </w:r>
      <w:r w:rsidR="004870AB">
        <w:t>HHA</w:t>
      </w:r>
      <w:r w:rsidRPr="00A25847">
        <w:t xml:space="preserve">. Either party to the dwelling lease agreement may terminate the lease in accordance with the terms of the lease. When the family moves from their public housing unit, they lose their rental assistance. Therefore, there are additional safeguards to protect the family’s tenancy in federally assisted housing. </w:t>
      </w:r>
      <w:r w:rsidR="004870AB">
        <w:t>HHA</w:t>
      </w:r>
      <w:r w:rsidRPr="00A25847">
        <w:t xml:space="preserve"> has the authority to terminate the lease because of the family’s failure to comply with regulations, for serious or repeated violations of the terms of the lease, and for other good cause. </w:t>
      </w:r>
    </w:p>
    <w:p w14:paraId="05F36D75" w14:textId="77777777" w:rsidR="00665E33" w:rsidRPr="00122C89" w:rsidRDefault="001455E7" w:rsidP="00665E33">
      <w:pPr>
        <w:pStyle w:val="Heading2"/>
      </w:pPr>
      <w:bookmarkStart w:id="3683" w:name="_Toc173222785"/>
      <w:bookmarkStart w:id="3684" w:name="_Toc200375859"/>
      <w:bookmarkStart w:id="3685" w:name="_Toc200377051"/>
      <w:r>
        <w:t>Termination by Resident</w:t>
      </w:r>
      <w:bookmarkEnd w:id="3683"/>
      <w:bookmarkEnd w:id="3684"/>
      <w:bookmarkEnd w:id="3685"/>
    </w:p>
    <w:p w14:paraId="66BAC5D8" w14:textId="77777777" w:rsidR="00033F78" w:rsidRPr="00C82E8F" w:rsidRDefault="00CA7AAF" w:rsidP="00033F78">
      <w:r w:rsidRPr="00A2158C">
        <w:t>Resident</w:t>
      </w:r>
      <w:r>
        <w:t>s</w:t>
      </w:r>
      <w:r w:rsidRPr="00A2158C">
        <w:t xml:space="preserve"> may terminate tenancy by providing 30 days</w:t>
      </w:r>
      <w:r>
        <w:t>’</w:t>
      </w:r>
      <w:r w:rsidRPr="00A2158C">
        <w:t xml:space="preserve"> written notice to property manager in accordance with their</w:t>
      </w:r>
      <w:r w:rsidRPr="00316158">
        <w:rPr>
          <w:spacing w:val="-3"/>
        </w:rPr>
        <w:t xml:space="preserve"> </w:t>
      </w:r>
      <w:r w:rsidRPr="00A2158C">
        <w:t>lease.</w:t>
      </w:r>
      <w:r>
        <w:t xml:space="preserve"> </w:t>
      </w:r>
      <w:r w:rsidR="00033F78" w:rsidRPr="00C82E8F">
        <w:t>The notice of lease termination must be signed by the head of household, spouse, or</w:t>
      </w:r>
      <w:r w:rsidR="00033F78">
        <w:t xml:space="preserve"> </w:t>
      </w:r>
      <w:r w:rsidR="00033F78" w:rsidRPr="00C82E8F">
        <w:t>cohead.</w:t>
      </w:r>
    </w:p>
    <w:p w14:paraId="2644CCFB" w14:textId="77777777" w:rsidR="00CA7AAF" w:rsidRDefault="006C0A29" w:rsidP="00CA7AAF">
      <w:r>
        <w:t>HHA at its sole discretion may waive the 30-day requirement</w:t>
      </w:r>
      <w:r w:rsidR="00F43365">
        <w:t xml:space="preserve"> when a family must give less than 30 days’ notice due to verified circumstances beyond their control.</w:t>
      </w:r>
    </w:p>
    <w:p w14:paraId="38788709" w14:textId="77777777" w:rsidR="00665E33" w:rsidRPr="00122C89" w:rsidRDefault="00C82E8F" w:rsidP="00665E33">
      <w:pPr>
        <w:pStyle w:val="Heading2"/>
      </w:pPr>
      <w:bookmarkStart w:id="3686" w:name="_Toc173222786"/>
      <w:bookmarkStart w:id="3687" w:name="_Toc200375860"/>
      <w:bookmarkStart w:id="3688" w:name="_Toc200377052"/>
      <w:r>
        <w:t xml:space="preserve">Termination </w:t>
      </w:r>
      <w:r w:rsidR="00FA75CC">
        <w:t>by HHA</w:t>
      </w:r>
      <w:bookmarkEnd w:id="3686"/>
      <w:bookmarkEnd w:id="3687"/>
      <w:bookmarkEnd w:id="3688"/>
    </w:p>
    <w:p w14:paraId="02E1338C" w14:textId="77777777" w:rsidR="00E4329F" w:rsidRDefault="00E4329F" w:rsidP="00677451">
      <w:pPr>
        <w:pStyle w:val="Heading3"/>
      </w:pPr>
      <w:bookmarkStart w:id="3689" w:name="_Toc200375861"/>
      <w:r>
        <w:t>Mandatory Termination of Assistance</w:t>
      </w:r>
      <w:bookmarkEnd w:id="3689"/>
    </w:p>
    <w:p w14:paraId="14833C15" w14:textId="77777777" w:rsidR="00B9668E" w:rsidRDefault="002E165F" w:rsidP="00B9668E">
      <w:pPr>
        <w:rPr>
          <w:rFonts w:cs="Arial"/>
          <w:szCs w:val="20"/>
        </w:rPr>
      </w:pPr>
      <w:r>
        <w:t xml:space="preserve">HUD and HHA </w:t>
      </w:r>
      <w:r w:rsidRPr="003239F6">
        <w:t>require</w:t>
      </w:r>
      <w:r>
        <w:t xml:space="preserve"> mandatory termination of the lease for certain actions or inactions of the family.</w:t>
      </w:r>
      <w:r w:rsidR="00C17472">
        <w:t xml:space="preserve"> </w:t>
      </w:r>
      <w:r w:rsidR="00B9668E">
        <w:rPr>
          <w:rFonts w:cs="Arial"/>
          <w:szCs w:val="20"/>
        </w:rPr>
        <w:t>In accordance with HUD requirements, HHA</w:t>
      </w:r>
      <w:r w:rsidR="00B9668E" w:rsidRPr="00122C89">
        <w:rPr>
          <w:rFonts w:cs="Arial"/>
          <w:szCs w:val="20"/>
        </w:rPr>
        <w:t xml:space="preserve"> will terminate assistance in the circumstances outlined below.</w:t>
      </w:r>
    </w:p>
    <w:p w14:paraId="06872E67" w14:textId="77777777" w:rsidR="006A68FD" w:rsidRPr="0047474B" w:rsidRDefault="006A68FD" w:rsidP="006A68FD">
      <w:pPr>
        <w:autoSpaceDE w:val="0"/>
        <w:autoSpaceDN w:val="0"/>
        <w:adjustRightInd w:val="0"/>
        <w:rPr>
          <w:rFonts w:cs="Arial"/>
          <w:szCs w:val="20"/>
        </w:rPr>
      </w:pPr>
      <w:r>
        <w:t xml:space="preserve">Incidents of actual or threatened </w:t>
      </w:r>
      <w:r w:rsidRPr="006279F1">
        <w:rPr>
          <w:rFonts w:cs="Arial"/>
          <w:spacing w:val="-2"/>
        </w:rPr>
        <w:t>domestic violence, dating violence, sexual assault, stalking and/or human trafficking</w:t>
      </w:r>
      <w:r>
        <w:t xml:space="preserve"> will not be construed as serious or repeated violations of the lease by the victim or threatened victim of such </w:t>
      </w:r>
      <w:r w:rsidRPr="006279F1">
        <w:rPr>
          <w:rFonts w:cs="Arial"/>
          <w:spacing w:val="-2"/>
        </w:rPr>
        <w:t>domestic violence, dating violence, sexual assault, stalking and/or human trafficking</w:t>
      </w:r>
      <w:r w:rsidRPr="0047474B">
        <w:rPr>
          <w:rFonts w:eastAsia="Times New Roman" w:cs="Arial"/>
          <w:szCs w:val="20"/>
        </w:rPr>
        <w:t>.</w:t>
      </w:r>
      <w:r>
        <w:rPr>
          <w:rFonts w:eastAsia="Times New Roman" w:cs="Arial"/>
          <w:szCs w:val="20"/>
        </w:rPr>
        <w:t xml:space="preserve"> See </w:t>
      </w:r>
      <w:r w:rsidRPr="00127A0E">
        <w:rPr>
          <w:rFonts w:eastAsia="Times New Roman" w:cs="Arial"/>
          <w:b/>
          <w:bCs/>
          <w:color w:val="0070C0"/>
          <w:szCs w:val="20"/>
        </w:rPr>
        <w:fldChar w:fldCharType="begin"/>
      </w:r>
      <w:r w:rsidRPr="00127A0E">
        <w:rPr>
          <w:rFonts w:eastAsia="Times New Roman" w:cs="Arial"/>
          <w:b/>
          <w:bCs/>
          <w:color w:val="0070C0"/>
          <w:szCs w:val="20"/>
        </w:rPr>
        <w:instrText xml:space="preserve"> REF _Ref163724149 \h  \* MERGEFORMAT </w:instrText>
      </w:r>
      <w:r w:rsidRPr="00127A0E">
        <w:rPr>
          <w:rFonts w:eastAsia="Times New Roman" w:cs="Arial"/>
          <w:b/>
          <w:bCs/>
          <w:color w:val="0070C0"/>
          <w:szCs w:val="20"/>
        </w:rPr>
      </w:r>
      <w:r w:rsidRPr="00127A0E">
        <w:rPr>
          <w:rFonts w:eastAsia="Times New Roman" w:cs="Arial"/>
          <w:b/>
          <w:bCs/>
          <w:color w:val="0070C0"/>
          <w:szCs w:val="20"/>
        </w:rPr>
        <w:fldChar w:fldCharType="separate"/>
      </w:r>
      <w:r w:rsidRPr="00127A0E">
        <w:rPr>
          <w:b/>
          <w:bCs/>
          <w:color w:val="0070C0"/>
        </w:rPr>
        <w:t>APPENDIX C: VIOLENCE AGAINST WOMEN ACT (VAWA) POLICY</w:t>
      </w:r>
      <w:r w:rsidRPr="00127A0E">
        <w:rPr>
          <w:rFonts w:eastAsia="Times New Roman" w:cs="Arial"/>
          <w:b/>
          <w:bCs/>
          <w:color w:val="0070C0"/>
          <w:szCs w:val="20"/>
        </w:rPr>
        <w:fldChar w:fldCharType="end"/>
      </w:r>
      <w:r>
        <w:rPr>
          <w:rFonts w:eastAsia="Times New Roman" w:cs="Arial"/>
          <w:szCs w:val="20"/>
        </w:rPr>
        <w:t>.</w:t>
      </w:r>
    </w:p>
    <w:p w14:paraId="09A4AA48" w14:textId="77777777" w:rsidR="00665E33" w:rsidRPr="00122C89" w:rsidRDefault="00665E33" w:rsidP="007F177E">
      <w:pPr>
        <w:pStyle w:val="ListParagraph"/>
        <w:numPr>
          <w:ilvl w:val="0"/>
          <w:numId w:val="171"/>
        </w:numPr>
        <w:autoSpaceDE w:val="0"/>
        <w:autoSpaceDN w:val="0"/>
        <w:adjustRightInd w:val="0"/>
        <w:ind w:left="720"/>
        <w:contextualSpacing w:val="0"/>
        <w:rPr>
          <w:rFonts w:cs="Arial"/>
          <w:szCs w:val="20"/>
        </w:rPr>
      </w:pPr>
      <w:r w:rsidRPr="00122C89">
        <w:rPr>
          <w:rFonts w:cs="Arial"/>
          <w:b/>
          <w:szCs w:val="20"/>
        </w:rPr>
        <w:t>Failure to Provide Consent.</w:t>
      </w:r>
      <w:r w:rsidRPr="00122C89">
        <w:rPr>
          <w:rFonts w:cs="Arial"/>
          <w:szCs w:val="20"/>
        </w:rPr>
        <w:t xml:space="preserve"> </w:t>
      </w:r>
      <w:r w:rsidR="004870AB">
        <w:rPr>
          <w:rFonts w:cs="Arial"/>
          <w:szCs w:val="20"/>
        </w:rPr>
        <w:t>HHA</w:t>
      </w:r>
      <w:r w:rsidRPr="00122C89">
        <w:rPr>
          <w:rFonts w:cs="Arial"/>
          <w:szCs w:val="20"/>
        </w:rPr>
        <w:t xml:space="preserve"> will terminate assistance if any family member fails to sign and submit</w:t>
      </w:r>
      <w:r w:rsidR="00943097">
        <w:rPr>
          <w:rFonts w:cs="Arial"/>
          <w:szCs w:val="20"/>
        </w:rPr>
        <w:t xml:space="preserve"> or opts to revoke</w:t>
      </w:r>
      <w:r w:rsidRPr="00122C89">
        <w:rPr>
          <w:rFonts w:cs="Arial"/>
          <w:szCs w:val="20"/>
        </w:rPr>
        <w:t xml:space="preserve"> any consent form that they are required to sign for a reexamination. See the section on </w:t>
      </w:r>
      <w:r w:rsidR="004441D2" w:rsidRPr="00426F1B">
        <w:rPr>
          <w:rFonts w:cs="Arial"/>
          <w:b/>
          <w:bCs/>
          <w:color w:val="0070C0"/>
          <w:szCs w:val="20"/>
        </w:rPr>
        <w:fldChar w:fldCharType="begin"/>
      </w:r>
      <w:r w:rsidR="004441D2" w:rsidRPr="00426F1B">
        <w:rPr>
          <w:rFonts w:cs="Arial"/>
          <w:b/>
          <w:bCs/>
          <w:color w:val="0070C0"/>
          <w:szCs w:val="20"/>
        </w:rPr>
        <w:instrText xml:space="preserve"> REF _Ref163720896 \h </w:instrText>
      </w:r>
      <w:r w:rsidR="00426F1B" w:rsidRPr="00426F1B">
        <w:rPr>
          <w:rFonts w:cs="Arial"/>
          <w:b/>
          <w:bCs/>
          <w:color w:val="0070C0"/>
          <w:szCs w:val="20"/>
        </w:rPr>
        <w:instrText xml:space="preserve"> \* MERGEFORMAT </w:instrText>
      </w:r>
      <w:r w:rsidR="004441D2" w:rsidRPr="00426F1B">
        <w:rPr>
          <w:rFonts w:cs="Arial"/>
          <w:b/>
          <w:bCs/>
          <w:color w:val="0070C0"/>
          <w:szCs w:val="20"/>
        </w:rPr>
      </w:r>
      <w:r w:rsidR="004441D2" w:rsidRPr="00426F1B">
        <w:rPr>
          <w:rFonts w:cs="Arial"/>
          <w:b/>
          <w:bCs/>
          <w:color w:val="0070C0"/>
          <w:szCs w:val="20"/>
        </w:rPr>
        <w:fldChar w:fldCharType="separate"/>
      </w:r>
      <w:r w:rsidR="004441D2" w:rsidRPr="00426F1B">
        <w:rPr>
          <w:b/>
          <w:bCs/>
          <w:color w:val="0070C0"/>
        </w:rPr>
        <w:t>Family Consent to Release of Information</w:t>
      </w:r>
      <w:r w:rsidR="004441D2" w:rsidRPr="00426F1B">
        <w:rPr>
          <w:rFonts w:cs="Arial"/>
          <w:b/>
          <w:bCs/>
          <w:color w:val="0070C0"/>
          <w:szCs w:val="20"/>
        </w:rPr>
        <w:fldChar w:fldCharType="end"/>
      </w:r>
      <w:r w:rsidR="004441D2">
        <w:rPr>
          <w:rFonts w:cs="Arial"/>
          <w:szCs w:val="20"/>
        </w:rPr>
        <w:t xml:space="preserve"> </w:t>
      </w:r>
      <w:r w:rsidRPr="00122C89">
        <w:rPr>
          <w:rFonts w:cs="Arial"/>
          <w:szCs w:val="20"/>
        </w:rPr>
        <w:t xml:space="preserve">for a complete discussion of consent requirements. </w:t>
      </w:r>
    </w:p>
    <w:p w14:paraId="0D253C90" w14:textId="77777777" w:rsidR="00317F10" w:rsidRDefault="00665E33" w:rsidP="007F177E">
      <w:pPr>
        <w:pStyle w:val="ListParagraph"/>
        <w:numPr>
          <w:ilvl w:val="0"/>
          <w:numId w:val="171"/>
        </w:numPr>
        <w:autoSpaceDE w:val="0"/>
        <w:autoSpaceDN w:val="0"/>
        <w:adjustRightInd w:val="0"/>
        <w:ind w:left="720"/>
        <w:contextualSpacing w:val="0"/>
        <w:rPr>
          <w:rFonts w:cs="Arial"/>
          <w:szCs w:val="20"/>
        </w:rPr>
      </w:pPr>
      <w:r w:rsidRPr="00122C89">
        <w:rPr>
          <w:rFonts w:cs="Arial"/>
          <w:b/>
          <w:szCs w:val="20"/>
        </w:rPr>
        <w:t xml:space="preserve">Failure to Document Citizenship. </w:t>
      </w:r>
      <w:r w:rsidR="004870AB">
        <w:rPr>
          <w:rFonts w:cs="Arial"/>
          <w:szCs w:val="20"/>
        </w:rPr>
        <w:t>HHA</w:t>
      </w:r>
      <w:r w:rsidRPr="00122C89">
        <w:rPr>
          <w:rFonts w:cs="Arial"/>
          <w:szCs w:val="20"/>
        </w:rPr>
        <w:t xml:space="preserve"> will terminate assistance if: </w:t>
      </w:r>
    </w:p>
    <w:p w14:paraId="689120D3" w14:textId="77777777" w:rsidR="00317F10" w:rsidRDefault="00665E33" w:rsidP="007F177E">
      <w:pPr>
        <w:pStyle w:val="ListParagraph"/>
        <w:numPr>
          <w:ilvl w:val="1"/>
          <w:numId w:val="290"/>
        </w:numPr>
        <w:autoSpaceDE w:val="0"/>
        <w:autoSpaceDN w:val="0"/>
        <w:adjustRightInd w:val="0"/>
        <w:ind w:left="1440"/>
        <w:contextualSpacing w:val="0"/>
        <w:rPr>
          <w:rFonts w:cs="Arial"/>
          <w:szCs w:val="20"/>
        </w:rPr>
      </w:pPr>
      <w:r w:rsidRPr="00317F10">
        <w:rPr>
          <w:rFonts w:cs="Arial"/>
          <w:szCs w:val="20"/>
        </w:rPr>
        <w:t xml:space="preserve">A family fails to submit required documentation within the required timeframe concerning any family member’s citizenship or immigration status; </w:t>
      </w:r>
    </w:p>
    <w:p w14:paraId="22A5278E" w14:textId="77777777" w:rsidR="00317F10" w:rsidRDefault="00665E33" w:rsidP="007F177E">
      <w:pPr>
        <w:pStyle w:val="ListParagraph"/>
        <w:numPr>
          <w:ilvl w:val="1"/>
          <w:numId w:val="290"/>
        </w:numPr>
        <w:autoSpaceDE w:val="0"/>
        <w:autoSpaceDN w:val="0"/>
        <w:adjustRightInd w:val="0"/>
        <w:ind w:left="1440"/>
        <w:contextualSpacing w:val="0"/>
        <w:rPr>
          <w:rFonts w:cs="Arial"/>
          <w:szCs w:val="20"/>
        </w:rPr>
      </w:pPr>
      <w:r w:rsidRPr="00317F10">
        <w:rPr>
          <w:rFonts w:cs="Arial"/>
          <w:szCs w:val="20"/>
        </w:rPr>
        <w:t xml:space="preserve">A family submits evidence of citizenship and eligible immigration status in a timely manner, but the United States Citizenship and Immigration Services’ (USCIS) primary and secondary verification do not verify eligible immigration status of the family; or </w:t>
      </w:r>
    </w:p>
    <w:p w14:paraId="34EB3174" w14:textId="77777777" w:rsidR="00665E33" w:rsidRPr="00317F10" w:rsidRDefault="00665E33" w:rsidP="007F177E">
      <w:pPr>
        <w:pStyle w:val="ListParagraph"/>
        <w:numPr>
          <w:ilvl w:val="1"/>
          <w:numId w:val="290"/>
        </w:numPr>
        <w:autoSpaceDE w:val="0"/>
        <w:autoSpaceDN w:val="0"/>
        <w:adjustRightInd w:val="0"/>
        <w:ind w:left="1440"/>
        <w:contextualSpacing w:val="0"/>
        <w:rPr>
          <w:rFonts w:cs="Arial"/>
          <w:szCs w:val="20"/>
        </w:rPr>
      </w:pPr>
      <w:r w:rsidRPr="00317F10">
        <w:rPr>
          <w:rFonts w:cs="Arial"/>
          <w:szCs w:val="20"/>
        </w:rPr>
        <w:t xml:space="preserve">A family member, as determined by </w:t>
      </w:r>
      <w:r w:rsidR="004870AB" w:rsidRPr="00317F10">
        <w:rPr>
          <w:rFonts w:cs="Arial"/>
          <w:szCs w:val="20"/>
        </w:rPr>
        <w:t>HHA</w:t>
      </w:r>
      <w:r w:rsidRPr="00317F10">
        <w:rPr>
          <w:rFonts w:cs="Arial"/>
          <w:szCs w:val="20"/>
        </w:rPr>
        <w:t xml:space="preserve">, has knowingly permitted another individual who is not eligible for assistance to reside (on a permanent basis) in the unit. Such termination must be for a period of at least 24 months. This does not apply to ineligible noncitizens already in the household where the family’s assistance has been prorated. </w:t>
      </w:r>
    </w:p>
    <w:p w14:paraId="3DD4F1D4" w14:textId="77777777" w:rsidR="004441D2" w:rsidRPr="00122C89" w:rsidRDefault="004441D2" w:rsidP="004441D2">
      <w:pPr>
        <w:pStyle w:val="ListParagraph"/>
        <w:autoSpaceDE w:val="0"/>
        <w:autoSpaceDN w:val="0"/>
        <w:adjustRightInd w:val="0"/>
        <w:contextualSpacing w:val="0"/>
        <w:rPr>
          <w:rFonts w:cs="Arial"/>
          <w:szCs w:val="20"/>
        </w:rPr>
      </w:pPr>
      <w:r>
        <w:rPr>
          <w:rFonts w:cs="Arial"/>
          <w:szCs w:val="20"/>
        </w:rPr>
        <w:t xml:space="preserve">See </w:t>
      </w:r>
      <w:r w:rsidRPr="004441D2">
        <w:rPr>
          <w:rFonts w:cs="Arial"/>
          <w:b/>
          <w:bCs/>
          <w:color w:val="0070C0"/>
          <w:szCs w:val="20"/>
        </w:rPr>
        <w:fldChar w:fldCharType="begin"/>
      </w:r>
      <w:r w:rsidRPr="004441D2">
        <w:rPr>
          <w:rFonts w:cs="Arial"/>
          <w:b/>
          <w:bCs/>
          <w:color w:val="0070C0"/>
          <w:szCs w:val="20"/>
        </w:rPr>
        <w:instrText xml:space="preserve"> REF _Ref163720798 \h  \* MERGEFORMAT </w:instrText>
      </w:r>
      <w:r w:rsidRPr="004441D2">
        <w:rPr>
          <w:rFonts w:cs="Arial"/>
          <w:b/>
          <w:bCs/>
          <w:color w:val="0070C0"/>
          <w:szCs w:val="20"/>
        </w:rPr>
      </w:r>
      <w:r w:rsidRPr="004441D2">
        <w:rPr>
          <w:rFonts w:cs="Arial"/>
          <w:b/>
          <w:bCs/>
          <w:color w:val="0070C0"/>
          <w:szCs w:val="20"/>
        </w:rPr>
        <w:fldChar w:fldCharType="separate"/>
      </w:r>
      <w:r w:rsidRPr="004441D2">
        <w:rPr>
          <w:b/>
          <w:bCs/>
          <w:color w:val="0070C0"/>
        </w:rPr>
        <w:t>Citizenship or Eligible Immigration Status</w:t>
      </w:r>
      <w:r w:rsidRPr="004441D2">
        <w:rPr>
          <w:rFonts w:cs="Arial"/>
          <w:b/>
          <w:bCs/>
          <w:color w:val="0070C0"/>
          <w:szCs w:val="20"/>
        </w:rPr>
        <w:fldChar w:fldCharType="end"/>
      </w:r>
      <w:r>
        <w:rPr>
          <w:rFonts w:cs="Arial"/>
          <w:szCs w:val="20"/>
        </w:rPr>
        <w:t xml:space="preserve"> and </w:t>
      </w:r>
      <w:r w:rsidRPr="004441D2">
        <w:rPr>
          <w:rFonts w:cs="Arial"/>
          <w:b/>
          <w:bCs/>
          <w:color w:val="0070C0"/>
          <w:szCs w:val="20"/>
        </w:rPr>
        <w:fldChar w:fldCharType="begin"/>
      </w:r>
      <w:r w:rsidRPr="004441D2">
        <w:rPr>
          <w:rFonts w:cs="Arial"/>
          <w:b/>
          <w:bCs/>
          <w:color w:val="0070C0"/>
          <w:szCs w:val="20"/>
        </w:rPr>
        <w:instrText xml:space="preserve"> REF _Ref163720832 \h  \* MERGEFORMAT </w:instrText>
      </w:r>
      <w:r w:rsidRPr="004441D2">
        <w:rPr>
          <w:rFonts w:cs="Arial"/>
          <w:b/>
          <w:bCs/>
          <w:color w:val="0070C0"/>
          <w:szCs w:val="20"/>
        </w:rPr>
      </w:r>
      <w:r w:rsidRPr="004441D2">
        <w:rPr>
          <w:rFonts w:cs="Arial"/>
          <w:b/>
          <w:bCs/>
          <w:color w:val="0070C0"/>
          <w:szCs w:val="20"/>
        </w:rPr>
        <w:fldChar w:fldCharType="separate"/>
      </w:r>
      <w:r w:rsidRPr="004441D2">
        <w:rPr>
          <w:b/>
          <w:bCs/>
          <w:color w:val="0070C0"/>
        </w:rPr>
        <w:t>Verification of U.S. Citizenship and of Eligible Immigration Status</w:t>
      </w:r>
      <w:r w:rsidRPr="004441D2">
        <w:rPr>
          <w:rFonts w:cs="Arial"/>
          <w:b/>
          <w:bCs/>
          <w:color w:val="0070C0"/>
          <w:szCs w:val="20"/>
        </w:rPr>
        <w:fldChar w:fldCharType="end"/>
      </w:r>
      <w:r>
        <w:rPr>
          <w:rFonts w:cs="Arial"/>
          <w:szCs w:val="20"/>
        </w:rPr>
        <w:t xml:space="preserve"> for additional information.</w:t>
      </w:r>
    </w:p>
    <w:p w14:paraId="2D4E1ED2" w14:textId="77777777" w:rsidR="00665E33" w:rsidRPr="00317F10" w:rsidRDefault="00665E33" w:rsidP="007F177E">
      <w:pPr>
        <w:pStyle w:val="ListParagraph"/>
        <w:numPr>
          <w:ilvl w:val="0"/>
          <w:numId w:val="171"/>
        </w:numPr>
        <w:autoSpaceDE w:val="0"/>
        <w:autoSpaceDN w:val="0"/>
        <w:adjustRightInd w:val="0"/>
        <w:ind w:left="720"/>
        <w:contextualSpacing w:val="0"/>
        <w:rPr>
          <w:rFonts w:cs="Arial"/>
          <w:bCs/>
          <w:szCs w:val="20"/>
        </w:rPr>
      </w:pPr>
      <w:r w:rsidRPr="00122C89">
        <w:rPr>
          <w:rFonts w:cs="Arial"/>
          <w:b/>
          <w:szCs w:val="20"/>
        </w:rPr>
        <w:t xml:space="preserve">Failure to Disclose and Document Social Security Numbers. </w:t>
      </w:r>
      <w:r w:rsidR="004870AB" w:rsidRPr="00317F10">
        <w:rPr>
          <w:rFonts w:cs="Arial"/>
          <w:bCs/>
          <w:szCs w:val="20"/>
        </w:rPr>
        <w:t>HHA</w:t>
      </w:r>
      <w:r w:rsidRPr="00317F10">
        <w:rPr>
          <w:rFonts w:cs="Arial"/>
          <w:bCs/>
          <w:szCs w:val="20"/>
        </w:rPr>
        <w:t xml:space="preserve"> will terminate assistance if any household member fails to disclose the complete and accurate Social Security numbers (SSNs) of each household member and the documentation necessary to verify each Social Security number.</w:t>
      </w:r>
    </w:p>
    <w:p w14:paraId="290118BC" w14:textId="77777777" w:rsidR="00665E33" w:rsidRPr="00122C89" w:rsidRDefault="004870AB" w:rsidP="001A116A">
      <w:pPr>
        <w:pStyle w:val="ListParagraph"/>
        <w:autoSpaceDE w:val="0"/>
        <w:autoSpaceDN w:val="0"/>
        <w:adjustRightInd w:val="0"/>
        <w:contextualSpacing w:val="0"/>
        <w:rPr>
          <w:rFonts w:cs="Arial"/>
          <w:szCs w:val="20"/>
        </w:rPr>
      </w:pPr>
      <w:r>
        <w:t>HHA</w:t>
      </w:r>
      <w:r w:rsidR="00665E33" w:rsidRPr="00D0694F">
        <w:t xml:space="preserve"> will defer the family</w:t>
      </w:r>
      <w:r w:rsidR="00665E33">
        <w:t>’</w:t>
      </w:r>
      <w:r w:rsidR="00665E33" w:rsidRPr="00D0694F">
        <w:t>s termination and provide the family with the opportunity to comply with the requirement for a period of 90 calendar days for circumstances beyond the participant</w:t>
      </w:r>
      <w:r w:rsidR="00665E33">
        <w:t>’</w:t>
      </w:r>
      <w:r w:rsidR="00665E33" w:rsidRPr="00D0694F">
        <w:t xml:space="preserve">s control such as delayed processing of the SSN application by the SSA, natural disaster, fire, death in the family, or other emergency, if there is a reasonable likelihood that the participant will be able to disclose an SSN by the deadline. </w:t>
      </w:r>
    </w:p>
    <w:p w14:paraId="2A1EB1D9" w14:textId="77777777" w:rsidR="00665E33" w:rsidRPr="00122C89" w:rsidRDefault="00665E33" w:rsidP="001A116A">
      <w:pPr>
        <w:autoSpaceDE w:val="0"/>
        <w:autoSpaceDN w:val="0"/>
        <w:adjustRightInd w:val="0"/>
        <w:ind w:left="720"/>
        <w:rPr>
          <w:rFonts w:cs="Arial"/>
          <w:szCs w:val="20"/>
        </w:rPr>
      </w:pPr>
      <w:r w:rsidRPr="00122C89">
        <w:rPr>
          <w:rFonts w:cs="Arial"/>
          <w:szCs w:val="20"/>
        </w:rPr>
        <w:t xml:space="preserve">See </w:t>
      </w:r>
      <w:r w:rsidR="00BF7908" w:rsidRPr="00BF7908">
        <w:rPr>
          <w:rFonts w:cs="Arial"/>
          <w:b/>
          <w:bCs/>
          <w:color w:val="0070C0"/>
          <w:szCs w:val="20"/>
        </w:rPr>
        <w:fldChar w:fldCharType="begin"/>
      </w:r>
      <w:r w:rsidR="00BF7908" w:rsidRPr="00BF7908">
        <w:rPr>
          <w:rFonts w:cs="Arial"/>
          <w:b/>
          <w:bCs/>
          <w:color w:val="0070C0"/>
          <w:szCs w:val="20"/>
        </w:rPr>
        <w:instrText xml:space="preserve"> REF _Ref155696220 \h  \* MERGEFORMAT </w:instrText>
      </w:r>
      <w:r w:rsidR="00BF7908" w:rsidRPr="00BF7908">
        <w:rPr>
          <w:rFonts w:cs="Arial"/>
          <w:b/>
          <w:bCs/>
          <w:color w:val="0070C0"/>
          <w:szCs w:val="20"/>
        </w:rPr>
      </w:r>
      <w:r w:rsidR="00BF7908" w:rsidRPr="00BF7908">
        <w:rPr>
          <w:rFonts w:cs="Arial"/>
          <w:b/>
          <w:bCs/>
          <w:color w:val="0070C0"/>
          <w:szCs w:val="20"/>
        </w:rPr>
        <w:fldChar w:fldCharType="separate"/>
      </w:r>
      <w:r w:rsidR="00BF7908" w:rsidRPr="00BF7908">
        <w:rPr>
          <w:b/>
          <w:bCs/>
          <w:color w:val="0070C0"/>
        </w:rPr>
        <w:t>Social Security Numbers</w:t>
      </w:r>
      <w:r w:rsidR="00BF7908" w:rsidRPr="00BF7908">
        <w:rPr>
          <w:rFonts w:cs="Arial"/>
          <w:b/>
          <w:bCs/>
          <w:color w:val="0070C0"/>
          <w:szCs w:val="20"/>
        </w:rPr>
        <w:fldChar w:fldCharType="end"/>
      </w:r>
      <w:r w:rsidR="00BF7908">
        <w:rPr>
          <w:rFonts w:cs="Arial"/>
          <w:szCs w:val="20"/>
        </w:rPr>
        <w:t xml:space="preserve"> </w:t>
      </w:r>
      <w:r w:rsidR="00426F1B">
        <w:rPr>
          <w:rFonts w:cs="Arial"/>
          <w:szCs w:val="20"/>
        </w:rPr>
        <w:t xml:space="preserve">and </w:t>
      </w:r>
      <w:r w:rsidR="00426F1B" w:rsidRPr="00426F1B">
        <w:rPr>
          <w:rFonts w:cs="Arial"/>
          <w:b/>
          <w:bCs/>
          <w:color w:val="0070C0"/>
          <w:szCs w:val="20"/>
        </w:rPr>
        <w:fldChar w:fldCharType="begin"/>
      </w:r>
      <w:r w:rsidR="00426F1B" w:rsidRPr="00426F1B">
        <w:rPr>
          <w:rFonts w:cs="Arial"/>
          <w:b/>
          <w:bCs/>
          <w:color w:val="0070C0"/>
          <w:szCs w:val="20"/>
        </w:rPr>
        <w:instrText xml:space="preserve"> REF _Ref163720955 \h  \* MERGEFORMAT </w:instrText>
      </w:r>
      <w:r w:rsidR="00426F1B" w:rsidRPr="00426F1B">
        <w:rPr>
          <w:rFonts w:cs="Arial"/>
          <w:b/>
          <w:bCs/>
          <w:color w:val="0070C0"/>
          <w:szCs w:val="20"/>
        </w:rPr>
      </w:r>
      <w:r w:rsidR="00426F1B" w:rsidRPr="00426F1B">
        <w:rPr>
          <w:rFonts w:cs="Arial"/>
          <w:b/>
          <w:bCs/>
          <w:color w:val="0070C0"/>
          <w:szCs w:val="20"/>
        </w:rPr>
        <w:fldChar w:fldCharType="separate"/>
      </w:r>
      <w:r w:rsidR="00426F1B" w:rsidRPr="00426F1B">
        <w:rPr>
          <w:b/>
          <w:bCs/>
          <w:color w:val="0070C0"/>
        </w:rPr>
        <w:t>Social Security Number Verification</w:t>
      </w:r>
      <w:r w:rsidR="00426F1B" w:rsidRPr="00426F1B">
        <w:rPr>
          <w:rFonts w:cs="Arial"/>
          <w:b/>
          <w:bCs/>
          <w:color w:val="0070C0"/>
          <w:szCs w:val="20"/>
        </w:rPr>
        <w:fldChar w:fldCharType="end"/>
      </w:r>
      <w:r w:rsidR="00426F1B">
        <w:rPr>
          <w:rFonts w:cs="Arial"/>
          <w:szCs w:val="20"/>
        </w:rPr>
        <w:t xml:space="preserve"> </w:t>
      </w:r>
      <w:r w:rsidRPr="00122C89">
        <w:rPr>
          <w:rFonts w:cs="Arial"/>
          <w:szCs w:val="20"/>
        </w:rPr>
        <w:t>for additional information on providing</w:t>
      </w:r>
      <w:r w:rsidR="00426F1B">
        <w:rPr>
          <w:rFonts w:cs="Arial"/>
          <w:szCs w:val="20"/>
        </w:rPr>
        <w:t xml:space="preserve"> and documenting</w:t>
      </w:r>
      <w:r w:rsidRPr="00122C89">
        <w:rPr>
          <w:rFonts w:cs="Arial"/>
          <w:szCs w:val="20"/>
        </w:rPr>
        <w:t xml:space="preserve"> SSNs.  </w:t>
      </w:r>
    </w:p>
    <w:p w14:paraId="7699AB98" w14:textId="77777777" w:rsidR="00317F10" w:rsidRDefault="00665E33" w:rsidP="007F177E">
      <w:pPr>
        <w:pStyle w:val="ListParagraph"/>
        <w:numPr>
          <w:ilvl w:val="0"/>
          <w:numId w:val="171"/>
        </w:numPr>
        <w:autoSpaceDE w:val="0"/>
        <w:autoSpaceDN w:val="0"/>
        <w:adjustRightInd w:val="0"/>
        <w:ind w:left="720"/>
        <w:contextualSpacing w:val="0"/>
        <w:rPr>
          <w:rFonts w:cs="Arial"/>
          <w:bCs/>
          <w:szCs w:val="20"/>
        </w:rPr>
      </w:pPr>
      <w:r w:rsidRPr="0048798E">
        <w:rPr>
          <w:rFonts w:cs="Arial"/>
          <w:b/>
          <w:szCs w:val="20"/>
        </w:rPr>
        <w:t xml:space="preserve">Failure to Accept </w:t>
      </w:r>
      <w:r w:rsidR="004870AB">
        <w:rPr>
          <w:rFonts w:cs="Arial"/>
          <w:b/>
          <w:szCs w:val="20"/>
        </w:rPr>
        <w:t>HHA</w:t>
      </w:r>
      <w:r w:rsidRPr="0048798E">
        <w:rPr>
          <w:rFonts w:cs="Arial"/>
          <w:b/>
          <w:szCs w:val="20"/>
        </w:rPr>
        <w:t>’s Offer of a Lease Revision.</w:t>
      </w:r>
      <w:r w:rsidRPr="0048798E">
        <w:rPr>
          <w:rFonts w:cs="Arial"/>
          <w:bCs/>
          <w:szCs w:val="20"/>
        </w:rPr>
        <w:t xml:space="preserve"> </w:t>
      </w:r>
      <w:r w:rsidR="004870AB">
        <w:rPr>
          <w:rFonts w:cs="Arial"/>
          <w:bCs/>
          <w:szCs w:val="20"/>
        </w:rPr>
        <w:t>HHA</w:t>
      </w:r>
      <w:r w:rsidRPr="0048798E">
        <w:rPr>
          <w:rFonts w:cs="Arial"/>
          <w:bCs/>
          <w:szCs w:val="20"/>
        </w:rPr>
        <w:t xml:space="preserve"> will terminate the lease if the family fails to accept </w:t>
      </w:r>
      <w:r w:rsidR="004870AB">
        <w:rPr>
          <w:rFonts w:cs="Arial"/>
          <w:bCs/>
          <w:szCs w:val="20"/>
        </w:rPr>
        <w:t>HHA</w:t>
      </w:r>
      <w:r>
        <w:rPr>
          <w:rFonts w:cs="Arial"/>
          <w:bCs/>
          <w:szCs w:val="20"/>
        </w:rPr>
        <w:t>’s</w:t>
      </w:r>
      <w:r w:rsidRPr="0048798E">
        <w:rPr>
          <w:rFonts w:cs="Arial"/>
          <w:bCs/>
          <w:szCs w:val="20"/>
        </w:rPr>
        <w:t xml:space="preserve"> offer of a lease revision to an existing lease, provided </w:t>
      </w:r>
      <w:r w:rsidR="004870AB">
        <w:rPr>
          <w:rFonts w:cs="Arial"/>
          <w:bCs/>
          <w:szCs w:val="20"/>
        </w:rPr>
        <w:t>HHA</w:t>
      </w:r>
      <w:r w:rsidRPr="0048798E">
        <w:rPr>
          <w:rFonts w:cs="Arial"/>
          <w:bCs/>
          <w:szCs w:val="20"/>
        </w:rPr>
        <w:t xml:space="preserve"> has done the following:</w:t>
      </w:r>
    </w:p>
    <w:p w14:paraId="0058D74A" w14:textId="77777777" w:rsidR="00317F10" w:rsidRPr="00317F10" w:rsidRDefault="00665E33" w:rsidP="007F177E">
      <w:pPr>
        <w:pStyle w:val="ListParagraph"/>
        <w:numPr>
          <w:ilvl w:val="1"/>
          <w:numId w:val="291"/>
        </w:numPr>
        <w:autoSpaceDE w:val="0"/>
        <w:autoSpaceDN w:val="0"/>
        <w:adjustRightInd w:val="0"/>
        <w:ind w:left="1440"/>
        <w:contextualSpacing w:val="0"/>
        <w:rPr>
          <w:rFonts w:cs="Arial"/>
          <w:bCs/>
          <w:szCs w:val="20"/>
        </w:rPr>
      </w:pPr>
      <w:r>
        <w:t xml:space="preserve">The revision is on a form adopted by </w:t>
      </w:r>
      <w:r w:rsidR="004870AB">
        <w:t>HHA</w:t>
      </w:r>
      <w:r>
        <w:t xml:space="preserve"> pertaining to requirements for notice to tenants and resident organizations and their opportunity to present comments; </w:t>
      </w:r>
    </w:p>
    <w:p w14:paraId="6B47E91A" w14:textId="77777777" w:rsidR="00317F10" w:rsidRPr="00317F10" w:rsidRDefault="004870AB" w:rsidP="007F177E">
      <w:pPr>
        <w:pStyle w:val="ListParagraph"/>
        <w:numPr>
          <w:ilvl w:val="1"/>
          <w:numId w:val="291"/>
        </w:numPr>
        <w:autoSpaceDE w:val="0"/>
        <w:autoSpaceDN w:val="0"/>
        <w:adjustRightInd w:val="0"/>
        <w:ind w:left="1440"/>
        <w:contextualSpacing w:val="0"/>
        <w:rPr>
          <w:rFonts w:cs="Arial"/>
          <w:bCs/>
          <w:szCs w:val="20"/>
        </w:rPr>
      </w:pPr>
      <w:r>
        <w:t>HHA</w:t>
      </w:r>
      <w:r w:rsidR="00665E33">
        <w:t xml:space="preserve"> has made written notice of the offer of the revision at least 60 calendar days before the lease revision is scheduled to take effect; and</w:t>
      </w:r>
    </w:p>
    <w:p w14:paraId="40C685A1" w14:textId="77777777" w:rsidR="00665E33" w:rsidRPr="00317F10" w:rsidRDefault="004870AB" w:rsidP="007F177E">
      <w:pPr>
        <w:pStyle w:val="ListParagraph"/>
        <w:numPr>
          <w:ilvl w:val="1"/>
          <w:numId w:val="291"/>
        </w:numPr>
        <w:autoSpaceDE w:val="0"/>
        <w:autoSpaceDN w:val="0"/>
        <w:adjustRightInd w:val="0"/>
        <w:ind w:left="1440"/>
        <w:contextualSpacing w:val="0"/>
        <w:rPr>
          <w:rFonts w:cs="Arial"/>
          <w:bCs/>
          <w:szCs w:val="20"/>
        </w:rPr>
      </w:pPr>
      <w:r>
        <w:t>HHA</w:t>
      </w:r>
      <w:r w:rsidR="00665E33">
        <w:t xml:space="preserve"> has specified in the offer a reasonable time limit within that period for acceptance by the family.</w:t>
      </w:r>
    </w:p>
    <w:p w14:paraId="1B014B08" w14:textId="77777777" w:rsidR="00665E33" w:rsidRPr="00122C89" w:rsidRDefault="00665E33" w:rsidP="007F177E">
      <w:pPr>
        <w:pStyle w:val="ListParagraph"/>
        <w:numPr>
          <w:ilvl w:val="0"/>
          <w:numId w:val="171"/>
        </w:numPr>
        <w:autoSpaceDE w:val="0"/>
        <w:autoSpaceDN w:val="0"/>
        <w:adjustRightInd w:val="0"/>
        <w:ind w:left="720"/>
        <w:contextualSpacing w:val="0"/>
        <w:rPr>
          <w:rFonts w:cs="Arial"/>
          <w:szCs w:val="20"/>
        </w:rPr>
      </w:pPr>
      <w:r w:rsidRPr="00122C89">
        <w:rPr>
          <w:rFonts w:cs="Arial"/>
          <w:b/>
          <w:szCs w:val="20"/>
        </w:rPr>
        <w:t>Methamphetamine Manufacture or Production.</w:t>
      </w:r>
      <w:r w:rsidRPr="00122C89">
        <w:rPr>
          <w:rFonts w:cs="Arial"/>
          <w:szCs w:val="20"/>
        </w:rPr>
        <w:t xml:space="preserve"> </w:t>
      </w:r>
      <w:r w:rsidR="004870AB">
        <w:rPr>
          <w:rFonts w:cs="Arial"/>
          <w:szCs w:val="20"/>
        </w:rPr>
        <w:t>HHA</w:t>
      </w:r>
      <w:r w:rsidRPr="00122C89">
        <w:rPr>
          <w:rFonts w:cs="Arial"/>
          <w:szCs w:val="20"/>
        </w:rPr>
        <w:t xml:space="preserve"> will terminate assistance if any household member has ever been convicted of the manufacture or production of methamphetamine on the premises of federally-assisted housing.</w:t>
      </w:r>
    </w:p>
    <w:p w14:paraId="1BA827B5" w14:textId="77777777" w:rsidR="00665E33" w:rsidRPr="00122C89" w:rsidRDefault="00665E33" w:rsidP="007F177E">
      <w:pPr>
        <w:pStyle w:val="ListParagraph"/>
        <w:numPr>
          <w:ilvl w:val="0"/>
          <w:numId w:val="171"/>
        </w:numPr>
        <w:autoSpaceDE w:val="0"/>
        <w:autoSpaceDN w:val="0"/>
        <w:adjustRightInd w:val="0"/>
        <w:ind w:left="720"/>
        <w:contextualSpacing w:val="0"/>
        <w:rPr>
          <w:rFonts w:cs="Arial"/>
          <w:szCs w:val="20"/>
        </w:rPr>
      </w:pPr>
      <w:r w:rsidRPr="00122C89">
        <w:rPr>
          <w:rFonts w:cs="Arial"/>
          <w:b/>
          <w:szCs w:val="20"/>
        </w:rPr>
        <w:t xml:space="preserve">Lifetime Registered Sex Offenders. </w:t>
      </w:r>
      <w:r w:rsidRPr="00122C89">
        <w:rPr>
          <w:rFonts w:cs="Arial"/>
          <w:szCs w:val="20"/>
        </w:rPr>
        <w:t xml:space="preserve">Should </w:t>
      </w:r>
      <w:r w:rsidR="004870AB">
        <w:rPr>
          <w:rFonts w:cs="Arial"/>
          <w:szCs w:val="20"/>
        </w:rPr>
        <w:t>HHA</w:t>
      </w:r>
      <w:r w:rsidRPr="00122C89">
        <w:rPr>
          <w:rFonts w:cs="Arial"/>
          <w:szCs w:val="20"/>
        </w:rPr>
        <w:t xml:space="preserve"> discover that a member of an assisted household was subject to a lifetime registration requirement at admission and was erroneously admitted after June 25, 2001, </w:t>
      </w:r>
      <w:r w:rsidR="004870AB">
        <w:rPr>
          <w:rFonts w:cs="Arial"/>
          <w:szCs w:val="20"/>
        </w:rPr>
        <w:t>HHA</w:t>
      </w:r>
      <w:r w:rsidRPr="00122C89">
        <w:rPr>
          <w:rFonts w:cs="Arial"/>
          <w:szCs w:val="20"/>
        </w:rPr>
        <w:t xml:space="preserve"> will immediately terminate assistance for the household member.</w:t>
      </w:r>
    </w:p>
    <w:p w14:paraId="1D080E44" w14:textId="5C73C605" w:rsidR="00665E33" w:rsidRPr="00122C89" w:rsidRDefault="00665E33" w:rsidP="001A116A">
      <w:pPr>
        <w:autoSpaceDE w:val="0"/>
        <w:autoSpaceDN w:val="0"/>
        <w:adjustRightInd w:val="0"/>
        <w:ind w:left="720"/>
        <w:rPr>
          <w:rFonts w:cs="Arial"/>
          <w:szCs w:val="20"/>
        </w:rPr>
      </w:pPr>
      <w:r w:rsidRPr="00122C89">
        <w:rPr>
          <w:rFonts w:cs="Arial"/>
          <w:szCs w:val="20"/>
        </w:rPr>
        <w:t xml:space="preserve">In this situation, </w:t>
      </w:r>
      <w:r w:rsidR="004870AB">
        <w:rPr>
          <w:rFonts w:cs="Arial"/>
          <w:szCs w:val="20"/>
        </w:rPr>
        <w:t>HHA</w:t>
      </w:r>
      <w:r w:rsidRPr="00122C89">
        <w:rPr>
          <w:rFonts w:cs="Arial"/>
          <w:szCs w:val="20"/>
        </w:rPr>
        <w:t xml:space="preserve"> </w:t>
      </w:r>
      <w:r w:rsidR="008C6640">
        <w:rPr>
          <w:rFonts w:cs="Arial"/>
          <w:szCs w:val="20"/>
        </w:rPr>
        <w:t>may</w:t>
      </w:r>
      <w:r w:rsidRPr="00122C89">
        <w:rPr>
          <w:rFonts w:cs="Arial"/>
          <w:szCs w:val="20"/>
        </w:rPr>
        <w:t xml:space="preserve"> offer the family the opportunity to remove the ineligible family member from the household. If the family is unwilling to remove that individual from the household, </w:t>
      </w:r>
      <w:r w:rsidR="004870AB">
        <w:rPr>
          <w:rFonts w:cs="Arial"/>
          <w:szCs w:val="20"/>
        </w:rPr>
        <w:t>HHA</w:t>
      </w:r>
      <w:r w:rsidRPr="00122C89">
        <w:rPr>
          <w:rFonts w:cs="Arial"/>
          <w:szCs w:val="20"/>
        </w:rPr>
        <w:t xml:space="preserve"> will terminate assistance for the household.</w:t>
      </w:r>
    </w:p>
    <w:p w14:paraId="5918136E" w14:textId="255F9DF7" w:rsidR="00665E33" w:rsidRPr="0046184C" w:rsidRDefault="00665E33" w:rsidP="007F177E">
      <w:pPr>
        <w:pStyle w:val="ListParagraph"/>
        <w:numPr>
          <w:ilvl w:val="0"/>
          <w:numId w:val="171"/>
        </w:numPr>
        <w:autoSpaceDE w:val="0"/>
        <w:autoSpaceDN w:val="0"/>
        <w:adjustRightInd w:val="0"/>
        <w:ind w:left="720"/>
        <w:contextualSpacing w:val="0"/>
        <w:rPr>
          <w:rFonts w:cs="Arial"/>
          <w:bCs/>
          <w:szCs w:val="20"/>
        </w:rPr>
      </w:pPr>
      <w:r w:rsidRPr="0046184C">
        <w:rPr>
          <w:rFonts w:cs="Arial"/>
          <w:b/>
          <w:szCs w:val="20"/>
        </w:rPr>
        <w:t>Noncompliance with Community Service Requirements.</w:t>
      </w:r>
      <w:r>
        <w:rPr>
          <w:rFonts w:cs="Arial"/>
          <w:b/>
          <w:szCs w:val="20"/>
        </w:rPr>
        <w:t xml:space="preserve"> </w:t>
      </w:r>
      <w:r w:rsidR="004870AB">
        <w:rPr>
          <w:rFonts w:cs="Arial"/>
          <w:bCs/>
          <w:szCs w:val="20"/>
        </w:rPr>
        <w:t>HHA</w:t>
      </w:r>
      <w:r w:rsidRPr="0046184C">
        <w:rPr>
          <w:rFonts w:cs="Arial"/>
          <w:bCs/>
          <w:szCs w:val="20"/>
        </w:rPr>
        <w:t xml:space="preserve"> is prohibited from renewing the lease at the end of the lease term when the family fails to comply with the </w:t>
      </w:r>
      <w:r w:rsidR="007F31F0" w:rsidRPr="007F31F0">
        <w:rPr>
          <w:rFonts w:cs="Arial"/>
          <w:b/>
          <w:color w:val="0070C0"/>
          <w:szCs w:val="20"/>
        </w:rPr>
        <w:fldChar w:fldCharType="begin"/>
      </w:r>
      <w:r w:rsidR="007F31F0" w:rsidRPr="007F31F0">
        <w:rPr>
          <w:rFonts w:cs="Arial"/>
          <w:b/>
          <w:color w:val="0070C0"/>
          <w:szCs w:val="20"/>
        </w:rPr>
        <w:instrText xml:space="preserve"> REF _Ref150424972 \h  \* MERGEFORMAT </w:instrText>
      </w:r>
      <w:r w:rsidR="007F31F0" w:rsidRPr="007F31F0">
        <w:rPr>
          <w:rFonts w:cs="Arial"/>
          <w:b/>
          <w:color w:val="0070C0"/>
          <w:szCs w:val="20"/>
        </w:rPr>
      </w:r>
      <w:r w:rsidR="007F31F0" w:rsidRPr="007F31F0">
        <w:rPr>
          <w:rFonts w:cs="Arial"/>
          <w:b/>
          <w:color w:val="0070C0"/>
          <w:szCs w:val="20"/>
        </w:rPr>
        <w:fldChar w:fldCharType="separate"/>
      </w:r>
      <w:r w:rsidR="007F31F0" w:rsidRPr="007F31F0">
        <w:rPr>
          <w:b/>
          <w:color w:val="0070C0"/>
        </w:rPr>
        <w:t>COMMUNITY SERVICE</w:t>
      </w:r>
      <w:r w:rsidR="007F31F0" w:rsidRPr="007F31F0">
        <w:rPr>
          <w:rFonts w:cs="Arial"/>
          <w:b/>
          <w:color w:val="0070C0"/>
          <w:szCs w:val="20"/>
        </w:rPr>
        <w:fldChar w:fldCharType="end"/>
      </w:r>
      <w:r w:rsidR="00BF7908">
        <w:rPr>
          <w:rFonts w:cs="Arial"/>
          <w:bCs/>
          <w:szCs w:val="20"/>
        </w:rPr>
        <w:t xml:space="preserve"> </w:t>
      </w:r>
      <w:r>
        <w:rPr>
          <w:rFonts w:cs="Arial"/>
          <w:bCs/>
          <w:szCs w:val="20"/>
        </w:rPr>
        <w:t>requirements</w:t>
      </w:r>
      <w:r w:rsidRPr="0046184C">
        <w:rPr>
          <w:rFonts w:cs="Arial"/>
          <w:bCs/>
          <w:szCs w:val="20"/>
        </w:rPr>
        <w:t>.</w:t>
      </w:r>
    </w:p>
    <w:p w14:paraId="0BAE3CCE" w14:textId="77777777" w:rsidR="00665E33" w:rsidRDefault="00665E33" w:rsidP="007F177E">
      <w:pPr>
        <w:pStyle w:val="ListParagraph"/>
        <w:numPr>
          <w:ilvl w:val="0"/>
          <w:numId w:val="171"/>
        </w:numPr>
        <w:autoSpaceDE w:val="0"/>
        <w:autoSpaceDN w:val="0"/>
        <w:adjustRightInd w:val="0"/>
        <w:ind w:left="720"/>
        <w:contextualSpacing w:val="0"/>
        <w:rPr>
          <w:rFonts w:cs="Arial"/>
          <w:szCs w:val="20"/>
        </w:rPr>
      </w:pPr>
      <w:r w:rsidRPr="009709BC">
        <w:rPr>
          <w:rFonts w:cs="Arial"/>
          <w:b/>
          <w:szCs w:val="20"/>
        </w:rPr>
        <w:t xml:space="preserve">Death of the Sole Family Member. </w:t>
      </w:r>
      <w:r w:rsidR="004870AB">
        <w:rPr>
          <w:rFonts w:cs="Arial"/>
          <w:szCs w:val="20"/>
        </w:rPr>
        <w:t>HHA</w:t>
      </w:r>
      <w:r w:rsidRPr="009709BC">
        <w:rPr>
          <w:rFonts w:cs="Arial"/>
          <w:szCs w:val="20"/>
        </w:rPr>
        <w:t xml:space="preserve"> will immediately terminate the lease following the death of a sole family member. This includes sole family member households that have a live-in aide, as live-in aides are not considered family members, and have no rights as remaining family members.</w:t>
      </w:r>
      <w:bookmarkStart w:id="3690" w:name="_Toc485980480"/>
      <w:bookmarkStart w:id="3691" w:name="_Toc508698459"/>
      <w:bookmarkStart w:id="3692" w:name="_Toc520796703"/>
    </w:p>
    <w:p w14:paraId="365F5625" w14:textId="0F52F78F" w:rsidR="00B43EB7" w:rsidRPr="00B43EB7" w:rsidRDefault="00773F64" w:rsidP="007F177E">
      <w:pPr>
        <w:pStyle w:val="ListParagraph"/>
        <w:numPr>
          <w:ilvl w:val="0"/>
          <w:numId w:val="171"/>
        </w:numPr>
        <w:autoSpaceDE w:val="0"/>
        <w:autoSpaceDN w:val="0"/>
        <w:adjustRightInd w:val="0"/>
        <w:ind w:left="720"/>
        <w:contextualSpacing w:val="0"/>
        <w:rPr>
          <w:rFonts w:cs="Arial"/>
          <w:szCs w:val="20"/>
        </w:rPr>
      </w:pPr>
      <w:r>
        <w:rPr>
          <w:rFonts w:cs="Arial"/>
          <w:b/>
          <w:szCs w:val="20"/>
        </w:rPr>
        <w:t>Over-</w:t>
      </w:r>
      <w:r w:rsidRPr="006160E0">
        <w:rPr>
          <w:rFonts w:cs="Arial"/>
          <w:b/>
          <w:bCs/>
          <w:szCs w:val="20"/>
        </w:rPr>
        <w:t xml:space="preserve">Income </w:t>
      </w:r>
      <w:r w:rsidR="006160E0" w:rsidRPr="006160E0">
        <w:rPr>
          <w:rFonts w:cs="Arial"/>
          <w:b/>
          <w:bCs/>
          <w:szCs w:val="20"/>
        </w:rPr>
        <w:t>Families.</w:t>
      </w:r>
      <w:r w:rsidR="006160E0">
        <w:rPr>
          <w:rFonts w:cs="Arial"/>
          <w:szCs w:val="20"/>
        </w:rPr>
        <w:t xml:space="preserve"> </w:t>
      </w:r>
      <w:r w:rsidR="00E00CBC">
        <w:rPr>
          <w:rFonts w:cs="Arial"/>
          <w:szCs w:val="20"/>
        </w:rPr>
        <w:t xml:space="preserve">If a family remains over-income at the </w:t>
      </w:r>
      <w:r w:rsidR="00E00CBC" w:rsidRPr="006E4F3B">
        <w:rPr>
          <w:rFonts w:cs="Arial"/>
        </w:rPr>
        <w:t>end of the 24-month grace period</w:t>
      </w:r>
      <w:r w:rsidR="00E00CBC">
        <w:rPr>
          <w:rFonts w:cs="Arial"/>
        </w:rPr>
        <w:t xml:space="preserve"> (or upon HUD approval, the 36-month grace period)</w:t>
      </w:r>
      <w:r w:rsidR="00D026DB">
        <w:rPr>
          <w:rFonts w:cs="Arial"/>
        </w:rPr>
        <w:t xml:space="preserve">, HHA will follow the procedures under </w:t>
      </w:r>
      <w:r w:rsidR="00F8233C" w:rsidRPr="00F8233C">
        <w:rPr>
          <w:rFonts w:cs="Arial"/>
          <w:b/>
          <w:bCs/>
          <w:color w:val="0070C0"/>
        </w:rPr>
        <w:fldChar w:fldCharType="begin"/>
      </w:r>
      <w:r w:rsidR="00F8233C" w:rsidRPr="00F8233C">
        <w:rPr>
          <w:rFonts w:cs="Arial"/>
          <w:b/>
          <w:bCs/>
          <w:color w:val="0070C0"/>
        </w:rPr>
        <w:instrText xml:space="preserve"> REF _Ref163721976 \h  \* MERGEFORMAT </w:instrText>
      </w:r>
      <w:r w:rsidR="00F8233C" w:rsidRPr="00F8233C">
        <w:rPr>
          <w:rFonts w:cs="Arial"/>
          <w:b/>
          <w:bCs/>
          <w:color w:val="0070C0"/>
        </w:rPr>
      </w:r>
      <w:r w:rsidR="00F8233C" w:rsidRPr="00F8233C">
        <w:rPr>
          <w:rFonts w:cs="Arial"/>
          <w:b/>
          <w:bCs/>
          <w:color w:val="0070C0"/>
        </w:rPr>
        <w:fldChar w:fldCharType="separate"/>
      </w:r>
      <w:r w:rsidR="00F8233C" w:rsidRPr="00F8233C">
        <w:rPr>
          <w:b/>
          <w:bCs/>
          <w:color w:val="0070C0"/>
        </w:rPr>
        <w:t>Leasing and Non-Public Housing Over-Income Families</w:t>
      </w:r>
      <w:r w:rsidR="00F8233C" w:rsidRPr="00F8233C">
        <w:rPr>
          <w:rFonts w:cs="Arial"/>
          <w:b/>
          <w:bCs/>
          <w:color w:val="0070C0"/>
        </w:rPr>
        <w:fldChar w:fldCharType="end"/>
      </w:r>
      <w:r w:rsidR="00F8233C">
        <w:rPr>
          <w:rFonts w:cs="Arial"/>
        </w:rPr>
        <w:t>.</w:t>
      </w:r>
      <w:r w:rsidR="00580040">
        <w:rPr>
          <w:rFonts w:cs="Arial"/>
        </w:rPr>
        <w:t xml:space="preserve"> Current over-income limits may be found in </w:t>
      </w:r>
      <w:r w:rsidR="00580040" w:rsidRPr="00580040">
        <w:rPr>
          <w:rFonts w:cs="Arial"/>
          <w:b/>
          <w:bCs/>
          <w:color w:val="0070C0"/>
        </w:rPr>
        <w:fldChar w:fldCharType="begin"/>
      </w:r>
      <w:r w:rsidR="00580040" w:rsidRPr="00580040">
        <w:rPr>
          <w:rFonts w:cs="Arial"/>
          <w:b/>
          <w:bCs/>
          <w:color w:val="0070C0"/>
        </w:rPr>
        <w:instrText xml:space="preserve"> REF _Ref148703076 \h  \* MERGEFORMAT </w:instrText>
      </w:r>
      <w:r w:rsidR="00580040" w:rsidRPr="00580040">
        <w:rPr>
          <w:rFonts w:cs="Arial"/>
          <w:b/>
          <w:bCs/>
          <w:color w:val="0070C0"/>
        </w:rPr>
      </w:r>
      <w:r w:rsidR="00580040" w:rsidRPr="00580040">
        <w:rPr>
          <w:rFonts w:cs="Arial"/>
          <w:b/>
          <w:bCs/>
          <w:color w:val="0070C0"/>
        </w:rPr>
        <w:fldChar w:fldCharType="separate"/>
      </w:r>
      <w:r w:rsidR="001D7B20" w:rsidRPr="001D7B20">
        <w:rPr>
          <w:b/>
          <w:bCs/>
          <w:color w:val="0070C0"/>
        </w:rPr>
        <w:t>APPENDIX F: OVER-INCOME LIMITS FOR 2025</w:t>
      </w:r>
      <w:r w:rsidR="00580040" w:rsidRPr="00580040">
        <w:rPr>
          <w:rFonts w:cs="Arial"/>
          <w:b/>
          <w:bCs/>
          <w:color w:val="0070C0"/>
        </w:rPr>
        <w:fldChar w:fldCharType="end"/>
      </w:r>
      <w:r w:rsidR="00580040">
        <w:rPr>
          <w:rFonts w:cs="Arial"/>
        </w:rPr>
        <w:t xml:space="preserve">. </w:t>
      </w:r>
    </w:p>
    <w:p w14:paraId="0278A2D6" w14:textId="77777777" w:rsidR="00D72EFE" w:rsidRPr="00D72EFE" w:rsidRDefault="000D2B04" w:rsidP="007F177E">
      <w:pPr>
        <w:pStyle w:val="ListParagraph"/>
        <w:numPr>
          <w:ilvl w:val="0"/>
          <w:numId w:val="171"/>
        </w:numPr>
        <w:autoSpaceDE w:val="0"/>
        <w:autoSpaceDN w:val="0"/>
        <w:adjustRightInd w:val="0"/>
        <w:ind w:left="720"/>
        <w:contextualSpacing w:val="0"/>
        <w:rPr>
          <w:rFonts w:cs="Arial"/>
          <w:szCs w:val="20"/>
        </w:rPr>
      </w:pPr>
      <w:r w:rsidRPr="000D2B04">
        <w:rPr>
          <w:b/>
          <w:bCs/>
        </w:rPr>
        <w:t>Serious</w:t>
      </w:r>
      <w:r w:rsidR="001B3A67">
        <w:rPr>
          <w:b/>
          <w:bCs/>
        </w:rPr>
        <w:t xml:space="preserve"> and/or </w:t>
      </w:r>
      <w:r w:rsidRPr="000D2B04">
        <w:rPr>
          <w:b/>
          <w:bCs/>
        </w:rPr>
        <w:t xml:space="preserve">Repeat Violations of the Lease. </w:t>
      </w:r>
      <w:r w:rsidR="001B3A67">
        <w:t>HHA will terminate the lease for s</w:t>
      </w:r>
      <w:r w:rsidR="00317F10" w:rsidRPr="00A2158C">
        <w:t xml:space="preserve">erious </w:t>
      </w:r>
      <w:r w:rsidR="001B3A67">
        <w:t>and/</w:t>
      </w:r>
      <w:r w:rsidR="00317F10" w:rsidRPr="00A2158C">
        <w:t>or repeat violations of the material terms of the lease such as</w:t>
      </w:r>
      <w:r w:rsidR="00045518">
        <w:t>, but not limited to,</w:t>
      </w:r>
      <w:r w:rsidR="00317F10" w:rsidRPr="00A2158C">
        <w:t xml:space="preserve"> the</w:t>
      </w:r>
      <w:r w:rsidR="00317F10" w:rsidRPr="00B43EB7">
        <w:rPr>
          <w:spacing w:val="-21"/>
        </w:rPr>
        <w:t xml:space="preserve"> </w:t>
      </w:r>
      <w:r w:rsidR="00317F10" w:rsidRPr="00A2158C">
        <w:t>following:</w:t>
      </w:r>
    </w:p>
    <w:p w14:paraId="690B939A" w14:textId="77777777" w:rsidR="00D72EFE" w:rsidRPr="00D72EFE" w:rsidRDefault="00B43EB7" w:rsidP="007F177E">
      <w:pPr>
        <w:pStyle w:val="ListParagraph"/>
        <w:numPr>
          <w:ilvl w:val="1"/>
          <w:numId w:val="292"/>
        </w:numPr>
        <w:autoSpaceDE w:val="0"/>
        <w:autoSpaceDN w:val="0"/>
        <w:adjustRightInd w:val="0"/>
        <w:ind w:left="1440"/>
        <w:contextualSpacing w:val="0"/>
        <w:rPr>
          <w:rFonts w:cs="Arial"/>
          <w:szCs w:val="20"/>
        </w:rPr>
      </w:pPr>
      <w:r w:rsidRPr="00D72EFE">
        <w:rPr>
          <w:rFonts w:cs="Arial"/>
          <w:color w:val="000000"/>
          <w:szCs w:val="20"/>
        </w:rPr>
        <w:t>Failure to make payments due under the lease, including nonpayment of rent.</w:t>
      </w:r>
    </w:p>
    <w:p w14:paraId="7C2A6D0F" w14:textId="77777777" w:rsidR="00D72EFE" w:rsidRPr="00D72EFE" w:rsidRDefault="00B43EB7" w:rsidP="007F177E">
      <w:pPr>
        <w:pStyle w:val="ListParagraph"/>
        <w:numPr>
          <w:ilvl w:val="1"/>
          <w:numId w:val="292"/>
        </w:numPr>
        <w:autoSpaceDE w:val="0"/>
        <w:autoSpaceDN w:val="0"/>
        <w:adjustRightInd w:val="0"/>
        <w:ind w:left="1440"/>
        <w:contextualSpacing w:val="0"/>
        <w:rPr>
          <w:rFonts w:cs="Arial"/>
          <w:szCs w:val="20"/>
        </w:rPr>
      </w:pPr>
      <w:r w:rsidRPr="00D72EFE">
        <w:rPr>
          <w:rFonts w:cs="Arial"/>
          <w:color w:val="000000"/>
          <w:szCs w:val="20"/>
        </w:rPr>
        <w:t>Repeated late payment of rent or other charges. Three late payments within a 12-month period shall constitute a repeated late payment.</w:t>
      </w:r>
    </w:p>
    <w:p w14:paraId="02A6E1CC" w14:textId="77777777" w:rsidR="0047474B" w:rsidRPr="0047474B" w:rsidRDefault="00B43EB7" w:rsidP="007F177E">
      <w:pPr>
        <w:pStyle w:val="ListParagraph"/>
        <w:numPr>
          <w:ilvl w:val="1"/>
          <w:numId w:val="292"/>
        </w:numPr>
        <w:autoSpaceDE w:val="0"/>
        <w:autoSpaceDN w:val="0"/>
        <w:adjustRightInd w:val="0"/>
        <w:ind w:left="1440"/>
        <w:contextualSpacing w:val="0"/>
        <w:rPr>
          <w:rFonts w:cs="Arial"/>
          <w:szCs w:val="20"/>
        </w:rPr>
      </w:pPr>
      <w:r w:rsidRPr="00D72EFE">
        <w:rPr>
          <w:rFonts w:cs="Arial"/>
          <w:color w:val="000000"/>
          <w:szCs w:val="20"/>
        </w:rPr>
        <w:t xml:space="preserve">Failure to fulfill the </w:t>
      </w:r>
      <w:r w:rsidR="0047474B">
        <w:rPr>
          <w:rFonts w:cs="Arial"/>
          <w:color w:val="000000"/>
          <w:szCs w:val="20"/>
        </w:rPr>
        <w:t>tenant/</w:t>
      </w:r>
      <w:r w:rsidRPr="00D72EFE">
        <w:rPr>
          <w:rFonts w:cs="Arial"/>
          <w:color w:val="000000"/>
          <w:szCs w:val="20"/>
        </w:rPr>
        <w:t>household obligations</w:t>
      </w:r>
      <w:r w:rsidR="00D72EFE">
        <w:rPr>
          <w:rFonts w:cs="Arial"/>
          <w:color w:val="000000"/>
          <w:szCs w:val="20"/>
        </w:rPr>
        <w:t xml:space="preserve"> under the lease.</w:t>
      </w:r>
    </w:p>
    <w:p w14:paraId="0DF24988" w14:textId="77777777" w:rsidR="00665E33" w:rsidRPr="009709BC" w:rsidRDefault="00665E33" w:rsidP="00677451">
      <w:pPr>
        <w:pStyle w:val="Heading3"/>
      </w:pPr>
      <w:bookmarkStart w:id="3693" w:name="_Toc106038028"/>
      <w:bookmarkStart w:id="3694" w:name="_Toc106201667"/>
      <w:bookmarkStart w:id="3695" w:name="_Toc106202186"/>
      <w:bookmarkStart w:id="3696" w:name="_Toc106202712"/>
      <w:bookmarkStart w:id="3697" w:name="_Toc113345169"/>
      <w:bookmarkStart w:id="3698" w:name="_Toc137461913"/>
      <w:bookmarkStart w:id="3699" w:name="_Toc137471504"/>
      <w:bookmarkStart w:id="3700" w:name="_Toc137472013"/>
      <w:bookmarkStart w:id="3701" w:name="_Toc200375862"/>
      <w:bookmarkEnd w:id="3690"/>
      <w:bookmarkEnd w:id="3691"/>
      <w:bookmarkEnd w:id="3692"/>
      <w:r w:rsidRPr="009709BC">
        <w:t>Mandatory Lease Provisions</w:t>
      </w:r>
      <w:bookmarkEnd w:id="3693"/>
      <w:bookmarkEnd w:id="3694"/>
      <w:bookmarkEnd w:id="3695"/>
      <w:bookmarkEnd w:id="3696"/>
      <w:bookmarkEnd w:id="3697"/>
      <w:bookmarkEnd w:id="3698"/>
      <w:bookmarkEnd w:id="3699"/>
      <w:bookmarkEnd w:id="3700"/>
      <w:bookmarkEnd w:id="3701"/>
    </w:p>
    <w:p w14:paraId="22FBA87F" w14:textId="77777777" w:rsidR="00665E33" w:rsidRPr="0041167A" w:rsidRDefault="000C6FF3" w:rsidP="00087CB1">
      <w:r>
        <w:t xml:space="preserve">HUD requires HHA </w:t>
      </w:r>
      <w:r w:rsidR="00562061">
        <w:t xml:space="preserve">to include </w:t>
      </w:r>
      <w:r w:rsidR="001A7F8F">
        <w:t>provisions</w:t>
      </w:r>
      <w:r w:rsidR="00562061">
        <w:t xml:space="preserve"> in the lease agreement</w:t>
      </w:r>
      <w:r w:rsidR="00EF2B67">
        <w:t xml:space="preserve"> concerning criminal activity and alcohol abuse, per 24 CFR</w:t>
      </w:r>
      <w:r w:rsidR="00074ABE">
        <w:t xml:space="preserve"> 966.4(l)(5)</w:t>
      </w:r>
      <w:r w:rsidR="00926F41">
        <w:t xml:space="preserve">. As such, </w:t>
      </w:r>
      <w:r w:rsidR="004870AB">
        <w:t>HHA</w:t>
      </w:r>
      <w:r w:rsidR="00665E33" w:rsidRPr="0041167A">
        <w:t xml:space="preserve"> has the discretion to terminate the lease when and if </w:t>
      </w:r>
      <w:r w:rsidR="004870AB">
        <w:t>HHA</w:t>
      </w:r>
      <w:r w:rsidR="00665E33" w:rsidRPr="0041167A">
        <w:t xml:space="preserve"> determines that the resident, a member of the resident</w:t>
      </w:r>
      <w:r w:rsidR="00665E33">
        <w:t>’</w:t>
      </w:r>
      <w:r w:rsidR="00665E33" w:rsidRPr="0041167A">
        <w:t>s household or guest, or any other person under the resident</w:t>
      </w:r>
      <w:r w:rsidR="00665E33">
        <w:t>’</w:t>
      </w:r>
      <w:r w:rsidR="00665E33" w:rsidRPr="0041167A">
        <w:t>s control participates in any of the following activities:</w:t>
      </w:r>
    </w:p>
    <w:p w14:paraId="2B7BCB8E" w14:textId="77777777" w:rsidR="00665E33" w:rsidRPr="00715CF3" w:rsidRDefault="00665E33" w:rsidP="007F177E">
      <w:pPr>
        <w:pStyle w:val="ListParagraph"/>
        <w:numPr>
          <w:ilvl w:val="0"/>
          <w:numId w:val="293"/>
        </w:numPr>
        <w:autoSpaceDE w:val="0"/>
        <w:autoSpaceDN w:val="0"/>
        <w:adjustRightInd w:val="0"/>
        <w:contextualSpacing w:val="0"/>
        <w:rPr>
          <w:bCs/>
          <w:i/>
        </w:rPr>
      </w:pPr>
      <w:r>
        <w:rPr>
          <w:rFonts w:cs="Arial"/>
          <w:bCs/>
          <w:color w:val="000000"/>
          <w:szCs w:val="20"/>
        </w:rPr>
        <w:t>Drug-related criminal activity engaged in</w:t>
      </w:r>
      <w:r w:rsidRPr="00715CF3">
        <w:rPr>
          <w:rFonts w:cs="Arial"/>
          <w:bCs/>
          <w:color w:val="000000"/>
          <w:szCs w:val="20"/>
        </w:rPr>
        <w:t xml:space="preserve"> </w:t>
      </w:r>
      <w:r>
        <w:rPr>
          <w:rFonts w:cs="Arial"/>
          <w:bCs/>
          <w:color w:val="000000"/>
          <w:szCs w:val="20"/>
        </w:rPr>
        <w:t>o</w:t>
      </w:r>
      <w:r w:rsidRPr="00715CF3">
        <w:rPr>
          <w:rFonts w:cs="Arial"/>
          <w:bCs/>
          <w:color w:val="000000"/>
          <w:szCs w:val="20"/>
        </w:rPr>
        <w:t xml:space="preserve">n or </w:t>
      </w:r>
      <w:r>
        <w:rPr>
          <w:rFonts w:cs="Arial"/>
          <w:bCs/>
          <w:color w:val="000000"/>
          <w:szCs w:val="20"/>
        </w:rPr>
        <w:t>o</w:t>
      </w:r>
      <w:r w:rsidRPr="00715CF3">
        <w:rPr>
          <w:rFonts w:cs="Arial"/>
          <w:bCs/>
          <w:color w:val="000000"/>
          <w:szCs w:val="20"/>
        </w:rPr>
        <w:t xml:space="preserve">ff the </w:t>
      </w:r>
      <w:r>
        <w:rPr>
          <w:rFonts w:cs="Arial"/>
          <w:bCs/>
          <w:color w:val="000000"/>
          <w:szCs w:val="20"/>
        </w:rPr>
        <w:t>p</w:t>
      </w:r>
      <w:r w:rsidRPr="00715CF3">
        <w:rPr>
          <w:rFonts w:cs="Arial"/>
          <w:bCs/>
          <w:color w:val="000000"/>
          <w:szCs w:val="20"/>
        </w:rPr>
        <w:t>remise</w:t>
      </w:r>
      <w:r>
        <w:rPr>
          <w:rFonts w:cs="Arial"/>
          <w:bCs/>
          <w:color w:val="000000"/>
          <w:szCs w:val="20"/>
        </w:rPr>
        <w:t>s;</w:t>
      </w:r>
    </w:p>
    <w:p w14:paraId="473CE200" w14:textId="77777777" w:rsidR="00665E33" w:rsidRPr="0041167A" w:rsidRDefault="00665E33" w:rsidP="007F177E">
      <w:pPr>
        <w:pStyle w:val="ListParagraph"/>
        <w:numPr>
          <w:ilvl w:val="0"/>
          <w:numId w:val="293"/>
        </w:numPr>
        <w:contextualSpacing w:val="0"/>
      </w:pPr>
      <w:r w:rsidRPr="0041167A">
        <w:t>Illegal</w:t>
      </w:r>
      <w:r>
        <w:t xml:space="preserve"> use of</w:t>
      </w:r>
      <w:r w:rsidRPr="0041167A">
        <w:t xml:space="preserve"> a drug or a pattern of illegal use of a drug</w:t>
      </w:r>
      <w:r>
        <w:t xml:space="preserve"> (</w:t>
      </w:r>
      <w:r>
        <w:rPr>
          <w:i/>
          <w:iCs/>
        </w:rPr>
        <w:t xml:space="preserve">pattern </w:t>
      </w:r>
      <w:r>
        <w:t xml:space="preserve">means more than one incident during the previous six months) </w:t>
      </w:r>
      <w:r w:rsidRPr="0041167A">
        <w:t>that interferes with the health, safety, or right to peaceful enjoyment of the premises by other residents;</w:t>
      </w:r>
    </w:p>
    <w:p w14:paraId="05B6E48F" w14:textId="77777777" w:rsidR="00665E33" w:rsidRPr="0041167A" w:rsidRDefault="00665E33" w:rsidP="007F177E">
      <w:pPr>
        <w:pStyle w:val="ListParagraph"/>
        <w:numPr>
          <w:ilvl w:val="0"/>
          <w:numId w:val="293"/>
        </w:numPr>
        <w:contextualSpacing w:val="0"/>
      </w:pPr>
      <w:r w:rsidRPr="0041167A">
        <w:t>Any criminal activity that threatens the health, safety, or right to peaceful enjoyment of the premises by other residents or by persons residing in the immediate vicinity of the premises;</w:t>
      </w:r>
    </w:p>
    <w:p w14:paraId="546AEB29" w14:textId="77777777" w:rsidR="00665E33" w:rsidRDefault="00665E33" w:rsidP="007F177E">
      <w:pPr>
        <w:pStyle w:val="ListParagraph"/>
        <w:numPr>
          <w:ilvl w:val="0"/>
          <w:numId w:val="293"/>
        </w:numPr>
        <w:contextualSpacing w:val="0"/>
      </w:pPr>
      <w:r w:rsidRPr="0041167A">
        <w:t>Abuse or pattern of abuse of alcohol</w:t>
      </w:r>
      <w:r>
        <w:t xml:space="preserve"> (</w:t>
      </w:r>
      <w:r>
        <w:rPr>
          <w:i/>
          <w:iCs/>
        </w:rPr>
        <w:t>pattern</w:t>
      </w:r>
      <w:r>
        <w:t xml:space="preserve"> means more than one incident during the previous six months)</w:t>
      </w:r>
      <w:r w:rsidRPr="0041167A">
        <w:t xml:space="preserve"> that threatens the health, safety, or right to peaceful enjoyment of the premises by other residents;</w:t>
      </w:r>
    </w:p>
    <w:p w14:paraId="24CC59FD" w14:textId="77777777" w:rsidR="00665E33" w:rsidRPr="0041167A" w:rsidRDefault="00665E33" w:rsidP="007F177E">
      <w:pPr>
        <w:pStyle w:val="ListParagraph"/>
        <w:numPr>
          <w:ilvl w:val="0"/>
          <w:numId w:val="293"/>
        </w:numPr>
        <w:contextualSpacing w:val="0"/>
      </w:pPr>
      <w:r>
        <w:t>Furnishing false or misleading information concerning illegal drug use or alcohol abuse or rehabilitation.</w:t>
      </w:r>
    </w:p>
    <w:p w14:paraId="5906D737" w14:textId="56DC4E6F" w:rsidR="006A68FD" w:rsidRPr="006A68FD" w:rsidRDefault="006A68FD" w:rsidP="00087CB1">
      <w:pPr>
        <w:autoSpaceDE w:val="0"/>
        <w:autoSpaceDN w:val="0"/>
        <w:adjustRightInd w:val="0"/>
        <w:rPr>
          <w:bCs/>
        </w:rPr>
      </w:pPr>
      <w:r>
        <w:rPr>
          <w:bCs/>
        </w:rPr>
        <w:t>Each case will be reviewed on a case-by-case basis before a decision is made regarding termination.</w:t>
      </w:r>
    </w:p>
    <w:p w14:paraId="24724623" w14:textId="77777777" w:rsidR="00665E33" w:rsidRDefault="00665E33" w:rsidP="00677451">
      <w:pPr>
        <w:pStyle w:val="Heading3"/>
      </w:pPr>
      <w:bookmarkStart w:id="3702" w:name="_Ref103675061"/>
      <w:bookmarkStart w:id="3703" w:name="_Toc106038030"/>
      <w:bookmarkStart w:id="3704" w:name="_Toc106201669"/>
      <w:bookmarkStart w:id="3705" w:name="_Toc106202188"/>
      <w:bookmarkStart w:id="3706" w:name="_Toc106202714"/>
      <w:bookmarkStart w:id="3707" w:name="_Toc113345171"/>
      <w:bookmarkStart w:id="3708" w:name="_Toc137461915"/>
      <w:bookmarkStart w:id="3709" w:name="_Toc137471506"/>
      <w:bookmarkStart w:id="3710" w:name="_Toc137472015"/>
      <w:bookmarkStart w:id="3711" w:name="_Toc200375863"/>
      <w:r>
        <w:t>Other Authorized Reasons for Termination</w:t>
      </w:r>
      <w:bookmarkEnd w:id="3702"/>
      <w:bookmarkEnd w:id="3703"/>
      <w:bookmarkEnd w:id="3704"/>
      <w:bookmarkEnd w:id="3705"/>
      <w:bookmarkEnd w:id="3706"/>
      <w:bookmarkEnd w:id="3707"/>
      <w:bookmarkEnd w:id="3708"/>
      <w:bookmarkEnd w:id="3709"/>
      <w:bookmarkEnd w:id="3710"/>
      <w:bookmarkEnd w:id="3711"/>
    </w:p>
    <w:p w14:paraId="4EF968BB" w14:textId="77777777" w:rsidR="00665E33" w:rsidRDefault="00665E33" w:rsidP="00665E33">
      <w:r>
        <w:t xml:space="preserve">HUD authorizes </w:t>
      </w:r>
      <w:r w:rsidR="004870AB">
        <w:t>HHA</w:t>
      </w:r>
      <w:r>
        <w:t xml:space="preserve"> to terminate the lease for reasons other than those described in the previous sections. These reasons are referred to as </w:t>
      </w:r>
      <w:r w:rsidRPr="003B2441">
        <w:rPr>
          <w:i/>
          <w:iCs/>
        </w:rPr>
        <w:t>other good cause</w:t>
      </w:r>
      <w:r>
        <w:rPr>
          <w:i/>
          <w:iCs/>
        </w:rPr>
        <w:t>.</w:t>
      </w:r>
      <w:r>
        <w:t xml:space="preserve"> </w:t>
      </w:r>
      <w:r w:rsidR="004870AB">
        <w:t>HHA</w:t>
      </w:r>
      <w:r>
        <w:t xml:space="preserve"> will terminate the lease for </w:t>
      </w:r>
      <w:r w:rsidR="00227F25">
        <w:t>other good cause, including, but not limited to</w:t>
      </w:r>
      <w:r>
        <w:t>:</w:t>
      </w:r>
    </w:p>
    <w:p w14:paraId="5133BABB" w14:textId="77777777" w:rsidR="00665E33" w:rsidRPr="003B2441" w:rsidRDefault="00665E33" w:rsidP="007F177E">
      <w:pPr>
        <w:pStyle w:val="ListParagraph"/>
        <w:numPr>
          <w:ilvl w:val="0"/>
          <w:numId w:val="208"/>
        </w:numPr>
        <w:autoSpaceDE w:val="0"/>
        <w:autoSpaceDN w:val="0"/>
        <w:adjustRightInd w:val="0"/>
        <w:contextualSpacing w:val="0"/>
        <w:rPr>
          <w:rFonts w:cs="Arial"/>
          <w:color w:val="000000"/>
          <w:szCs w:val="20"/>
        </w:rPr>
      </w:pPr>
      <w:r w:rsidRPr="003B2441">
        <w:rPr>
          <w:rFonts w:cs="Arial"/>
          <w:color w:val="000000"/>
          <w:szCs w:val="20"/>
        </w:rPr>
        <w:t>If a tenant is fleeing to avoid prosecution, or custody or confinement after conviction, for a crime, or attempt to commit a crime, that is a felony under the laws of the place from which the individual flees, or that, in the case of the State of New Jersey, is a high misdemeanor; or violating a condition of probation or parole imposed under federal or state law.</w:t>
      </w:r>
    </w:p>
    <w:p w14:paraId="488F67E2" w14:textId="77777777" w:rsidR="00665E33" w:rsidRPr="003B2441" w:rsidRDefault="00665E33" w:rsidP="007F177E">
      <w:pPr>
        <w:pStyle w:val="ListParagraph"/>
        <w:numPr>
          <w:ilvl w:val="0"/>
          <w:numId w:val="208"/>
        </w:numPr>
        <w:autoSpaceDE w:val="0"/>
        <w:autoSpaceDN w:val="0"/>
        <w:adjustRightInd w:val="0"/>
        <w:contextualSpacing w:val="0"/>
        <w:rPr>
          <w:rFonts w:cs="Arial"/>
          <w:color w:val="000000"/>
          <w:szCs w:val="20"/>
        </w:rPr>
      </w:pPr>
      <w:r w:rsidRPr="003B2441">
        <w:rPr>
          <w:rFonts w:cs="Arial"/>
          <w:color w:val="000000"/>
          <w:szCs w:val="20"/>
        </w:rPr>
        <w:t>If any member of the household has, during their current public housing tenancy, become subject to a registration requirement under a state sex offender registration program.</w:t>
      </w:r>
    </w:p>
    <w:p w14:paraId="40911BAC" w14:textId="77777777" w:rsidR="00665E33" w:rsidRPr="003B2441" w:rsidRDefault="00665E33" w:rsidP="007F177E">
      <w:pPr>
        <w:pStyle w:val="ListParagraph"/>
        <w:numPr>
          <w:ilvl w:val="0"/>
          <w:numId w:val="208"/>
        </w:numPr>
        <w:autoSpaceDE w:val="0"/>
        <w:autoSpaceDN w:val="0"/>
        <w:adjustRightInd w:val="0"/>
        <w:contextualSpacing w:val="0"/>
        <w:rPr>
          <w:rFonts w:cs="Arial"/>
          <w:color w:val="000000"/>
          <w:szCs w:val="20"/>
        </w:rPr>
      </w:pPr>
      <w:r w:rsidRPr="003B2441">
        <w:rPr>
          <w:rFonts w:cs="Arial"/>
          <w:color w:val="000000"/>
          <w:szCs w:val="20"/>
        </w:rPr>
        <w:t>Discovery after admission of facts that made the tenant ineligible</w:t>
      </w:r>
      <w:r>
        <w:rPr>
          <w:rFonts w:cs="Arial"/>
          <w:color w:val="000000"/>
          <w:szCs w:val="20"/>
        </w:rPr>
        <w:t>.</w:t>
      </w:r>
    </w:p>
    <w:p w14:paraId="19DF75C5" w14:textId="511850FE" w:rsidR="00665E33" w:rsidRPr="003B2441" w:rsidRDefault="00665E33" w:rsidP="007F177E">
      <w:pPr>
        <w:pStyle w:val="ListParagraph"/>
        <w:numPr>
          <w:ilvl w:val="0"/>
          <w:numId w:val="208"/>
        </w:numPr>
        <w:autoSpaceDE w:val="0"/>
        <w:autoSpaceDN w:val="0"/>
        <w:adjustRightInd w:val="0"/>
        <w:contextualSpacing w:val="0"/>
        <w:rPr>
          <w:rFonts w:cs="Arial"/>
          <w:color w:val="000000"/>
          <w:szCs w:val="20"/>
        </w:rPr>
      </w:pPr>
      <w:r w:rsidRPr="003B2441">
        <w:rPr>
          <w:rFonts w:cs="Arial"/>
          <w:color w:val="000000"/>
          <w:szCs w:val="20"/>
        </w:rPr>
        <w:t>Discovery of material false statements or fraud by the tenant in connection with</w:t>
      </w:r>
      <w:r w:rsidR="0009011E">
        <w:rPr>
          <w:rFonts w:cs="Arial"/>
          <w:color w:val="000000"/>
          <w:szCs w:val="20"/>
        </w:rPr>
        <w:t xml:space="preserve"> the public housing program.</w:t>
      </w:r>
      <w:r w:rsidRPr="003B2441">
        <w:rPr>
          <w:rFonts w:cs="Arial"/>
          <w:color w:val="000000"/>
          <w:szCs w:val="20"/>
        </w:rPr>
        <w:t xml:space="preserve"> </w:t>
      </w:r>
    </w:p>
    <w:p w14:paraId="2CB5C9B4" w14:textId="440912AA" w:rsidR="00665E33" w:rsidRPr="003B2441" w:rsidRDefault="00665E33" w:rsidP="007F177E">
      <w:pPr>
        <w:pStyle w:val="ListParagraph"/>
        <w:numPr>
          <w:ilvl w:val="0"/>
          <w:numId w:val="208"/>
        </w:numPr>
        <w:autoSpaceDE w:val="0"/>
        <w:autoSpaceDN w:val="0"/>
        <w:adjustRightInd w:val="0"/>
        <w:contextualSpacing w:val="0"/>
        <w:rPr>
          <w:rFonts w:cs="Arial"/>
          <w:color w:val="000000"/>
          <w:szCs w:val="20"/>
        </w:rPr>
      </w:pPr>
      <w:r w:rsidRPr="003B2441">
        <w:rPr>
          <w:rFonts w:cs="Arial"/>
          <w:color w:val="000000"/>
          <w:szCs w:val="20"/>
        </w:rPr>
        <w:t xml:space="preserve">Failure to furnish information and certifications regarding family composition and income as may be necessary for </w:t>
      </w:r>
      <w:r w:rsidR="004870AB">
        <w:rPr>
          <w:rFonts w:cs="Arial"/>
          <w:color w:val="000000"/>
          <w:szCs w:val="20"/>
        </w:rPr>
        <w:t>HHA</w:t>
      </w:r>
      <w:r w:rsidRPr="003B2441">
        <w:rPr>
          <w:rFonts w:cs="Arial"/>
          <w:color w:val="000000"/>
          <w:szCs w:val="20"/>
        </w:rPr>
        <w:t xml:space="preserve"> to make determinations with respect to rent, eligibility, and the appropriateness of dwelling size</w:t>
      </w:r>
      <w:r>
        <w:rPr>
          <w:rFonts w:cs="Arial"/>
          <w:color w:val="000000"/>
          <w:szCs w:val="20"/>
        </w:rPr>
        <w:t>.</w:t>
      </w:r>
    </w:p>
    <w:p w14:paraId="5507CEA3" w14:textId="77777777" w:rsidR="00665E33" w:rsidRPr="003B2441" w:rsidRDefault="00665E33" w:rsidP="007F177E">
      <w:pPr>
        <w:pStyle w:val="ListParagraph"/>
        <w:numPr>
          <w:ilvl w:val="0"/>
          <w:numId w:val="208"/>
        </w:numPr>
        <w:autoSpaceDE w:val="0"/>
        <w:autoSpaceDN w:val="0"/>
        <w:adjustRightInd w:val="0"/>
        <w:contextualSpacing w:val="0"/>
        <w:rPr>
          <w:rFonts w:cs="Arial"/>
          <w:color w:val="000000"/>
          <w:szCs w:val="20"/>
        </w:rPr>
      </w:pPr>
      <w:r w:rsidRPr="003B2441">
        <w:rPr>
          <w:rFonts w:cs="Arial"/>
          <w:color w:val="000000"/>
          <w:szCs w:val="20"/>
        </w:rPr>
        <w:t xml:space="preserve">Failure to transfer to an appropriate size dwelling unit based on family composition, upon appropriate notice by </w:t>
      </w:r>
      <w:r w:rsidR="004870AB">
        <w:rPr>
          <w:rFonts w:cs="Arial"/>
          <w:color w:val="000000"/>
          <w:szCs w:val="20"/>
        </w:rPr>
        <w:t>HHA</w:t>
      </w:r>
      <w:r w:rsidRPr="003B2441">
        <w:rPr>
          <w:rFonts w:cs="Arial"/>
          <w:color w:val="000000"/>
          <w:szCs w:val="20"/>
        </w:rPr>
        <w:t xml:space="preserve"> that such a dwelling unit is available</w:t>
      </w:r>
      <w:r>
        <w:rPr>
          <w:rFonts w:cs="Arial"/>
          <w:color w:val="000000"/>
          <w:szCs w:val="20"/>
        </w:rPr>
        <w:t>.</w:t>
      </w:r>
    </w:p>
    <w:p w14:paraId="278F31A9" w14:textId="77777777" w:rsidR="00665E33" w:rsidRPr="003B2441" w:rsidRDefault="00665E33" w:rsidP="007F177E">
      <w:pPr>
        <w:pStyle w:val="ListParagraph"/>
        <w:numPr>
          <w:ilvl w:val="0"/>
          <w:numId w:val="208"/>
        </w:numPr>
        <w:autoSpaceDE w:val="0"/>
        <w:autoSpaceDN w:val="0"/>
        <w:adjustRightInd w:val="0"/>
        <w:contextualSpacing w:val="0"/>
        <w:rPr>
          <w:rFonts w:cs="Arial"/>
          <w:color w:val="000000"/>
          <w:szCs w:val="20"/>
        </w:rPr>
      </w:pPr>
      <w:r w:rsidRPr="003B2441">
        <w:rPr>
          <w:rFonts w:cs="Arial"/>
          <w:color w:val="000000"/>
          <w:szCs w:val="20"/>
        </w:rPr>
        <w:t xml:space="preserve">Failure to permit access to the unit by </w:t>
      </w:r>
      <w:r w:rsidR="004870AB">
        <w:rPr>
          <w:rFonts w:cs="Arial"/>
          <w:color w:val="000000"/>
          <w:szCs w:val="20"/>
        </w:rPr>
        <w:t>HHA</w:t>
      </w:r>
      <w:r w:rsidRPr="003B2441">
        <w:rPr>
          <w:rFonts w:cs="Arial"/>
          <w:color w:val="000000"/>
          <w:szCs w:val="20"/>
        </w:rPr>
        <w:t xml:space="preserve"> after proper advance notification for the purpose of performing routine inspections and maintenance, for making improvements or repairs, or to show the dwelling unit for re-leasing, or without advance notice if there is reasonable cause to believe that an emergency exists</w:t>
      </w:r>
      <w:r>
        <w:rPr>
          <w:rFonts w:cs="Arial"/>
          <w:color w:val="000000"/>
          <w:szCs w:val="20"/>
        </w:rPr>
        <w:t>.</w:t>
      </w:r>
    </w:p>
    <w:p w14:paraId="3B70F032" w14:textId="77777777" w:rsidR="00665E33" w:rsidRPr="003B2441" w:rsidRDefault="00665E33" w:rsidP="007F177E">
      <w:pPr>
        <w:pStyle w:val="ListParagraph"/>
        <w:numPr>
          <w:ilvl w:val="0"/>
          <w:numId w:val="208"/>
        </w:numPr>
        <w:autoSpaceDE w:val="0"/>
        <w:autoSpaceDN w:val="0"/>
        <w:adjustRightInd w:val="0"/>
        <w:contextualSpacing w:val="0"/>
        <w:rPr>
          <w:rFonts w:cs="Arial"/>
          <w:color w:val="000000"/>
          <w:szCs w:val="20"/>
        </w:rPr>
      </w:pPr>
      <w:r w:rsidRPr="003B2441">
        <w:rPr>
          <w:rFonts w:cs="Arial"/>
          <w:color w:val="000000"/>
          <w:szCs w:val="20"/>
        </w:rPr>
        <w:t xml:space="preserve">Failure to promptly inform </w:t>
      </w:r>
      <w:r w:rsidR="004870AB">
        <w:rPr>
          <w:rFonts w:cs="Arial"/>
          <w:color w:val="000000"/>
          <w:szCs w:val="20"/>
        </w:rPr>
        <w:t>HHA</w:t>
      </w:r>
      <w:r w:rsidRPr="003B2441">
        <w:rPr>
          <w:rFonts w:cs="Arial"/>
          <w:color w:val="000000"/>
          <w:szCs w:val="20"/>
        </w:rPr>
        <w:t xml:space="preserve"> of the birth, adoption or court-awarded custody of a child. In such a case, promptly means within </w:t>
      </w:r>
      <w:r w:rsidR="0042437A">
        <w:rPr>
          <w:rFonts w:cs="Arial"/>
          <w:color w:val="000000"/>
          <w:szCs w:val="20"/>
        </w:rPr>
        <w:t>15 calendar</w:t>
      </w:r>
      <w:r w:rsidRPr="003B2441">
        <w:rPr>
          <w:rFonts w:cs="Arial"/>
          <w:color w:val="000000"/>
          <w:szCs w:val="20"/>
        </w:rPr>
        <w:t xml:space="preserve"> days of the event.</w:t>
      </w:r>
    </w:p>
    <w:p w14:paraId="76BB72CC" w14:textId="77777777" w:rsidR="00665E33" w:rsidRPr="003B2441" w:rsidRDefault="00665E33" w:rsidP="007F177E">
      <w:pPr>
        <w:pStyle w:val="ListParagraph"/>
        <w:numPr>
          <w:ilvl w:val="0"/>
          <w:numId w:val="208"/>
        </w:numPr>
        <w:autoSpaceDE w:val="0"/>
        <w:autoSpaceDN w:val="0"/>
        <w:adjustRightInd w:val="0"/>
        <w:contextualSpacing w:val="0"/>
        <w:rPr>
          <w:rFonts w:cs="Arial"/>
          <w:color w:val="000000"/>
          <w:szCs w:val="20"/>
        </w:rPr>
      </w:pPr>
      <w:r w:rsidRPr="003B2441">
        <w:rPr>
          <w:rFonts w:cs="Arial"/>
          <w:color w:val="000000"/>
          <w:szCs w:val="20"/>
        </w:rPr>
        <w:t xml:space="preserve">Failure to abide by the provisions of </w:t>
      </w:r>
      <w:r w:rsidR="004870AB">
        <w:rPr>
          <w:rFonts w:cs="Arial"/>
          <w:color w:val="000000"/>
          <w:szCs w:val="20"/>
        </w:rPr>
        <w:t>HHA</w:t>
      </w:r>
      <w:r>
        <w:rPr>
          <w:rFonts w:cs="Arial"/>
          <w:color w:val="000000"/>
          <w:szCs w:val="20"/>
        </w:rPr>
        <w:t xml:space="preserve"> pet policy (see</w:t>
      </w:r>
      <w:r w:rsidRPr="003B2441">
        <w:rPr>
          <w:rFonts w:cs="Arial"/>
          <w:color w:val="000000"/>
          <w:szCs w:val="20"/>
        </w:rPr>
        <w:t xml:space="preserve"> </w:t>
      </w:r>
      <w:r w:rsidR="00387C8F" w:rsidRPr="00387C8F">
        <w:rPr>
          <w:rFonts w:cs="Arial"/>
          <w:b/>
          <w:bCs/>
          <w:color w:val="0070C0"/>
          <w:szCs w:val="20"/>
        </w:rPr>
        <w:fldChar w:fldCharType="begin"/>
      </w:r>
      <w:r w:rsidR="00387C8F" w:rsidRPr="00387C8F">
        <w:rPr>
          <w:rFonts w:cs="Arial"/>
          <w:b/>
          <w:bCs/>
          <w:color w:val="0070C0"/>
          <w:szCs w:val="20"/>
        </w:rPr>
        <w:instrText xml:space="preserve"> REF _Ref155697564 \h  \* MERGEFORMAT </w:instrText>
      </w:r>
      <w:r w:rsidR="00387C8F" w:rsidRPr="00387C8F">
        <w:rPr>
          <w:rFonts w:cs="Arial"/>
          <w:b/>
          <w:bCs/>
          <w:color w:val="0070C0"/>
          <w:szCs w:val="20"/>
        </w:rPr>
      </w:r>
      <w:r w:rsidR="00387C8F" w:rsidRPr="00387C8F">
        <w:rPr>
          <w:rFonts w:cs="Arial"/>
          <w:b/>
          <w:bCs/>
          <w:color w:val="0070C0"/>
          <w:szCs w:val="20"/>
        </w:rPr>
        <w:fldChar w:fldCharType="separate"/>
      </w:r>
      <w:r w:rsidR="00387C8F" w:rsidRPr="00387C8F">
        <w:rPr>
          <w:b/>
          <w:bCs/>
          <w:color w:val="0070C0"/>
        </w:rPr>
        <w:t>Pets</w:t>
      </w:r>
      <w:r w:rsidR="00387C8F" w:rsidRPr="00387C8F">
        <w:rPr>
          <w:rFonts w:cs="Arial"/>
          <w:b/>
          <w:bCs/>
          <w:color w:val="0070C0"/>
          <w:szCs w:val="20"/>
        </w:rPr>
        <w:fldChar w:fldCharType="end"/>
      </w:r>
      <w:r>
        <w:rPr>
          <w:rFonts w:cs="Arial"/>
          <w:color w:val="000000"/>
          <w:szCs w:val="20"/>
        </w:rPr>
        <w:t>).</w:t>
      </w:r>
    </w:p>
    <w:p w14:paraId="102FE4A3" w14:textId="77777777" w:rsidR="00665E33" w:rsidRPr="003B2441" w:rsidRDefault="00665E33" w:rsidP="007F177E">
      <w:pPr>
        <w:pStyle w:val="ListParagraph"/>
        <w:numPr>
          <w:ilvl w:val="0"/>
          <w:numId w:val="208"/>
        </w:numPr>
        <w:autoSpaceDE w:val="0"/>
        <w:autoSpaceDN w:val="0"/>
        <w:adjustRightInd w:val="0"/>
        <w:contextualSpacing w:val="0"/>
        <w:rPr>
          <w:rFonts w:cs="Arial"/>
          <w:color w:val="000000"/>
          <w:szCs w:val="20"/>
        </w:rPr>
      </w:pPr>
      <w:r w:rsidRPr="003B2441">
        <w:rPr>
          <w:rFonts w:cs="Arial"/>
          <w:color w:val="000000"/>
          <w:szCs w:val="20"/>
        </w:rPr>
        <w:t xml:space="preserve">If the family has breached the terms of a repayment agreement entered into with </w:t>
      </w:r>
      <w:r w:rsidR="004870AB">
        <w:rPr>
          <w:rFonts w:cs="Arial"/>
          <w:color w:val="000000"/>
          <w:szCs w:val="20"/>
        </w:rPr>
        <w:t>HHA</w:t>
      </w:r>
      <w:r>
        <w:rPr>
          <w:rFonts w:cs="Arial"/>
          <w:color w:val="000000"/>
          <w:szCs w:val="20"/>
        </w:rPr>
        <w:t>.</w:t>
      </w:r>
    </w:p>
    <w:p w14:paraId="186303AE" w14:textId="77777777" w:rsidR="00665E33" w:rsidRDefault="00665E33" w:rsidP="007F177E">
      <w:pPr>
        <w:pStyle w:val="ListParagraph"/>
        <w:numPr>
          <w:ilvl w:val="0"/>
          <w:numId w:val="208"/>
        </w:numPr>
        <w:autoSpaceDE w:val="0"/>
        <w:autoSpaceDN w:val="0"/>
        <w:adjustRightInd w:val="0"/>
        <w:contextualSpacing w:val="0"/>
        <w:rPr>
          <w:rFonts w:cs="Arial"/>
          <w:color w:val="000000"/>
          <w:szCs w:val="20"/>
        </w:rPr>
      </w:pPr>
      <w:r w:rsidRPr="003B2441">
        <w:rPr>
          <w:rFonts w:cs="Arial"/>
          <w:color w:val="000000"/>
          <w:szCs w:val="20"/>
        </w:rPr>
        <w:t>If a family member has violated federal, state, or local law that imposes obligations in connection with the occupancy or use of the premises.</w:t>
      </w:r>
    </w:p>
    <w:p w14:paraId="2990E21C" w14:textId="27B7EBDD" w:rsidR="00665E33" w:rsidRDefault="00665E33" w:rsidP="007F177E">
      <w:pPr>
        <w:pStyle w:val="ListParagraph"/>
        <w:numPr>
          <w:ilvl w:val="0"/>
          <w:numId w:val="208"/>
        </w:numPr>
        <w:autoSpaceDE w:val="0"/>
        <w:autoSpaceDN w:val="0"/>
        <w:adjustRightInd w:val="0"/>
        <w:contextualSpacing w:val="0"/>
        <w:rPr>
          <w:rFonts w:cs="Arial"/>
          <w:color w:val="000000"/>
          <w:szCs w:val="20"/>
        </w:rPr>
      </w:pPr>
      <w:r w:rsidRPr="003B2441">
        <w:rPr>
          <w:rFonts w:cs="Arial"/>
          <w:color w:val="000000"/>
          <w:szCs w:val="20"/>
        </w:rPr>
        <w:t xml:space="preserve">If a household member has engaged in or threatened violent or abusive behavior toward </w:t>
      </w:r>
      <w:r w:rsidR="004870AB">
        <w:rPr>
          <w:rFonts w:cs="Arial"/>
          <w:color w:val="000000"/>
          <w:szCs w:val="20"/>
        </w:rPr>
        <w:t>HHA</w:t>
      </w:r>
      <w:r w:rsidRPr="003B2441">
        <w:rPr>
          <w:rFonts w:cs="Arial"/>
          <w:color w:val="000000"/>
          <w:szCs w:val="20"/>
        </w:rPr>
        <w:t xml:space="preserve"> personnel</w:t>
      </w:r>
      <w:r w:rsidR="00662961">
        <w:rPr>
          <w:rFonts w:cs="Arial"/>
          <w:color w:val="000000"/>
          <w:szCs w:val="20"/>
        </w:rPr>
        <w:t>, property management, and/or other residents</w:t>
      </w:r>
      <w:r w:rsidRPr="003B2441">
        <w:rPr>
          <w:rFonts w:cs="Arial"/>
          <w:color w:val="000000"/>
          <w:szCs w:val="20"/>
        </w:rPr>
        <w:t>.</w:t>
      </w:r>
    </w:p>
    <w:p w14:paraId="7B6236EC" w14:textId="77777777" w:rsidR="00D17E9B" w:rsidRDefault="00D17E9B" w:rsidP="00D17E9B">
      <w:pPr>
        <w:autoSpaceDE w:val="0"/>
        <w:autoSpaceDN w:val="0"/>
        <w:adjustRightInd w:val="0"/>
        <w:spacing w:after="120"/>
        <w:ind w:left="540"/>
        <w:rPr>
          <w:rFonts w:eastAsia="Times New Roman" w:cs="Arial"/>
          <w:szCs w:val="20"/>
        </w:rPr>
      </w:pPr>
      <w:r>
        <w:rPr>
          <w:rFonts w:eastAsia="Times New Roman" w:cs="Arial"/>
          <w:szCs w:val="20"/>
        </w:rPr>
        <w:t>And, upon implementation of HOTMA:</w:t>
      </w:r>
    </w:p>
    <w:p w14:paraId="01E1E6E3" w14:textId="77777777" w:rsidR="00D17E9B" w:rsidRPr="000665B0" w:rsidRDefault="00D17E9B" w:rsidP="00D17E9B">
      <w:pPr>
        <w:pBdr>
          <w:top w:val="single" w:sz="4" w:space="1" w:color="auto"/>
          <w:left w:val="single" w:sz="4" w:space="4" w:color="auto"/>
          <w:bottom w:val="single" w:sz="4" w:space="1" w:color="auto"/>
          <w:right w:val="single" w:sz="4" w:space="4" w:color="auto"/>
        </w:pBdr>
        <w:rPr>
          <w:b/>
          <w:bCs/>
          <w:i/>
          <w:iCs/>
          <w:u w:val="single"/>
        </w:rPr>
      </w:pPr>
      <w:r w:rsidRPr="00421ABA">
        <w:rPr>
          <w:b/>
          <w:bCs/>
          <w:i/>
          <w:iCs/>
        </w:rPr>
        <w:t xml:space="preserve">Note: the following </w:t>
      </w:r>
      <w:r>
        <w:rPr>
          <w:b/>
          <w:bCs/>
          <w:i/>
          <w:iCs/>
        </w:rPr>
        <w:t>is</w:t>
      </w:r>
      <w:r w:rsidRPr="00421ABA">
        <w:rPr>
          <w:b/>
          <w:bCs/>
          <w:i/>
          <w:iCs/>
        </w:rPr>
        <w:t xml:space="preserve"> only applicable upon implementation of the HOTMA Final Rule (Sections 102 and 104). Prior to implementation, the following restriction</w:t>
      </w:r>
      <w:r>
        <w:rPr>
          <w:b/>
          <w:bCs/>
          <w:i/>
          <w:iCs/>
        </w:rPr>
        <w:t>s</w:t>
      </w:r>
      <w:r w:rsidRPr="00421ABA">
        <w:rPr>
          <w:b/>
          <w:bCs/>
          <w:i/>
          <w:iCs/>
        </w:rPr>
        <w:t xml:space="preserve"> do not apply.</w:t>
      </w:r>
    </w:p>
    <w:p w14:paraId="52633C59" w14:textId="6B1FF034" w:rsidR="00D17E9B" w:rsidRDefault="00D17E9B" w:rsidP="00D17E9B">
      <w:pPr>
        <w:pStyle w:val="ListParagraph"/>
        <w:numPr>
          <w:ilvl w:val="0"/>
          <w:numId w:val="208"/>
        </w:numPr>
        <w:contextualSpacing w:val="0"/>
        <w:rPr>
          <w:rFonts w:eastAsia="Times New Roman" w:cs="Arial"/>
          <w:szCs w:val="20"/>
        </w:rPr>
      </w:pPr>
      <w:r>
        <w:rPr>
          <w:rFonts w:eastAsia="Times New Roman" w:cs="Arial"/>
          <w:b/>
          <w:bCs/>
          <w:szCs w:val="20"/>
        </w:rPr>
        <w:t xml:space="preserve">Failure to Comply with the Asset and/or Real Property Restrictions: </w:t>
      </w:r>
      <w:r>
        <w:rPr>
          <w:rFonts w:eastAsia="Times New Roman" w:cs="Arial"/>
          <w:szCs w:val="20"/>
        </w:rPr>
        <w:t xml:space="preserve">upon implementation of HOTMA, HHA will terminate </w:t>
      </w:r>
      <w:r w:rsidR="00B732FC">
        <w:rPr>
          <w:rFonts w:eastAsia="Times New Roman" w:cs="Arial"/>
          <w:szCs w:val="20"/>
        </w:rPr>
        <w:t>the lease</w:t>
      </w:r>
      <w:r>
        <w:rPr>
          <w:rFonts w:eastAsia="Times New Roman" w:cs="Arial"/>
          <w:szCs w:val="20"/>
        </w:rPr>
        <w:t xml:space="preserve"> if the household is not in compliance with the</w:t>
      </w:r>
      <w:r w:rsidR="001200CB">
        <w:rPr>
          <w:rFonts w:eastAsia="Times New Roman" w:cs="Arial"/>
          <w:szCs w:val="20"/>
        </w:rPr>
        <w:t xml:space="preserve"> </w:t>
      </w:r>
      <w:r w:rsidR="001200CB" w:rsidRPr="00FA137E">
        <w:rPr>
          <w:rFonts w:cs="Arial"/>
          <w:b/>
          <w:bCs/>
          <w:color w:val="0070C0"/>
          <w:szCs w:val="20"/>
        </w:rPr>
        <w:fldChar w:fldCharType="begin"/>
      </w:r>
      <w:r w:rsidR="001200CB" w:rsidRPr="00FA137E">
        <w:rPr>
          <w:rFonts w:cs="Arial"/>
          <w:szCs w:val="20"/>
        </w:rPr>
        <w:instrText xml:space="preserve"> REF _Ref144892635 \h </w:instrText>
      </w:r>
      <w:r w:rsidR="001200CB">
        <w:rPr>
          <w:rFonts w:cs="Arial"/>
          <w:b/>
          <w:bCs/>
          <w:color w:val="0070C0"/>
          <w:szCs w:val="20"/>
        </w:rPr>
        <w:instrText xml:space="preserve"> \* MERGEFORMAT </w:instrText>
      </w:r>
      <w:r w:rsidR="001200CB" w:rsidRPr="00FA137E">
        <w:rPr>
          <w:rFonts w:cs="Arial"/>
          <w:b/>
          <w:bCs/>
          <w:color w:val="0070C0"/>
          <w:szCs w:val="20"/>
        </w:rPr>
      </w:r>
      <w:r w:rsidR="001200CB" w:rsidRPr="00FA137E">
        <w:rPr>
          <w:rFonts w:cs="Arial"/>
          <w:b/>
          <w:bCs/>
          <w:color w:val="0070C0"/>
          <w:szCs w:val="20"/>
        </w:rPr>
        <w:fldChar w:fldCharType="separate"/>
      </w:r>
      <w:r w:rsidR="001200CB" w:rsidRPr="00FA137E">
        <w:rPr>
          <w:b/>
          <w:bCs/>
          <w:color w:val="0070C0"/>
        </w:rPr>
        <w:t>Asset Restrictions</w:t>
      </w:r>
      <w:r w:rsidR="001200CB" w:rsidRPr="00FA137E">
        <w:rPr>
          <w:rFonts w:cs="Arial"/>
          <w:b/>
          <w:bCs/>
          <w:color w:val="0070C0"/>
          <w:szCs w:val="20"/>
        </w:rPr>
        <w:fldChar w:fldCharType="end"/>
      </w:r>
      <w:r>
        <w:rPr>
          <w:rFonts w:eastAsia="Times New Roman" w:cs="Arial"/>
          <w:szCs w:val="20"/>
        </w:rPr>
        <w:t xml:space="preserve">. </w:t>
      </w:r>
    </w:p>
    <w:p w14:paraId="45D0F735" w14:textId="65741C92" w:rsidR="00D17E9B" w:rsidRPr="001200CB" w:rsidRDefault="00D17E9B" w:rsidP="001200CB">
      <w:pPr>
        <w:autoSpaceDE w:val="0"/>
        <w:autoSpaceDN w:val="0"/>
        <w:adjustRightInd w:val="0"/>
        <w:ind w:left="720"/>
        <w:rPr>
          <w:rFonts w:cs="Arial"/>
          <w:color w:val="000000"/>
          <w:szCs w:val="20"/>
        </w:rPr>
      </w:pPr>
      <w:r>
        <w:t>For recertifying households,</w:t>
      </w:r>
      <w:r w:rsidRPr="009D4822">
        <w:t xml:space="preserve"> </w:t>
      </w:r>
      <w:r>
        <w:t>HHA</w:t>
      </w:r>
      <w:r w:rsidRPr="009D4822">
        <w:t xml:space="preserve"> </w:t>
      </w:r>
      <w:r>
        <w:t>may</w:t>
      </w:r>
      <w:r w:rsidRPr="009D4822">
        <w:t xml:space="preserve"> delay termination of </w:t>
      </w:r>
      <w:r w:rsidR="00DF6D25">
        <w:t>the lease</w:t>
      </w:r>
      <w:r w:rsidRPr="009D4822">
        <w:t xml:space="preserve"> </w:t>
      </w:r>
      <w:r>
        <w:t xml:space="preserve">for up to six months if the family is over the asset threshold at the time of their regular recertification, </w:t>
      </w:r>
      <w:r w:rsidRPr="009D4822">
        <w:t xml:space="preserve">and the family </w:t>
      </w:r>
      <w:r>
        <w:t xml:space="preserve">will be given the opportunity to </w:t>
      </w:r>
      <w:r w:rsidRPr="009D4822">
        <w:t xml:space="preserve">come into compliance </w:t>
      </w:r>
      <w:r>
        <w:t xml:space="preserve">with the asset threshold </w:t>
      </w:r>
      <w:r w:rsidRPr="009D4822">
        <w:t xml:space="preserve">during that time. </w:t>
      </w:r>
      <w:r>
        <w:t>Otherwise, the household must be terminated in accordance with the policies in this chapter.</w:t>
      </w:r>
    </w:p>
    <w:p w14:paraId="363F12FB" w14:textId="77777777" w:rsidR="00665E33" w:rsidRPr="00122C89" w:rsidRDefault="00665E33" w:rsidP="0067070E">
      <w:pPr>
        <w:rPr>
          <w:rFonts w:cs="Arial"/>
          <w:szCs w:val="20"/>
        </w:rPr>
      </w:pPr>
      <w:r w:rsidRPr="00122C89">
        <w:rPr>
          <w:rFonts w:cs="Arial"/>
          <w:szCs w:val="20"/>
        </w:rPr>
        <w:t xml:space="preserve">Upon consideration of alternatives and factors, </w:t>
      </w:r>
      <w:r w:rsidR="004870AB">
        <w:rPr>
          <w:rFonts w:cs="Arial"/>
          <w:szCs w:val="20"/>
        </w:rPr>
        <w:t>HHA</w:t>
      </w:r>
      <w:r w:rsidRPr="00122C89">
        <w:rPr>
          <w:rFonts w:cs="Arial"/>
          <w:szCs w:val="20"/>
        </w:rPr>
        <w:t xml:space="preserve"> may, on a case-by-case basis, choose not to terminate assistance.</w:t>
      </w:r>
    </w:p>
    <w:p w14:paraId="0DD98C01" w14:textId="77777777" w:rsidR="00665E33" w:rsidRDefault="00665E33" w:rsidP="00677451">
      <w:pPr>
        <w:pStyle w:val="Heading3"/>
      </w:pPr>
      <w:bookmarkStart w:id="3712" w:name="_Toc106038031"/>
      <w:bookmarkStart w:id="3713" w:name="_Toc106201670"/>
      <w:bookmarkStart w:id="3714" w:name="_Toc106202189"/>
      <w:bookmarkStart w:id="3715" w:name="_Toc106202715"/>
      <w:bookmarkStart w:id="3716" w:name="_Toc113345172"/>
      <w:bookmarkStart w:id="3717" w:name="_Toc137461916"/>
      <w:bookmarkStart w:id="3718" w:name="_Toc137471507"/>
      <w:bookmarkStart w:id="3719" w:name="_Toc137472016"/>
      <w:bookmarkStart w:id="3720" w:name="_Toc200375864"/>
      <w:r>
        <w:t>Family Absence from the Unit</w:t>
      </w:r>
      <w:bookmarkEnd w:id="3712"/>
      <w:bookmarkEnd w:id="3713"/>
      <w:bookmarkEnd w:id="3714"/>
      <w:bookmarkEnd w:id="3715"/>
      <w:bookmarkEnd w:id="3716"/>
      <w:bookmarkEnd w:id="3717"/>
      <w:bookmarkEnd w:id="3718"/>
      <w:bookmarkEnd w:id="3719"/>
      <w:bookmarkEnd w:id="3720"/>
    </w:p>
    <w:p w14:paraId="6DDCBE27" w14:textId="77777777" w:rsidR="00665E33" w:rsidRPr="00E55F30" w:rsidRDefault="00665E33" w:rsidP="00665E33">
      <w:pPr>
        <w:rPr>
          <w:rFonts w:cs="Arial"/>
          <w:szCs w:val="20"/>
        </w:rPr>
      </w:pPr>
      <w:r w:rsidRPr="00BA47E3">
        <w:rPr>
          <w:rFonts w:cs="Arial"/>
          <w:szCs w:val="20"/>
        </w:rPr>
        <w:t xml:space="preserve">It is reasonable that the family may be absent from the public housing unit for brief periods. However, </w:t>
      </w:r>
      <w:r w:rsidR="004870AB">
        <w:rPr>
          <w:rFonts w:cs="Arial"/>
          <w:szCs w:val="20"/>
        </w:rPr>
        <w:t>HHA</w:t>
      </w:r>
      <w:r>
        <w:rPr>
          <w:rFonts w:cs="Arial"/>
          <w:szCs w:val="20"/>
        </w:rPr>
        <w:t xml:space="preserve"> has</w:t>
      </w:r>
      <w:r w:rsidRPr="00BA47E3">
        <w:rPr>
          <w:rFonts w:cs="Arial"/>
          <w:szCs w:val="20"/>
        </w:rPr>
        <w:t xml:space="preserve"> a policy on how long the family may be absent from the unit</w:t>
      </w:r>
      <w:r>
        <w:rPr>
          <w:rFonts w:cs="Arial"/>
          <w:szCs w:val="20"/>
        </w:rPr>
        <w:t xml:space="preserve"> (see </w:t>
      </w:r>
      <w:r w:rsidR="00F86A3E" w:rsidRPr="00F86A3E">
        <w:rPr>
          <w:rFonts w:cs="Arial"/>
          <w:b/>
          <w:bCs/>
          <w:color w:val="0070C0"/>
          <w:szCs w:val="20"/>
        </w:rPr>
        <w:fldChar w:fldCharType="begin"/>
      </w:r>
      <w:r w:rsidR="00F86A3E" w:rsidRPr="00F86A3E">
        <w:rPr>
          <w:rFonts w:cs="Arial"/>
          <w:b/>
          <w:bCs/>
          <w:color w:val="0070C0"/>
          <w:szCs w:val="20"/>
        </w:rPr>
        <w:instrText xml:space="preserve"> REF _Ref526756444 \h  \* MERGEFORMAT </w:instrText>
      </w:r>
      <w:r w:rsidR="00F86A3E" w:rsidRPr="00F86A3E">
        <w:rPr>
          <w:rFonts w:cs="Arial"/>
          <w:b/>
          <w:bCs/>
          <w:color w:val="0070C0"/>
          <w:szCs w:val="20"/>
        </w:rPr>
      </w:r>
      <w:r w:rsidR="00F86A3E" w:rsidRPr="00F86A3E">
        <w:rPr>
          <w:rFonts w:cs="Arial"/>
          <w:b/>
          <w:bCs/>
          <w:color w:val="0070C0"/>
          <w:szCs w:val="20"/>
        </w:rPr>
        <w:fldChar w:fldCharType="separate"/>
      </w:r>
      <w:r w:rsidR="00F86A3E" w:rsidRPr="00F86A3E">
        <w:rPr>
          <w:b/>
          <w:bCs/>
          <w:color w:val="0070C0"/>
        </w:rPr>
        <w:t>Absence from the Unit</w:t>
      </w:r>
      <w:r w:rsidR="00F86A3E" w:rsidRPr="00F86A3E">
        <w:rPr>
          <w:rFonts w:cs="Arial"/>
          <w:b/>
          <w:bCs/>
          <w:color w:val="0070C0"/>
          <w:szCs w:val="20"/>
        </w:rPr>
        <w:fldChar w:fldCharType="end"/>
      </w:r>
      <w:r>
        <w:rPr>
          <w:rFonts w:cs="Arial"/>
          <w:szCs w:val="20"/>
        </w:rPr>
        <w:t>)</w:t>
      </w:r>
      <w:r w:rsidRPr="00BA47E3">
        <w:rPr>
          <w:rFonts w:cs="Arial"/>
          <w:szCs w:val="20"/>
        </w:rPr>
        <w:t xml:space="preserve">. </w:t>
      </w:r>
      <w:r w:rsidRPr="00C17354">
        <w:rPr>
          <w:rFonts w:cs="Arial"/>
          <w:i/>
          <w:iCs/>
          <w:szCs w:val="20"/>
        </w:rPr>
        <w:t>Absence</w:t>
      </w:r>
      <w:r w:rsidRPr="00BA47E3">
        <w:rPr>
          <w:rFonts w:cs="Arial"/>
          <w:szCs w:val="20"/>
        </w:rPr>
        <w:t xml:space="preserve"> in this context means that no member of the family is residing in the unit.</w:t>
      </w:r>
      <w:r>
        <w:rPr>
          <w:rFonts w:cs="Arial"/>
          <w:szCs w:val="20"/>
        </w:rPr>
        <w:t xml:space="preserve"> </w:t>
      </w:r>
      <w:r>
        <w:t>If a family is absent from the public housing unit for more than 180 consecutive days, and</w:t>
      </w:r>
      <w:r w:rsidRPr="00C17354">
        <w:t xml:space="preserve"> </w:t>
      </w:r>
      <w:r>
        <w:t>the</w:t>
      </w:r>
      <w:r w:rsidRPr="00C17354">
        <w:t xml:space="preserve"> </w:t>
      </w:r>
      <w:r>
        <w:t>family</w:t>
      </w:r>
      <w:r w:rsidRPr="00C17354">
        <w:t xml:space="preserve"> </w:t>
      </w:r>
      <w:r>
        <w:t>does</w:t>
      </w:r>
      <w:r w:rsidRPr="00C17354">
        <w:t xml:space="preserve"> </w:t>
      </w:r>
      <w:r>
        <w:t>not</w:t>
      </w:r>
      <w:r w:rsidRPr="00C17354">
        <w:t xml:space="preserve"> </w:t>
      </w:r>
      <w:r>
        <w:t>adequately</w:t>
      </w:r>
      <w:r w:rsidRPr="00C17354">
        <w:t xml:space="preserve"> </w:t>
      </w:r>
      <w:r>
        <w:t>verify</w:t>
      </w:r>
      <w:r w:rsidRPr="00C17354">
        <w:t xml:space="preserve"> </w:t>
      </w:r>
      <w:r>
        <w:t>that</w:t>
      </w:r>
      <w:r w:rsidRPr="00C17354">
        <w:t xml:space="preserve"> </w:t>
      </w:r>
      <w:r>
        <w:t>they</w:t>
      </w:r>
      <w:r w:rsidRPr="00C17354">
        <w:t xml:space="preserve"> </w:t>
      </w:r>
      <w:r>
        <w:t>are</w:t>
      </w:r>
      <w:r w:rsidRPr="00C17354">
        <w:t xml:space="preserve"> </w:t>
      </w:r>
      <w:r>
        <w:t>living</w:t>
      </w:r>
      <w:r w:rsidRPr="00C17354">
        <w:t xml:space="preserve"> </w:t>
      </w:r>
      <w:r>
        <w:t>in</w:t>
      </w:r>
      <w:r w:rsidRPr="00C17354">
        <w:t xml:space="preserve"> </w:t>
      </w:r>
      <w:r>
        <w:t>the</w:t>
      </w:r>
      <w:r w:rsidRPr="00C17354">
        <w:t xml:space="preserve"> </w:t>
      </w:r>
      <w:r>
        <w:t>unit,</w:t>
      </w:r>
      <w:r w:rsidRPr="00C17354">
        <w:t xml:space="preserve"> </w:t>
      </w:r>
      <w:r w:rsidR="004870AB">
        <w:t>HHA</w:t>
      </w:r>
      <w:r w:rsidRPr="00C17354">
        <w:t xml:space="preserve"> </w:t>
      </w:r>
      <w:r>
        <w:t>will terminate the lease for other good cause.</w:t>
      </w:r>
    </w:p>
    <w:p w14:paraId="4877DC6C" w14:textId="77777777" w:rsidR="00665E33" w:rsidRDefault="00665E33" w:rsidP="00665E33">
      <w:pPr>
        <w:autoSpaceDE w:val="0"/>
        <w:autoSpaceDN w:val="0"/>
        <w:adjustRightInd w:val="0"/>
      </w:pPr>
      <w:r w:rsidRPr="00E55F30">
        <w:rPr>
          <w:b/>
          <w:bCs/>
        </w:rPr>
        <w:t>Abandonment of the unit</w:t>
      </w:r>
      <w:r w:rsidRPr="00C17354">
        <w:t xml:space="preserve">. </w:t>
      </w:r>
      <w:r>
        <w:t>If the family appears to have vacated the unit without giving proper</w:t>
      </w:r>
      <w:r w:rsidRPr="00C17354">
        <w:t xml:space="preserve"> </w:t>
      </w:r>
      <w:r>
        <w:t xml:space="preserve">notice, </w:t>
      </w:r>
      <w:r w:rsidR="004870AB">
        <w:t>HHA</w:t>
      </w:r>
      <w:r>
        <w:t xml:space="preserve"> will follow state and local landlord-tenant law pertaining to abandonment</w:t>
      </w:r>
      <w:r w:rsidRPr="00C17354">
        <w:t xml:space="preserve"> </w:t>
      </w:r>
      <w:r>
        <w:t>before</w:t>
      </w:r>
      <w:r w:rsidRPr="00C17354">
        <w:t xml:space="preserve"> </w:t>
      </w:r>
      <w:r>
        <w:t>taking</w:t>
      </w:r>
      <w:r w:rsidRPr="00C17354">
        <w:t xml:space="preserve"> </w:t>
      </w:r>
      <w:r>
        <w:t>possession</w:t>
      </w:r>
      <w:r w:rsidRPr="00C17354">
        <w:t xml:space="preserve"> </w:t>
      </w:r>
      <w:r>
        <w:t>of</w:t>
      </w:r>
      <w:r w:rsidRPr="00C17354">
        <w:t xml:space="preserve"> </w:t>
      </w:r>
      <w:r>
        <w:t>the</w:t>
      </w:r>
      <w:r w:rsidRPr="00C17354">
        <w:t xml:space="preserve"> </w:t>
      </w:r>
      <w:r>
        <w:t>unit. If</w:t>
      </w:r>
      <w:r w:rsidRPr="00C17354">
        <w:t xml:space="preserve"> </w:t>
      </w:r>
      <w:r>
        <w:t>necessary,</w:t>
      </w:r>
      <w:r w:rsidRPr="00C17354">
        <w:t xml:space="preserve"> </w:t>
      </w:r>
      <w:r w:rsidR="004870AB">
        <w:t>HHA</w:t>
      </w:r>
      <w:r w:rsidRPr="00C17354">
        <w:t xml:space="preserve"> </w:t>
      </w:r>
      <w:r>
        <w:t>will</w:t>
      </w:r>
      <w:r w:rsidRPr="00C17354">
        <w:t xml:space="preserve"> </w:t>
      </w:r>
      <w:r>
        <w:t>secure</w:t>
      </w:r>
      <w:r w:rsidRPr="00C17354">
        <w:t xml:space="preserve"> </w:t>
      </w:r>
      <w:r>
        <w:t>the unit immediately to prevent vandalism and other criminal activity.</w:t>
      </w:r>
    </w:p>
    <w:p w14:paraId="2D0D7280" w14:textId="77777777" w:rsidR="00665E33" w:rsidRDefault="00665E33" w:rsidP="00665E33">
      <w:pPr>
        <w:pStyle w:val="Heading2"/>
      </w:pPr>
      <w:bookmarkStart w:id="3721" w:name="_Toc485980486"/>
      <w:bookmarkStart w:id="3722" w:name="_Toc508698470"/>
      <w:bookmarkStart w:id="3723" w:name="_Toc520796705"/>
      <w:bookmarkStart w:id="3724" w:name="_Ref525039996"/>
      <w:bookmarkStart w:id="3725" w:name="_Ref525040079"/>
      <w:bookmarkStart w:id="3726" w:name="_Ref525040157"/>
      <w:bookmarkStart w:id="3727" w:name="_Toc527019659"/>
      <w:bookmarkStart w:id="3728" w:name="_Toc534707199"/>
      <w:bookmarkStart w:id="3729" w:name="_Toc534707877"/>
      <w:bookmarkStart w:id="3730" w:name="_Toc534708685"/>
      <w:bookmarkStart w:id="3731" w:name="_Toc106038036"/>
      <w:bookmarkStart w:id="3732" w:name="_Toc106201675"/>
      <w:bookmarkStart w:id="3733" w:name="_Toc106202194"/>
      <w:bookmarkStart w:id="3734" w:name="_Toc106202720"/>
      <w:bookmarkStart w:id="3735" w:name="_Toc113345177"/>
      <w:bookmarkStart w:id="3736" w:name="_Toc137460456"/>
      <w:bookmarkStart w:id="3737" w:name="_Toc137460701"/>
      <w:bookmarkStart w:id="3738" w:name="_Toc137460946"/>
      <w:bookmarkStart w:id="3739" w:name="_Toc137461921"/>
      <w:bookmarkStart w:id="3740" w:name="_Toc137471512"/>
      <w:bookmarkStart w:id="3741" w:name="_Toc137472021"/>
      <w:bookmarkStart w:id="3742" w:name="_Toc173222787"/>
      <w:bookmarkStart w:id="3743" w:name="_Toc200375865"/>
      <w:bookmarkStart w:id="3744" w:name="_Toc200377053"/>
      <w:r w:rsidRPr="00122C89">
        <w:t>C</w:t>
      </w:r>
      <w:r w:rsidR="0067609F">
        <w:t>riteria for Deciding to Terminate Assistance</w:t>
      </w:r>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p>
    <w:p w14:paraId="77EE6F1D" w14:textId="77777777" w:rsidR="00803A75" w:rsidRPr="0041167A" w:rsidRDefault="00803A75" w:rsidP="00803A75">
      <w:pPr>
        <w:autoSpaceDE w:val="0"/>
        <w:autoSpaceDN w:val="0"/>
        <w:adjustRightInd w:val="0"/>
      </w:pPr>
      <w:r>
        <w:rPr>
          <w:rFonts w:cs="Arial"/>
          <w:szCs w:val="20"/>
        </w:rPr>
        <w:t>HHA</w:t>
      </w:r>
      <w:r w:rsidRPr="009709BC">
        <w:rPr>
          <w:rFonts w:cs="Arial"/>
          <w:szCs w:val="20"/>
        </w:rPr>
        <w:t xml:space="preserve">’s </w:t>
      </w:r>
      <w:r>
        <w:rPr>
          <w:rFonts w:cs="Arial"/>
          <w:szCs w:val="20"/>
        </w:rPr>
        <w:t xml:space="preserve">termination and/or </w:t>
      </w:r>
      <w:r w:rsidRPr="009709BC">
        <w:t>eviction actions must be consistent with fair housing and equal opportunity requirements of federal, state and local law and applicable HUD regulations.</w:t>
      </w:r>
    </w:p>
    <w:p w14:paraId="1129AAD7" w14:textId="77777777" w:rsidR="00665E33" w:rsidRPr="00122C89" w:rsidRDefault="00665E33" w:rsidP="00677451">
      <w:pPr>
        <w:pStyle w:val="Heading3"/>
      </w:pPr>
      <w:bookmarkStart w:id="3745" w:name="_Ref501627971"/>
      <w:bookmarkStart w:id="3746" w:name="_Toc508698471"/>
      <w:bookmarkStart w:id="3747" w:name="_Ref514418745"/>
      <w:bookmarkStart w:id="3748" w:name="_Toc520796706"/>
      <w:bookmarkStart w:id="3749" w:name="_Toc527019660"/>
      <w:bookmarkStart w:id="3750" w:name="_Toc534707200"/>
      <w:bookmarkStart w:id="3751" w:name="_Toc534707878"/>
      <w:bookmarkStart w:id="3752" w:name="_Toc534708686"/>
      <w:bookmarkStart w:id="3753" w:name="_Toc106038037"/>
      <w:bookmarkStart w:id="3754" w:name="_Toc106201676"/>
      <w:bookmarkStart w:id="3755" w:name="_Toc106202195"/>
      <w:bookmarkStart w:id="3756" w:name="_Toc106202721"/>
      <w:bookmarkStart w:id="3757" w:name="_Toc113345178"/>
      <w:bookmarkStart w:id="3758" w:name="_Toc137461922"/>
      <w:bookmarkStart w:id="3759" w:name="_Toc137471513"/>
      <w:bookmarkStart w:id="3760" w:name="_Toc137472022"/>
      <w:bookmarkStart w:id="3761" w:name="_Toc200375866"/>
      <w:r w:rsidRPr="00122C89">
        <w:t>Evidence</w:t>
      </w:r>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p>
    <w:p w14:paraId="068BC4F6" w14:textId="77777777" w:rsidR="00E34900" w:rsidRDefault="004870AB" w:rsidP="00DC3BFE">
      <w:pPr>
        <w:widowControl w:val="0"/>
        <w:tabs>
          <w:tab w:val="left" w:pos="881"/>
        </w:tabs>
        <w:autoSpaceDE w:val="0"/>
        <w:autoSpaceDN w:val="0"/>
      </w:pPr>
      <w:r>
        <w:t>HHA</w:t>
      </w:r>
      <w:r w:rsidR="00665E33" w:rsidRPr="00D0694F">
        <w:t xml:space="preserve"> will use the concept of the preponderance of the evidence as the standard for making all termination decisions.</w:t>
      </w:r>
      <w:r w:rsidR="00DC3BFE">
        <w:t xml:space="preserve"> </w:t>
      </w:r>
    </w:p>
    <w:p w14:paraId="3B0FD674" w14:textId="77777777" w:rsidR="00DC3BFE" w:rsidRPr="00A2158C" w:rsidRDefault="00DC3BFE" w:rsidP="00DC3BFE">
      <w:pPr>
        <w:widowControl w:val="0"/>
        <w:tabs>
          <w:tab w:val="left" w:pos="881"/>
        </w:tabs>
        <w:autoSpaceDE w:val="0"/>
        <w:autoSpaceDN w:val="0"/>
      </w:pPr>
      <w:r w:rsidRPr="00A2158C">
        <w:t>HHA is not required to prove that the resident knew or should have known that a household member, household member, visitor, or other person under the resident’s control was engaged in the action that violated the</w:t>
      </w:r>
      <w:r w:rsidRPr="008B49E1">
        <w:rPr>
          <w:spacing w:val="-4"/>
        </w:rPr>
        <w:t xml:space="preserve"> </w:t>
      </w:r>
      <w:r w:rsidRPr="00A2158C">
        <w:t>lease.</w:t>
      </w:r>
    </w:p>
    <w:p w14:paraId="5BC5E3BD" w14:textId="77777777" w:rsidR="00C549AA" w:rsidRPr="00C549AA" w:rsidRDefault="00C549AA" w:rsidP="00D50903">
      <w:pPr>
        <w:pStyle w:val="Heading2"/>
        <w:rPr>
          <w:rFonts w:cs="Arial"/>
          <w:szCs w:val="20"/>
        </w:rPr>
      </w:pPr>
      <w:bookmarkStart w:id="3762" w:name="_Toc173222788"/>
      <w:bookmarkStart w:id="3763" w:name="_Toc200375867"/>
      <w:bookmarkStart w:id="3764" w:name="_Toc200377054"/>
      <w:bookmarkStart w:id="3765" w:name="_Toc106038044"/>
      <w:bookmarkStart w:id="3766" w:name="_Toc106201683"/>
      <w:bookmarkStart w:id="3767" w:name="_Toc106202202"/>
      <w:bookmarkStart w:id="3768" w:name="_Toc106202728"/>
      <w:bookmarkStart w:id="3769" w:name="_Toc113345184"/>
      <w:bookmarkStart w:id="3770" w:name="_Toc137460457"/>
      <w:bookmarkStart w:id="3771" w:name="_Toc137460702"/>
      <w:bookmarkStart w:id="3772" w:name="_Toc137460947"/>
      <w:bookmarkStart w:id="3773" w:name="_Toc137461928"/>
      <w:bookmarkStart w:id="3774" w:name="_Toc137471519"/>
      <w:bookmarkStart w:id="3775" w:name="_Toc137472028"/>
      <w:r>
        <w:rPr>
          <w:rFonts w:cs="Arial"/>
          <w:szCs w:val="20"/>
        </w:rPr>
        <w:t>Criminal Records</w:t>
      </w:r>
      <w:bookmarkEnd w:id="3762"/>
      <w:bookmarkEnd w:id="3763"/>
      <w:bookmarkEnd w:id="3764"/>
    </w:p>
    <w:p w14:paraId="51BEAF0A" w14:textId="77777777" w:rsidR="00665E33" w:rsidRPr="00E76CFC" w:rsidRDefault="00665E33" w:rsidP="00C549AA">
      <w:pPr>
        <w:pStyle w:val="Heading3"/>
        <w:rPr>
          <w:rFonts w:cs="Arial"/>
          <w:szCs w:val="20"/>
        </w:rPr>
      </w:pPr>
      <w:bookmarkStart w:id="3776" w:name="_Toc200375868"/>
      <w:r>
        <w:t>C</w:t>
      </w:r>
      <w:r w:rsidR="00E76CFC">
        <w:t>onducting Criminal Records Checks</w:t>
      </w:r>
      <w:bookmarkEnd w:id="3765"/>
      <w:bookmarkEnd w:id="3766"/>
      <w:bookmarkEnd w:id="3767"/>
      <w:bookmarkEnd w:id="3768"/>
      <w:bookmarkEnd w:id="3769"/>
      <w:bookmarkEnd w:id="3770"/>
      <w:bookmarkEnd w:id="3771"/>
      <w:bookmarkEnd w:id="3772"/>
      <w:bookmarkEnd w:id="3773"/>
      <w:bookmarkEnd w:id="3774"/>
      <w:bookmarkEnd w:id="3775"/>
      <w:bookmarkEnd w:id="3776"/>
    </w:p>
    <w:p w14:paraId="1B4DE342" w14:textId="77777777" w:rsidR="00665E33" w:rsidRPr="0041167A" w:rsidRDefault="00665E33" w:rsidP="00665E33">
      <w:pPr>
        <w:autoSpaceDE w:val="0"/>
        <w:autoSpaceDN w:val="0"/>
        <w:adjustRightInd w:val="0"/>
      </w:pPr>
      <w:r w:rsidRPr="0041167A">
        <w:t xml:space="preserve">HUD authorizes </w:t>
      </w:r>
      <w:r w:rsidR="004870AB">
        <w:t>HHA</w:t>
      </w:r>
      <w:r w:rsidRPr="0041167A">
        <w:t xml:space="preserve"> to conduct criminal records checks on public housing residents for lease enforcement and eviction. </w:t>
      </w:r>
      <w:r w:rsidR="004870AB">
        <w:t>HHA</w:t>
      </w:r>
      <w:r w:rsidRPr="0041167A">
        <w:t xml:space="preserve"> policy determines when </w:t>
      </w:r>
      <w:r w:rsidR="004870AB">
        <w:t>HHA</w:t>
      </w:r>
      <w:r w:rsidRPr="0041167A">
        <w:t xml:space="preserve"> will conduct such checks.</w:t>
      </w:r>
    </w:p>
    <w:p w14:paraId="16141F8A" w14:textId="1433D25C" w:rsidR="00083D35" w:rsidRDefault="0002377B" w:rsidP="00665E33">
      <w:pPr>
        <w:autoSpaceDE w:val="0"/>
        <w:autoSpaceDN w:val="0"/>
        <w:adjustRightInd w:val="0"/>
      </w:pPr>
      <w:r>
        <w:t xml:space="preserve">HHA </w:t>
      </w:r>
      <w:r w:rsidR="00083D35" w:rsidRPr="00646ACE">
        <w:t>will conduct criminal records</w:t>
      </w:r>
      <w:r w:rsidR="00083D35">
        <w:t xml:space="preserve"> checks when it has come to the attention of </w:t>
      </w:r>
      <w:r>
        <w:t>H</w:t>
      </w:r>
      <w:r w:rsidR="00083D35">
        <w:t xml:space="preserve">HA, either from local law enforcement or by other means, that an individual has engaged in the destruction of property, engaged in violent activity against another person, or has interfered with the right to peaceful enjoyment of the premises of other residents. </w:t>
      </w:r>
      <w:r w:rsidR="00083D35" w:rsidRPr="00646ACE">
        <w:t xml:space="preserve"> Such checks will also include sex offender registration information.</w:t>
      </w:r>
      <w:r w:rsidR="00E629EF">
        <w:t xml:space="preserve"> HHA may also conduct periodic criminal background checks.</w:t>
      </w:r>
    </w:p>
    <w:p w14:paraId="1D0AAC54" w14:textId="62626EC1" w:rsidR="00665E33" w:rsidRDefault="0035377F" w:rsidP="00665E33">
      <w:pPr>
        <w:autoSpaceDE w:val="0"/>
        <w:autoSpaceDN w:val="0"/>
        <w:adjustRightInd w:val="0"/>
      </w:pPr>
      <w:r>
        <w:t>A</w:t>
      </w:r>
      <w:r w:rsidR="00665E33">
        <w:t xml:space="preserve">ll adult household members must sign consent forms for release of criminal conviction and sex offender registration records </w:t>
      </w:r>
      <w:r w:rsidR="00665E33" w:rsidRPr="0035377F">
        <w:t>on an annual basis</w:t>
      </w:r>
      <w:r w:rsidR="00665E33">
        <w:t xml:space="preserve">. </w:t>
      </w:r>
      <w:r w:rsidR="004870AB">
        <w:t>HHA</w:t>
      </w:r>
      <w:r w:rsidR="00665E33" w:rsidRPr="00FF3539">
        <w:t xml:space="preserve"> </w:t>
      </w:r>
      <w:r w:rsidR="00E629EF">
        <w:t xml:space="preserve">will </w:t>
      </w:r>
      <w:r w:rsidR="00665E33">
        <w:t>not</w:t>
      </w:r>
      <w:r w:rsidR="00665E33" w:rsidRPr="00FF3539">
        <w:t xml:space="preserve"> </w:t>
      </w:r>
      <w:r w:rsidR="00665E33">
        <w:t>pass</w:t>
      </w:r>
      <w:r w:rsidR="00665E33" w:rsidRPr="00FF3539">
        <w:t xml:space="preserve"> </w:t>
      </w:r>
      <w:r w:rsidR="00665E33">
        <w:t>along</w:t>
      </w:r>
      <w:r w:rsidR="00665E33" w:rsidRPr="00FF3539">
        <w:t xml:space="preserve"> </w:t>
      </w:r>
      <w:r w:rsidR="00665E33">
        <w:t>to</w:t>
      </w:r>
      <w:r w:rsidR="00665E33" w:rsidRPr="00FF3539">
        <w:t xml:space="preserve"> </w:t>
      </w:r>
      <w:r w:rsidR="00665E33">
        <w:t>the</w:t>
      </w:r>
      <w:r w:rsidR="00665E33" w:rsidRPr="00FF3539">
        <w:t xml:space="preserve"> </w:t>
      </w:r>
      <w:r w:rsidR="00665E33">
        <w:t>tenant</w:t>
      </w:r>
      <w:r w:rsidR="00665E33" w:rsidRPr="00FF3539">
        <w:t xml:space="preserve"> </w:t>
      </w:r>
      <w:r w:rsidR="00665E33">
        <w:t>the costs</w:t>
      </w:r>
      <w:r w:rsidR="00665E33" w:rsidRPr="00FF3539">
        <w:t xml:space="preserve"> </w:t>
      </w:r>
      <w:r w:rsidR="00665E33">
        <w:t>of</w:t>
      </w:r>
      <w:r w:rsidR="00665E33" w:rsidRPr="00FF3539">
        <w:t xml:space="preserve"> </w:t>
      </w:r>
      <w:r w:rsidR="00665E33">
        <w:t>a</w:t>
      </w:r>
      <w:r w:rsidR="00665E33" w:rsidRPr="00FF3539">
        <w:t xml:space="preserve"> </w:t>
      </w:r>
      <w:r w:rsidR="00665E33">
        <w:t>criminal</w:t>
      </w:r>
      <w:r w:rsidR="00665E33" w:rsidRPr="00FF3539">
        <w:t xml:space="preserve"> </w:t>
      </w:r>
      <w:r w:rsidR="00665E33">
        <w:t>records</w:t>
      </w:r>
      <w:r w:rsidR="00665E33" w:rsidRPr="00FF3539">
        <w:t xml:space="preserve"> check.</w:t>
      </w:r>
    </w:p>
    <w:p w14:paraId="3D81D906" w14:textId="77777777" w:rsidR="00665E33" w:rsidRDefault="00665E33" w:rsidP="00C549AA">
      <w:pPr>
        <w:pStyle w:val="Heading3"/>
      </w:pPr>
      <w:bookmarkStart w:id="3777" w:name="_Toc106038045"/>
      <w:bookmarkStart w:id="3778" w:name="_Toc106201684"/>
      <w:bookmarkStart w:id="3779" w:name="_Toc106202203"/>
      <w:bookmarkStart w:id="3780" w:name="_Toc106202729"/>
      <w:bookmarkStart w:id="3781" w:name="_Toc113345185"/>
      <w:bookmarkStart w:id="3782" w:name="_Toc137460458"/>
      <w:bookmarkStart w:id="3783" w:name="_Toc137460703"/>
      <w:bookmarkStart w:id="3784" w:name="_Toc137460948"/>
      <w:bookmarkStart w:id="3785" w:name="_Toc137461929"/>
      <w:bookmarkStart w:id="3786" w:name="_Toc137471520"/>
      <w:bookmarkStart w:id="3787" w:name="_Toc137472029"/>
      <w:bookmarkStart w:id="3788" w:name="_Toc200375869"/>
      <w:r>
        <w:t>D</w:t>
      </w:r>
      <w:r w:rsidR="004B5349">
        <w:t>isclosure of Criminal Records to the Family</w:t>
      </w:r>
      <w:bookmarkEnd w:id="3777"/>
      <w:bookmarkEnd w:id="3778"/>
      <w:bookmarkEnd w:id="3779"/>
      <w:bookmarkEnd w:id="3780"/>
      <w:bookmarkEnd w:id="3781"/>
      <w:bookmarkEnd w:id="3782"/>
      <w:bookmarkEnd w:id="3783"/>
      <w:bookmarkEnd w:id="3784"/>
      <w:bookmarkEnd w:id="3785"/>
      <w:bookmarkEnd w:id="3786"/>
      <w:bookmarkEnd w:id="3787"/>
      <w:bookmarkEnd w:id="3788"/>
    </w:p>
    <w:p w14:paraId="396F9219" w14:textId="77777777" w:rsidR="00665E33" w:rsidRDefault="00665E33" w:rsidP="00665E33">
      <w:pPr>
        <w:autoSpaceDE w:val="0"/>
        <w:autoSpaceDN w:val="0"/>
        <w:adjustRightInd w:val="0"/>
      </w:pPr>
      <w:r>
        <w:t xml:space="preserve">In all cases where criminal record or sex offender registration information would result in lease enforcement or eviction, </w:t>
      </w:r>
      <w:r w:rsidR="004870AB">
        <w:t>HHA</w:t>
      </w:r>
      <w:r>
        <w:t xml:space="preserve"> will notify the household in writing of the proposed adverse action and will provide the subject of the record and the tenant a copy of such information, and an opportunity to dispute the accuracy and relevance of the information before an eviction or lease enforcement action is taken.</w:t>
      </w:r>
    </w:p>
    <w:p w14:paraId="08449789" w14:textId="77777777" w:rsidR="00665E33" w:rsidRDefault="00665E33" w:rsidP="00665E33">
      <w:pPr>
        <w:autoSpaceDE w:val="0"/>
        <w:autoSpaceDN w:val="0"/>
        <w:adjustRightInd w:val="0"/>
      </w:pPr>
      <w:r>
        <w:t xml:space="preserve">The family will be given </w:t>
      </w:r>
      <w:r w:rsidR="0097360F">
        <w:t>15 calendar</w:t>
      </w:r>
      <w:r>
        <w:t xml:space="preserve"> days from the date of </w:t>
      </w:r>
      <w:r w:rsidR="004870AB">
        <w:t>HHA</w:t>
      </w:r>
      <w:r>
        <w:t xml:space="preserve"> notice, to dispute the accuracy and relevance of the information. If the family does not contact </w:t>
      </w:r>
      <w:r w:rsidR="004870AB">
        <w:t>HHA</w:t>
      </w:r>
      <w:r>
        <w:t xml:space="preserve"> to dispute the information within that </w:t>
      </w:r>
      <w:r w:rsidR="0097360F">
        <w:t>15-calendar</w:t>
      </w:r>
      <w:r w:rsidR="00181FF5">
        <w:t>-</w:t>
      </w:r>
      <w:r>
        <w:t xml:space="preserve">day period, </w:t>
      </w:r>
      <w:r w:rsidR="004870AB">
        <w:t>HHA</w:t>
      </w:r>
      <w:r>
        <w:t xml:space="preserve"> will proceed with the termination action.</w:t>
      </w:r>
    </w:p>
    <w:p w14:paraId="4A761D10" w14:textId="77777777" w:rsidR="00665E33" w:rsidRPr="00FF3539" w:rsidRDefault="00665E33" w:rsidP="00665E33">
      <w:pPr>
        <w:autoSpaceDE w:val="0"/>
        <w:autoSpaceDN w:val="0"/>
        <w:adjustRightInd w:val="0"/>
      </w:pPr>
      <w:r>
        <w:t xml:space="preserve">Should the tenant not exercise their right to dispute prior to any adverse action, the tenant still has the right to dispute in the grievance hearing or court trial. </w:t>
      </w:r>
    </w:p>
    <w:p w14:paraId="3045D4CB" w14:textId="77777777" w:rsidR="00665E33" w:rsidRPr="00122C89" w:rsidRDefault="00181FF5" w:rsidP="00665E33">
      <w:pPr>
        <w:pStyle w:val="Heading2"/>
      </w:pPr>
      <w:bookmarkStart w:id="3789" w:name="_Toc173222789"/>
      <w:bookmarkStart w:id="3790" w:name="_Toc200375870"/>
      <w:bookmarkStart w:id="3791" w:name="_Toc200377055"/>
      <w:r>
        <w:t>Lease Termination Notice</w:t>
      </w:r>
      <w:bookmarkEnd w:id="3789"/>
      <w:bookmarkEnd w:id="3790"/>
      <w:bookmarkEnd w:id="3791"/>
    </w:p>
    <w:p w14:paraId="02012B65" w14:textId="77777777" w:rsidR="00277557" w:rsidRDefault="00665E33" w:rsidP="00665E33">
      <w:pPr>
        <w:autoSpaceDE w:val="0"/>
        <w:autoSpaceDN w:val="0"/>
        <w:adjustRightInd w:val="0"/>
      </w:pPr>
      <w:r w:rsidRPr="0041167A">
        <w:t>Notices of lease termination must be in writing. The notice must state</w:t>
      </w:r>
      <w:r w:rsidR="00277557">
        <w:t>:</w:t>
      </w:r>
    </w:p>
    <w:p w14:paraId="01EA6549" w14:textId="77777777" w:rsidR="00277557" w:rsidRDefault="00277557" w:rsidP="007F177E">
      <w:pPr>
        <w:pStyle w:val="ListParagraph"/>
        <w:numPr>
          <w:ilvl w:val="3"/>
          <w:numId w:val="171"/>
        </w:numPr>
        <w:autoSpaceDE w:val="0"/>
        <w:autoSpaceDN w:val="0"/>
        <w:adjustRightInd w:val="0"/>
        <w:ind w:left="720"/>
        <w:contextualSpacing w:val="0"/>
      </w:pPr>
      <w:r>
        <w:t>T</w:t>
      </w:r>
      <w:r w:rsidR="00665E33" w:rsidRPr="0041167A">
        <w:t xml:space="preserve">he specific grounds for termination, </w:t>
      </w:r>
    </w:p>
    <w:p w14:paraId="183C5FB7" w14:textId="77777777" w:rsidR="00277557" w:rsidRDefault="00277557" w:rsidP="007F177E">
      <w:pPr>
        <w:pStyle w:val="ListParagraph"/>
        <w:numPr>
          <w:ilvl w:val="3"/>
          <w:numId w:val="171"/>
        </w:numPr>
        <w:autoSpaceDE w:val="0"/>
        <w:autoSpaceDN w:val="0"/>
        <w:adjustRightInd w:val="0"/>
        <w:ind w:left="720"/>
        <w:contextualSpacing w:val="0"/>
      </w:pPr>
      <w:r>
        <w:t>T</w:t>
      </w:r>
      <w:r w:rsidR="00665E33" w:rsidRPr="0041167A">
        <w:t xml:space="preserve">he date the termination will take place, </w:t>
      </w:r>
    </w:p>
    <w:p w14:paraId="5F30B0D0" w14:textId="77777777" w:rsidR="00277557" w:rsidRDefault="00277557" w:rsidP="007F177E">
      <w:pPr>
        <w:pStyle w:val="ListParagraph"/>
        <w:numPr>
          <w:ilvl w:val="3"/>
          <w:numId w:val="171"/>
        </w:numPr>
        <w:autoSpaceDE w:val="0"/>
        <w:autoSpaceDN w:val="0"/>
        <w:adjustRightInd w:val="0"/>
        <w:ind w:left="720"/>
        <w:contextualSpacing w:val="0"/>
      </w:pPr>
      <w:r>
        <w:t>T</w:t>
      </w:r>
      <w:r w:rsidR="00665E33" w:rsidRPr="0041167A">
        <w:t>he resident</w:t>
      </w:r>
      <w:r w:rsidR="00665E33">
        <w:t>’</w:t>
      </w:r>
      <w:r w:rsidR="00665E33" w:rsidRPr="0041167A">
        <w:t xml:space="preserve">s right to reply to the termination notice, and </w:t>
      </w:r>
    </w:p>
    <w:p w14:paraId="69FBFCC3" w14:textId="77777777" w:rsidR="00277557" w:rsidRDefault="00277557" w:rsidP="007F177E">
      <w:pPr>
        <w:pStyle w:val="ListParagraph"/>
        <w:numPr>
          <w:ilvl w:val="3"/>
          <w:numId w:val="171"/>
        </w:numPr>
        <w:autoSpaceDE w:val="0"/>
        <w:autoSpaceDN w:val="0"/>
        <w:adjustRightInd w:val="0"/>
        <w:ind w:left="720"/>
        <w:contextualSpacing w:val="0"/>
      </w:pPr>
      <w:r>
        <w:t>T</w:t>
      </w:r>
      <w:r w:rsidR="00665E33" w:rsidRPr="0041167A">
        <w:t>he resident</w:t>
      </w:r>
      <w:r w:rsidR="00665E33">
        <w:t>’</w:t>
      </w:r>
      <w:r w:rsidR="00665E33" w:rsidRPr="0041167A">
        <w:t xml:space="preserve">s right to examine </w:t>
      </w:r>
      <w:r w:rsidR="004870AB">
        <w:t>HHA</w:t>
      </w:r>
      <w:r w:rsidR="00665E33" w:rsidRPr="0041167A">
        <w:t xml:space="preserve"> documents directly relevant to the termination or eviction. </w:t>
      </w:r>
    </w:p>
    <w:p w14:paraId="031CAD5E" w14:textId="77777777" w:rsidR="00EC560A" w:rsidRDefault="00665E33" w:rsidP="00277557">
      <w:pPr>
        <w:autoSpaceDE w:val="0"/>
        <w:autoSpaceDN w:val="0"/>
        <w:adjustRightInd w:val="0"/>
      </w:pPr>
      <w:r w:rsidRPr="0041167A">
        <w:t xml:space="preserve">If </w:t>
      </w:r>
      <w:r w:rsidR="004870AB">
        <w:t>HHA</w:t>
      </w:r>
      <w:r w:rsidRPr="0041167A">
        <w:t xml:space="preserve"> does not make </w:t>
      </w:r>
      <w:r w:rsidRPr="009709BC">
        <w:t xml:space="preserve">the documents available for examination upon request by the resident, </w:t>
      </w:r>
      <w:r w:rsidR="004870AB">
        <w:t>HHA</w:t>
      </w:r>
      <w:r w:rsidRPr="009709BC">
        <w:t xml:space="preserve"> may not proceed with the eviction. </w:t>
      </w:r>
    </w:p>
    <w:p w14:paraId="41E1395F" w14:textId="77777777" w:rsidR="00EC560A" w:rsidRDefault="00EC560A" w:rsidP="00EC560A">
      <w:pPr>
        <w:pStyle w:val="Heading3"/>
      </w:pPr>
      <w:bookmarkStart w:id="3792" w:name="_Toc200375871"/>
      <w:r>
        <w:t>Grievance Hearings</w:t>
      </w:r>
      <w:bookmarkEnd w:id="3792"/>
    </w:p>
    <w:p w14:paraId="7862DA2F" w14:textId="77777777" w:rsidR="00665E33" w:rsidRDefault="00665E33" w:rsidP="00C550A1">
      <w:pPr>
        <w:autoSpaceDE w:val="0"/>
        <w:autoSpaceDN w:val="0"/>
        <w:adjustRightInd w:val="0"/>
      </w:pPr>
      <w:r w:rsidRPr="0041167A">
        <w:t xml:space="preserve">When </w:t>
      </w:r>
      <w:r w:rsidR="004870AB">
        <w:t>HHA</w:t>
      </w:r>
      <w:r w:rsidRPr="0041167A">
        <w:t xml:space="preserve"> is required to offer the resident an opportunity for a grievance hearing, the notice will also inform the resident of their right to request a hearing in accordance with </w:t>
      </w:r>
      <w:r w:rsidR="004870AB">
        <w:t>HHA</w:t>
      </w:r>
      <w:r>
        <w:t>’</w:t>
      </w:r>
      <w:r w:rsidRPr="0041167A">
        <w:t xml:space="preserve">s grievance procedure. In these cases, the tenancy shall not terminate until the time for the resident to request a grievance hearing has expired </w:t>
      </w:r>
      <w:r>
        <w:t>or</w:t>
      </w:r>
      <w:r w:rsidRPr="0041167A">
        <w:t xml:space="preserve"> the grievance procedure has been completed. </w:t>
      </w:r>
    </w:p>
    <w:p w14:paraId="035933C4" w14:textId="1A230664" w:rsidR="00665E33" w:rsidRDefault="00FB1B4B" w:rsidP="00C550A1">
      <w:pPr>
        <w:autoSpaceDE w:val="0"/>
        <w:autoSpaceDN w:val="0"/>
        <w:adjustRightInd w:val="0"/>
        <w:spacing w:after="200" w:line="276" w:lineRule="auto"/>
      </w:pPr>
      <w:r>
        <w:t xml:space="preserve">However, there are some circumstances in which HHA is not required to </w:t>
      </w:r>
      <w:r w:rsidR="000D24BB">
        <w:t>a grievance hearing</w:t>
      </w:r>
      <w:r w:rsidR="00CD4ACE">
        <w:t xml:space="preserve"> </w:t>
      </w:r>
      <w:r w:rsidR="00665E33" w:rsidRPr="0041167A">
        <w:t>because HUD has made a due process determination and the lease termination is for criminal activity that threatens the health, safety or the right to peaceful enjoyment or for drug-related criminal activity</w:t>
      </w:r>
      <w:r w:rsidR="004F7A07">
        <w:t>. See</w:t>
      </w:r>
      <w:r w:rsidR="00080DA2">
        <w:t xml:space="preserve"> </w:t>
      </w:r>
      <w:r w:rsidR="00080DA2" w:rsidRPr="00080DA2">
        <w:rPr>
          <w:color w:val="0070C0"/>
        </w:rPr>
        <w:fldChar w:fldCharType="begin"/>
      </w:r>
      <w:r w:rsidR="00080DA2" w:rsidRPr="00080DA2">
        <w:rPr>
          <w:color w:val="0070C0"/>
        </w:rPr>
        <w:instrText xml:space="preserve"> REF GrievanceApplicability \h  \* MERGEFORMAT </w:instrText>
      </w:r>
      <w:r w:rsidR="00080DA2" w:rsidRPr="00080DA2">
        <w:rPr>
          <w:color w:val="0070C0"/>
        </w:rPr>
      </w:r>
      <w:r w:rsidR="00080DA2" w:rsidRPr="00080DA2">
        <w:rPr>
          <w:color w:val="0070C0"/>
        </w:rPr>
        <w:fldChar w:fldCharType="separate"/>
      </w:r>
      <w:r w:rsidR="00080DA2" w:rsidRPr="00080DA2">
        <w:rPr>
          <w:rFonts w:cs="Arial"/>
          <w:b/>
          <w:color w:val="0070C0"/>
        </w:rPr>
        <w:t>Applicability</w:t>
      </w:r>
      <w:r w:rsidR="00080DA2" w:rsidRPr="00080DA2">
        <w:rPr>
          <w:color w:val="0070C0"/>
        </w:rPr>
        <w:fldChar w:fldCharType="end"/>
      </w:r>
      <w:r w:rsidR="00080DA2" w:rsidRPr="00080DA2">
        <w:t>,</w:t>
      </w:r>
      <w:r w:rsidR="00994C58">
        <w:t xml:space="preserve"> </w:t>
      </w:r>
      <w:r w:rsidR="00994C58" w:rsidRPr="00AE7843">
        <w:rPr>
          <w:b/>
          <w:bCs/>
          <w:color w:val="0070C0"/>
        </w:rPr>
        <w:fldChar w:fldCharType="begin"/>
      </w:r>
      <w:r w:rsidR="00994C58" w:rsidRPr="00AE7843">
        <w:rPr>
          <w:b/>
          <w:bCs/>
          <w:color w:val="0070C0"/>
        </w:rPr>
        <w:instrText xml:space="preserve"> REF _Ref150760024 \h </w:instrText>
      </w:r>
      <w:r w:rsidR="00AE7843" w:rsidRPr="00AE7843">
        <w:rPr>
          <w:b/>
          <w:bCs/>
          <w:color w:val="0070C0"/>
        </w:rPr>
        <w:instrText xml:space="preserve"> \* MERGEFORMAT </w:instrText>
      </w:r>
      <w:r w:rsidR="00994C58" w:rsidRPr="00AE7843">
        <w:rPr>
          <w:b/>
          <w:bCs/>
          <w:color w:val="0070C0"/>
        </w:rPr>
      </w:r>
      <w:r w:rsidR="00994C58" w:rsidRPr="00AE7843">
        <w:rPr>
          <w:b/>
          <w:bCs/>
          <w:color w:val="0070C0"/>
        </w:rPr>
        <w:fldChar w:fldCharType="separate"/>
      </w:r>
      <w:r w:rsidR="00994C58" w:rsidRPr="00AE7843">
        <w:rPr>
          <w:b/>
          <w:bCs/>
          <w:color w:val="0070C0"/>
        </w:rPr>
        <w:t>APPENDIX D: GRIEVANCE POLICY</w:t>
      </w:r>
      <w:r w:rsidR="00994C58" w:rsidRPr="00AE7843">
        <w:rPr>
          <w:b/>
          <w:bCs/>
          <w:color w:val="0070C0"/>
        </w:rPr>
        <w:fldChar w:fldCharType="end"/>
      </w:r>
      <w:r w:rsidR="00AE7843">
        <w:t>.</w:t>
      </w:r>
      <w:r w:rsidR="00665E33" w:rsidRPr="0041167A">
        <w:t xml:space="preserve"> </w:t>
      </w:r>
      <w:r w:rsidR="00C550A1">
        <w:t xml:space="preserve">For these cases, </w:t>
      </w:r>
      <w:r w:rsidR="00665E33" w:rsidRPr="0041167A">
        <w:t xml:space="preserve">the notice of lease termination </w:t>
      </w:r>
      <w:r w:rsidR="00D40901">
        <w:t>will follow the requirements outlined in 24 CFR 966.4(l)(3)</w:t>
      </w:r>
      <w:r w:rsidR="00CF42E6">
        <w:t>(v)</w:t>
      </w:r>
      <w:r w:rsidR="00665E33" w:rsidRPr="0041167A">
        <w:t>.</w:t>
      </w:r>
      <w:r w:rsidR="005B2974">
        <w:t xml:space="preserve">  </w:t>
      </w:r>
    </w:p>
    <w:p w14:paraId="10238EE4" w14:textId="77777777" w:rsidR="001604FD" w:rsidRDefault="001604FD" w:rsidP="001604FD">
      <w:pPr>
        <w:pStyle w:val="Heading3"/>
      </w:pPr>
      <w:bookmarkStart w:id="3793" w:name="_Toc200375872"/>
      <w:r>
        <w:t>Serving the Termination Notice</w:t>
      </w:r>
      <w:bookmarkEnd w:id="3793"/>
    </w:p>
    <w:p w14:paraId="3F2D8C82" w14:textId="77777777" w:rsidR="00665E33" w:rsidRDefault="004870AB" w:rsidP="00665E33">
      <w:pPr>
        <w:autoSpaceDE w:val="0"/>
        <w:autoSpaceDN w:val="0"/>
        <w:adjustRightInd w:val="0"/>
      </w:pPr>
      <w:r>
        <w:t>HHA</w:t>
      </w:r>
      <w:r w:rsidR="00665E33">
        <w:t xml:space="preserve"> will attempt to deliver notices of lease termination directly to the tenant or an adult member of the household. If such attempt fails, the notice will be sent by first-class mail the same day.</w:t>
      </w:r>
    </w:p>
    <w:p w14:paraId="51741C3C" w14:textId="77777777" w:rsidR="00665E33" w:rsidRDefault="00665E33" w:rsidP="00665E33">
      <w:pPr>
        <w:autoSpaceDE w:val="0"/>
        <w:autoSpaceDN w:val="0"/>
        <w:adjustRightInd w:val="0"/>
      </w:pPr>
      <w:r>
        <w:t>All notices of lease termination will include</w:t>
      </w:r>
      <w:r w:rsidR="00143080">
        <w:t xml:space="preserve"> copies of documents required under the</w:t>
      </w:r>
      <w:r>
        <w:t xml:space="preserve"> </w:t>
      </w:r>
      <w:r w:rsidR="00FE4CD4" w:rsidRPr="00143080">
        <w:rPr>
          <w:b/>
          <w:bCs/>
          <w:color w:val="0070C0"/>
        </w:rPr>
        <w:fldChar w:fldCharType="begin"/>
      </w:r>
      <w:r w:rsidR="00FE4CD4" w:rsidRPr="00143080">
        <w:rPr>
          <w:b/>
          <w:bCs/>
          <w:color w:val="0070C0"/>
        </w:rPr>
        <w:instrText xml:space="preserve"> REF VAWANotifications \h  \* MERGEFORMAT </w:instrText>
      </w:r>
      <w:r w:rsidR="00FE4CD4" w:rsidRPr="00143080">
        <w:rPr>
          <w:b/>
          <w:bCs/>
          <w:color w:val="0070C0"/>
        </w:rPr>
      </w:r>
      <w:r w:rsidR="00FE4CD4" w:rsidRPr="00143080">
        <w:rPr>
          <w:b/>
          <w:bCs/>
          <w:color w:val="0070C0"/>
        </w:rPr>
        <w:fldChar w:fldCharType="separate"/>
      </w:r>
      <w:r w:rsidR="00FE4CD4" w:rsidRPr="00143080">
        <w:rPr>
          <w:b/>
          <w:bCs/>
          <w:color w:val="0070C0"/>
        </w:rPr>
        <w:t>Notifications Provided</w:t>
      </w:r>
      <w:r w:rsidR="00FE4CD4" w:rsidRPr="00143080">
        <w:rPr>
          <w:b/>
          <w:bCs/>
          <w:color w:val="0070C0"/>
        </w:rPr>
        <w:fldChar w:fldCharType="end"/>
      </w:r>
      <w:r w:rsidR="00143080">
        <w:t xml:space="preserve"> section of </w:t>
      </w:r>
      <w:r w:rsidR="00F65924" w:rsidRPr="00F65924">
        <w:rPr>
          <w:b/>
          <w:bCs/>
          <w:color w:val="0070C0"/>
        </w:rPr>
        <w:fldChar w:fldCharType="begin"/>
      </w:r>
      <w:r w:rsidR="00F65924" w:rsidRPr="00F65924">
        <w:rPr>
          <w:b/>
          <w:bCs/>
          <w:color w:val="0070C0"/>
        </w:rPr>
        <w:instrText xml:space="preserve"> REF _Ref144993796 \h  \* MERGEFORMAT </w:instrText>
      </w:r>
      <w:r w:rsidR="00F65924" w:rsidRPr="00F65924">
        <w:rPr>
          <w:b/>
          <w:bCs/>
          <w:color w:val="0070C0"/>
        </w:rPr>
      </w:r>
      <w:r w:rsidR="00F65924" w:rsidRPr="00F65924">
        <w:rPr>
          <w:b/>
          <w:bCs/>
          <w:color w:val="0070C0"/>
        </w:rPr>
        <w:fldChar w:fldCharType="separate"/>
      </w:r>
      <w:r w:rsidR="00F65924" w:rsidRPr="00F65924">
        <w:rPr>
          <w:b/>
          <w:bCs/>
          <w:color w:val="0070C0"/>
        </w:rPr>
        <w:t>APPENDIX C: VIOLENCE AGAINST WOMEN ACT (VAWA) POLICY</w:t>
      </w:r>
      <w:r w:rsidR="00F65924" w:rsidRPr="00F65924">
        <w:rPr>
          <w:b/>
          <w:bCs/>
          <w:color w:val="0070C0"/>
        </w:rPr>
        <w:fldChar w:fldCharType="end"/>
      </w:r>
      <w:r>
        <w:t>.</w:t>
      </w:r>
      <w:r w:rsidR="006F24BD">
        <w:t xml:space="preserve"> </w:t>
      </w:r>
    </w:p>
    <w:p w14:paraId="6E6C0ECC" w14:textId="77777777" w:rsidR="00665E33" w:rsidRDefault="00665E33" w:rsidP="00677451">
      <w:pPr>
        <w:pStyle w:val="Heading3"/>
      </w:pPr>
      <w:bookmarkStart w:id="3794" w:name="_Toc106038047"/>
      <w:bookmarkStart w:id="3795" w:name="_Toc106201686"/>
      <w:bookmarkStart w:id="3796" w:name="_Toc106202205"/>
      <w:bookmarkStart w:id="3797" w:name="_Toc106202731"/>
      <w:bookmarkStart w:id="3798" w:name="_Toc113345187"/>
      <w:bookmarkStart w:id="3799" w:name="_Toc137461931"/>
      <w:bookmarkStart w:id="3800" w:name="_Toc137471522"/>
      <w:bookmarkStart w:id="3801" w:name="_Toc137472031"/>
      <w:bookmarkStart w:id="3802" w:name="_Toc200375873"/>
      <w:r>
        <w:t>Timing of the Notice</w:t>
      </w:r>
      <w:bookmarkEnd w:id="3794"/>
      <w:bookmarkEnd w:id="3795"/>
      <w:bookmarkEnd w:id="3796"/>
      <w:bookmarkEnd w:id="3797"/>
      <w:bookmarkEnd w:id="3798"/>
      <w:bookmarkEnd w:id="3799"/>
      <w:bookmarkEnd w:id="3800"/>
      <w:bookmarkEnd w:id="3801"/>
      <w:bookmarkEnd w:id="3802"/>
    </w:p>
    <w:p w14:paraId="5BEB60A3" w14:textId="74C60E7E" w:rsidR="003701D8" w:rsidRDefault="003701D8" w:rsidP="003701D8">
      <w:pPr>
        <w:autoSpaceDE w:val="0"/>
        <w:autoSpaceDN w:val="0"/>
        <w:adjustRightInd w:val="0"/>
      </w:pPr>
      <w:r>
        <w:t>In the following cases, HHA will give written notice with a reasonable period of time considering the seriousness of the situation (</w:t>
      </w:r>
      <w:r w:rsidR="00556539">
        <w:t xml:space="preserve">minimum of three (3) calendar days </w:t>
      </w:r>
      <w:r>
        <w:t>but not to exceed 30 calendar days)</w:t>
      </w:r>
      <w:r w:rsidR="003A33CE">
        <w:t>:</w:t>
      </w:r>
    </w:p>
    <w:p w14:paraId="6FE733DD" w14:textId="77777777" w:rsidR="003701D8" w:rsidRDefault="003701D8" w:rsidP="007F177E">
      <w:pPr>
        <w:pStyle w:val="ListParagraph"/>
        <w:numPr>
          <w:ilvl w:val="0"/>
          <w:numId w:val="294"/>
        </w:numPr>
        <w:autoSpaceDE w:val="0"/>
        <w:autoSpaceDN w:val="0"/>
        <w:adjustRightInd w:val="0"/>
        <w:contextualSpacing w:val="0"/>
      </w:pPr>
      <w:r>
        <w:t xml:space="preserve">If the health or safety of other residents, </w:t>
      </w:r>
      <w:r w:rsidR="003A33CE">
        <w:t>H</w:t>
      </w:r>
      <w:r>
        <w:t>HA employees, or persons residing in the immediate vicinity of the premises is threatened</w:t>
      </w:r>
      <w:r w:rsidR="003A33CE">
        <w:t>;</w:t>
      </w:r>
    </w:p>
    <w:p w14:paraId="13BD9FA5" w14:textId="77777777" w:rsidR="003701D8" w:rsidRDefault="003701D8" w:rsidP="007F177E">
      <w:pPr>
        <w:pStyle w:val="ListParagraph"/>
        <w:numPr>
          <w:ilvl w:val="0"/>
          <w:numId w:val="294"/>
        </w:numPr>
        <w:autoSpaceDE w:val="0"/>
        <w:autoSpaceDN w:val="0"/>
        <w:adjustRightInd w:val="0"/>
        <w:contextualSpacing w:val="0"/>
      </w:pPr>
      <w:r>
        <w:t>If any member of the household has engaged in any drug-related criminal activity or violent criminal activity</w:t>
      </w:r>
      <w:r w:rsidR="003A33CE">
        <w:t>; and/or</w:t>
      </w:r>
    </w:p>
    <w:p w14:paraId="6CA2483E" w14:textId="77777777" w:rsidR="003701D8" w:rsidRDefault="003701D8" w:rsidP="007F177E">
      <w:pPr>
        <w:pStyle w:val="ListParagraph"/>
        <w:numPr>
          <w:ilvl w:val="0"/>
          <w:numId w:val="294"/>
        </w:numPr>
        <w:autoSpaceDE w:val="0"/>
        <w:autoSpaceDN w:val="0"/>
        <w:adjustRightInd w:val="0"/>
        <w:contextualSpacing w:val="0"/>
      </w:pPr>
      <w:r>
        <w:t>If any member of the household has been convicted of a felony</w:t>
      </w:r>
      <w:r w:rsidR="003A33CE">
        <w:t>.</w:t>
      </w:r>
    </w:p>
    <w:p w14:paraId="28BA616B" w14:textId="3134085A" w:rsidR="00665E33" w:rsidRDefault="00665E33" w:rsidP="003701D8">
      <w:pPr>
        <w:autoSpaceDE w:val="0"/>
        <w:autoSpaceDN w:val="0"/>
        <w:adjustRightInd w:val="0"/>
      </w:pPr>
      <w:r>
        <w:t xml:space="preserve">For all other lease terminations, </w:t>
      </w:r>
      <w:r w:rsidR="00556539">
        <w:t xml:space="preserve">including nonpayment of rent, </w:t>
      </w:r>
      <w:r w:rsidR="004870AB">
        <w:t>HHA</w:t>
      </w:r>
      <w:r>
        <w:t xml:space="preserve"> will give 30 days’ written notice</w:t>
      </w:r>
      <w:r w:rsidR="00556539">
        <w:t>.</w:t>
      </w:r>
      <w:r>
        <w:t xml:space="preserve"> </w:t>
      </w:r>
    </w:p>
    <w:p w14:paraId="1138191F" w14:textId="77777777" w:rsidR="00665E33" w:rsidRPr="002969DA" w:rsidRDefault="00665E33" w:rsidP="003701D8">
      <w:pPr>
        <w:autoSpaceDE w:val="0"/>
        <w:autoSpaceDN w:val="0"/>
        <w:adjustRightInd w:val="0"/>
      </w:pPr>
      <w:r>
        <w:t>The Notice to Vacate that may be required under state or local law may be combined with or run concurrently with the notice of lease termination.</w:t>
      </w:r>
    </w:p>
    <w:p w14:paraId="3028662C" w14:textId="77777777" w:rsidR="00665E33" w:rsidRDefault="00665E33" w:rsidP="00677451">
      <w:pPr>
        <w:pStyle w:val="Heading3"/>
      </w:pPr>
      <w:bookmarkStart w:id="3803" w:name="_Toc106038048"/>
      <w:bookmarkStart w:id="3804" w:name="_Toc106201687"/>
      <w:bookmarkStart w:id="3805" w:name="_Toc106202206"/>
      <w:bookmarkStart w:id="3806" w:name="_Toc106202732"/>
      <w:bookmarkStart w:id="3807" w:name="_Toc113345188"/>
      <w:bookmarkStart w:id="3808" w:name="_Toc137461932"/>
      <w:bookmarkStart w:id="3809" w:name="_Toc137471523"/>
      <w:bookmarkStart w:id="3810" w:name="_Toc137472032"/>
      <w:bookmarkStart w:id="3811" w:name="_Toc200375874"/>
      <w:r>
        <w:t>Notice of Nonrenewal Due to Community Service Noncompliance</w:t>
      </w:r>
      <w:bookmarkEnd w:id="3803"/>
      <w:bookmarkEnd w:id="3804"/>
      <w:bookmarkEnd w:id="3805"/>
      <w:bookmarkEnd w:id="3806"/>
      <w:bookmarkEnd w:id="3807"/>
      <w:bookmarkEnd w:id="3808"/>
      <w:bookmarkEnd w:id="3809"/>
      <w:bookmarkEnd w:id="3810"/>
      <w:bookmarkEnd w:id="3811"/>
    </w:p>
    <w:p w14:paraId="18E46A66" w14:textId="085900D3" w:rsidR="00665E33" w:rsidRDefault="00665E33" w:rsidP="00665E33">
      <w:pPr>
        <w:autoSpaceDE w:val="0"/>
        <w:autoSpaceDN w:val="0"/>
        <w:adjustRightInd w:val="0"/>
      </w:pPr>
      <w:r>
        <w:t xml:space="preserve">When </w:t>
      </w:r>
      <w:r w:rsidR="004870AB">
        <w:t>HHA</w:t>
      </w:r>
      <w:r>
        <w:t xml:space="preserve"> finds that a family is in noncompliance with the </w:t>
      </w:r>
      <w:r w:rsidR="00EC5EB0" w:rsidRPr="00EC5EB0">
        <w:rPr>
          <w:b/>
          <w:bCs/>
          <w:color w:val="0070C0"/>
        </w:rPr>
        <w:fldChar w:fldCharType="begin"/>
      </w:r>
      <w:r w:rsidR="00EC5EB0" w:rsidRPr="00EC5EB0">
        <w:rPr>
          <w:b/>
          <w:bCs/>
          <w:color w:val="0070C0"/>
        </w:rPr>
        <w:instrText xml:space="preserve"> REF _Ref150424972 \h  \* MERGEFORMAT </w:instrText>
      </w:r>
      <w:r w:rsidR="00EC5EB0" w:rsidRPr="00EC5EB0">
        <w:rPr>
          <w:b/>
          <w:bCs/>
          <w:color w:val="0070C0"/>
        </w:rPr>
      </w:r>
      <w:r w:rsidR="00EC5EB0" w:rsidRPr="00EC5EB0">
        <w:rPr>
          <w:b/>
          <w:bCs/>
          <w:color w:val="0070C0"/>
        </w:rPr>
        <w:fldChar w:fldCharType="separate"/>
      </w:r>
      <w:r w:rsidR="00EC5EB0" w:rsidRPr="00EC5EB0">
        <w:rPr>
          <w:b/>
          <w:bCs/>
          <w:color w:val="0070C0"/>
        </w:rPr>
        <w:t>COMMUNITY SERVICE</w:t>
      </w:r>
      <w:r w:rsidR="00EC5EB0" w:rsidRPr="00EC5EB0">
        <w:rPr>
          <w:b/>
          <w:bCs/>
          <w:color w:val="0070C0"/>
        </w:rPr>
        <w:fldChar w:fldCharType="end"/>
      </w:r>
      <w:r>
        <w:t xml:space="preserve"> requirement, the tenant and any other noncompliant resident must be notified in writing of this determination.</w:t>
      </w:r>
    </w:p>
    <w:p w14:paraId="0DD27851" w14:textId="77777777" w:rsidR="00665E33" w:rsidRDefault="00665E33" w:rsidP="00665E33">
      <w:pPr>
        <w:autoSpaceDE w:val="0"/>
        <w:autoSpaceDN w:val="0"/>
        <w:adjustRightInd w:val="0"/>
      </w:pPr>
      <w:r w:rsidRPr="00401475">
        <w:t xml:space="preserve">If </w:t>
      </w:r>
      <w:r>
        <w:t xml:space="preserve">after receiving a notice of initial noncompliance </w:t>
      </w:r>
      <w:r w:rsidRPr="00401475">
        <w:t>the family does not request a grievance hearing, or does not take</w:t>
      </w:r>
      <w:r w:rsidR="005D2345">
        <w:t xml:space="preserve"> </w:t>
      </w:r>
      <w:r w:rsidRPr="00401475">
        <w:t xml:space="preserve">either corrective action required by the notice </w:t>
      </w:r>
      <w:r>
        <w:t>w</w:t>
      </w:r>
      <w:r w:rsidRPr="00401475">
        <w:t xml:space="preserve">ithin the required timeframe, </w:t>
      </w:r>
      <w:r>
        <w:t>a termination notice will be issued in accordance with the policies above.</w:t>
      </w:r>
    </w:p>
    <w:p w14:paraId="5E5E63D0" w14:textId="77777777" w:rsidR="00665E33" w:rsidRPr="0041167A" w:rsidRDefault="00665E33" w:rsidP="00665E33">
      <w:pPr>
        <w:autoSpaceDE w:val="0"/>
        <w:autoSpaceDN w:val="0"/>
        <w:adjustRightInd w:val="0"/>
      </w:pPr>
      <w:r>
        <w:t>If a family agreed to cure initial noncompliance by signing an agreement and is still in noncompliance after being provided the 12-month opportunity to cure, the family will be issued a notice of continued noncompliance</w:t>
      </w:r>
      <w:r w:rsidR="00387C60">
        <w:t xml:space="preserve"> and will also serve as the notice of termination of tenancy</w:t>
      </w:r>
      <w:r>
        <w:t>.</w:t>
      </w:r>
    </w:p>
    <w:p w14:paraId="6627F8BA" w14:textId="77777777" w:rsidR="00665E33" w:rsidRDefault="00665E33" w:rsidP="00677451">
      <w:pPr>
        <w:pStyle w:val="Heading3"/>
      </w:pPr>
      <w:bookmarkStart w:id="3812" w:name="_Toc106038049"/>
      <w:bookmarkStart w:id="3813" w:name="_Toc106201688"/>
      <w:bookmarkStart w:id="3814" w:name="_Toc106202207"/>
      <w:bookmarkStart w:id="3815" w:name="_Toc106202733"/>
      <w:bookmarkStart w:id="3816" w:name="_Toc113345189"/>
      <w:bookmarkStart w:id="3817" w:name="_Toc137461933"/>
      <w:bookmarkStart w:id="3818" w:name="_Toc137471524"/>
      <w:bookmarkStart w:id="3819" w:name="_Toc137472033"/>
      <w:bookmarkStart w:id="3820" w:name="_Toc200375875"/>
      <w:r>
        <w:t>Notice of Termination Based on Citizenship Status</w:t>
      </w:r>
      <w:bookmarkEnd w:id="3812"/>
      <w:bookmarkEnd w:id="3813"/>
      <w:bookmarkEnd w:id="3814"/>
      <w:bookmarkEnd w:id="3815"/>
      <w:bookmarkEnd w:id="3816"/>
      <w:bookmarkEnd w:id="3817"/>
      <w:bookmarkEnd w:id="3818"/>
      <w:bookmarkEnd w:id="3819"/>
      <w:bookmarkEnd w:id="3820"/>
    </w:p>
    <w:p w14:paraId="267DF36E" w14:textId="77777777" w:rsidR="00665E33" w:rsidRPr="006A0A1B" w:rsidRDefault="00665E33" w:rsidP="00DC48F7">
      <w:pPr>
        <w:rPr>
          <w:spacing w:val="-6"/>
        </w:rPr>
      </w:pPr>
      <w:r w:rsidRPr="006A0A1B">
        <w:rPr>
          <w:spacing w:val="-6"/>
        </w:rPr>
        <w:t>In cases where termination of tenancy is based on citizenship status, HUD requires the notice of termination to contain additional information. In addition to advising the family of the reasons their assistance is being terminated, the notice must also advise the family of any of the following that apply:</w:t>
      </w:r>
    </w:p>
    <w:p w14:paraId="48F0801A" w14:textId="77777777" w:rsidR="00665E33" w:rsidRPr="00575712" w:rsidRDefault="00665E33" w:rsidP="007F177E">
      <w:pPr>
        <w:pStyle w:val="ListParagraph"/>
        <w:numPr>
          <w:ilvl w:val="0"/>
          <w:numId w:val="295"/>
        </w:numPr>
        <w:contextualSpacing w:val="0"/>
        <w:rPr>
          <w:rFonts w:cs="Arial"/>
          <w:szCs w:val="20"/>
        </w:rPr>
      </w:pPr>
      <w:r>
        <w:t xml:space="preserve">The family’s eligibility for proration of assistance, </w:t>
      </w:r>
    </w:p>
    <w:p w14:paraId="4D6F47AD" w14:textId="77777777" w:rsidR="00665E33" w:rsidRPr="006A0A1B" w:rsidRDefault="00665E33" w:rsidP="007F177E">
      <w:pPr>
        <w:pStyle w:val="ListParagraph"/>
        <w:numPr>
          <w:ilvl w:val="0"/>
          <w:numId w:val="295"/>
        </w:numPr>
        <w:contextualSpacing w:val="0"/>
        <w:rPr>
          <w:rFonts w:cs="Arial"/>
          <w:spacing w:val="-6"/>
          <w:szCs w:val="20"/>
        </w:rPr>
      </w:pPr>
      <w:r w:rsidRPr="006A0A1B">
        <w:rPr>
          <w:spacing w:val="-6"/>
        </w:rPr>
        <w:t xml:space="preserve">The criteria and procedures for obtaining relief under the provisions for preservation of families, </w:t>
      </w:r>
    </w:p>
    <w:p w14:paraId="411D96B5" w14:textId="77777777" w:rsidR="00665E33" w:rsidRPr="00575712" w:rsidRDefault="00665E33" w:rsidP="007F177E">
      <w:pPr>
        <w:pStyle w:val="ListParagraph"/>
        <w:numPr>
          <w:ilvl w:val="0"/>
          <w:numId w:val="295"/>
        </w:numPr>
        <w:contextualSpacing w:val="0"/>
        <w:rPr>
          <w:rFonts w:cs="Arial"/>
          <w:szCs w:val="20"/>
        </w:rPr>
      </w:pPr>
      <w:r>
        <w:t xml:space="preserve">The family’s right to request an appeal to the USCIS of the results of secondary verification of immigration status and to submit additional documentation or a written explanation in support of the appeal, and </w:t>
      </w:r>
    </w:p>
    <w:p w14:paraId="272B75F2" w14:textId="77777777" w:rsidR="00665E33" w:rsidRPr="00291A74" w:rsidRDefault="00665E33" w:rsidP="007F177E">
      <w:pPr>
        <w:pStyle w:val="ListParagraph"/>
        <w:numPr>
          <w:ilvl w:val="0"/>
          <w:numId w:val="295"/>
        </w:numPr>
        <w:contextualSpacing w:val="0"/>
        <w:rPr>
          <w:rFonts w:cs="Arial"/>
          <w:spacing w:val="-6"/>
          <w:szCs w:val="20"/>
        </w:rPr>
      </w:pPr>
      <w:r w:rsidRPr="006A0A1B">
        <w:rPr>
          <w:spacing w:val="-6"/>
        </w:rPr>
        <w:t xml:space="preserve">The family’s right to request an informal hearing (see </w:t>
      </w:r>
      <w:r w:rsidR="00DC48F7" w:rsidRPr="006A0A1B">
        <w:rPr>
          <w:b/>
          <w:bCs/>
          <w:color w:val="0070C0"/>
          <w:spacing w:val="-6"/>
        </w:rPr>
        <w:fldChar w:fldCharType="begin"/>
      </w:r>
      <w:r w:rsidR="00DC48F7" w:rsidRPr="006A0A1B">
        <w:rPr>
          <w:b/>
          <w:bCs/>
          <w:color w:val="0070C0"/>
          <w:spacing w:val="-6"/>
        </w:rPr>
        <w:instrText xml:space="preserve"> REF _Ref488210310 \h  \* MERGEFORMAT </w:instrText>
      </w:r>
      <w:r w:rsidR="00DC48F7" w:rsidRPr="006A0A1B">
        <w:rPr>
          <w:b/>
          <w:bCs/>
          <w:color w:val="0070C0"/>
          <w:spacing w:val="-6"/>
        </w:rPr>
      </w:r>
      <w:r w:rsidR="00DC48F7" w:rsidRPr="006A0A1B">
        <w:rPr>
          <w:b/>
          <w:bCs/>
          <w:color w:val="0070C0"/>
          <w:spacing w:val="-6"/>
        </w:rPr>
        <w:fldChar w:fldCharType="separate"/>
      </w:r>
      <w:r w:rsidR="00DC48F7" w:rsidRPr="006A0A1B">
        <w:rPr>
          <w:b/>
          <w:bCs/>
          <w:color w:val="0070C0"/>
          <w:spacing w:val="-6"/>
        </w:rPr>
        <w:t>Hearings and Appeals for Noncitizens</w:t>
      </w:r>
      <w:r w:rsidR="00DC48F7" w:rsidRPr="006A0A1B">
        <w:rPr>
          <w:b/>
          <w:bCs/>
          <w:color w:val="0070C0"/>
          <w:spacing w:val="-6"/>
        </w:rPr>
        <w:fldChar w:fldCharType="end"/>
      </w:r>
      <w:r w:rsidRPr="006A0A1B">
        <w:rPr>
          <w:spacing w:val="-6"/>
        </w:rPr>
        <w:t xml:space="preserve">) with </w:t>
      </w:r>
      <w:r w:rsidR="004870AB" w:rsidRPr="006A0A1B">
        <w:rPr>
          <w:spacing w:val="-6"/>
        </w:rPr>
        <w:t>HHA</w:t>
      </w:r>
      <w:r w:rsidRPr="006A0A1B">
        <w:rPr>
          <w:spacing w:val="-6"/>
        </w:rPr>
        <w:t xml:space="preserve"> either upon completion of the USCIS appeal or in lieu of the USCIS appeal.</w:t>
      </w:r>
    </w:p>
    <w:p w14:paraId="495896BC" w14:textId="77777777" w:rsidR="00291A74" w:rsidRDefault="00291A74" w:rsidP="00520E89">
      <w:pPr>
        <w:pStyle w:val="Heading3"/>
      </w:pPr>
      <w:bookmarkStart w:id="3821" w:name="_Toc200375876"/>
      <w:r>
        <w:t>Notice of Termination Based on Over-Income Status</w:t>
      </w:r>
      <w:bookmarkEnd w:id="3821"/>
    </w:p>
    <w:p w14:paraId="669B919F" w14:textId="77777777" w:rsidR="00291A74" w:rsidRPr="00520E89" w:rsidRDefault="00291A74" w:rsidP="00291A74">
      <w:pPr>
        <w:rPr>
          <w:rFonts w:cs="Arial"/>
          <w:szCs w:val="20"/>
        </w:rPr>
      </w:pPr>
      <w:r w:rsidRPr="00520E89">
        <w:rPr>
          <w:rFonts w:cs="Arial"/>
          <w:szCs w:val="20"/>
        </w:rPr>
        <w:t xml:space="preserve">In cases where termination of tenancy is based on over-income status, HHA will follow the requirements under </w:t>
      </w:r>
      <w:r w:rsidR="00C87535" w:rsidRPr="00520E89">
        <w:rPr>
          <w:rFonts w:cs="Arial"/>
          <w:b/>
          <w:bCs/>
          <w:color w:val="0070C0"/>
          <w:szCs w:val="20"/>
        </w:rPr>
        <w:fldChar w:fldCharType="begin"/>
      </w:r>
      <w:r w:rsidR="00C87535" w:rsidRPr="00520E89">
        <w:rPr>
          <w:rFonts w:cs="Arial"/>
          <w:b/>
          <w:bCs/>
          <w:color w:val="0070C0"/>
          <w:szCs w:val="20"/>
        </w:rPr>
        <w:instrText xml:space="preserve"> REF _Ref163733079 \h </w:instrText>
      </w:r>
      <w:r w:rsidR="00520E89" w:rsidRPr="00520E89">
        <w:rPr>
          <w:rFonts w:cs="Arial"/>
          <w:b/>
          <w:bCs/>
          <w:color w:val="0070C0"/>
          <w:szCs w:val="20"/>
        </w:rPr>
        <w:instrText xml:space="preserve"> \* MERGEFORMAT </w:instrText>
      </w:r>
      <w:r w:rsidR="00C87535" w:rsidRPr="00520E89">
        <w:rPr>
          <w:rFonts w:cs="Arial"/>
          <w:b/>
          <w:bCs/>
          <w:color w:val="0070C0"/>
          <w:szCs w:val="20"/>
        </w:rPr>
      </w:r>
      <w:r w:rsidR="00C87535" w:rsidRPr="00520E89">
        <w:rPr>
          <w:rFonts w:cs="Arial"/>
          <w:b/>
          <w:bCs/>
          <w:color w:val="0070C0"/>
          <w:szCs w:val="20"/>
        </w:rPr>
        <w:fldChar w:fldCharType="separate"/>
      </w:r>
      <w:r w:rsidR="00C87535" w:rsidRPr="00520E89">
        <w:rPr>
          <w:b/>
          <w:bCs/>
          <w:color w:val="0070C0"/>
        </w:rPr>
        <w:t>Notification Requirements</w:t>
      </w:r>
      <w:r w:rsidR="00C87535" w:rsidRPr="00520E89">
        <w:rPr>
          <w:rFonts w:cs="Arial"/>
          <w:b/>
          <w:bCs/>
          <w:color w:val="0070C0"/>
          <w:szCs w:val="20"/>
        </w:rPr>
        <w:fldChar w:fldCharType="end"/>
      </w:r>
      <w:r w:rsidR="00C87535" w:rsidRPr="00520E89">
        <w:rPr>
          <w:rFonts w:cs="Arial"/>
          <w:szCs w:val="20"/>
        </w:rPr>
        <w:t xml:space="preserve"> in the chapter on </w:t>
      </w:r>
      <w:r w:rsidR="00C87535" w:rsidRPr="00520E89">
        <w:rPr>
          <w:rFonts w:cs="Arial"/>
          <w:b/>
          <w:bCs/>
          <w:color w:val="0070C0"/>
          <w:szCs w:val="20"/>
        </w:rPr>
        <w:fldChar w:fldCharType="begin"/>
      </w:r>
      <w:r w:rsidR="00C87535" w:rsidRPr="00520E89">
        <w:rPr>
          <w:rFonts w:cs="Arial"/>
          <w:b/>
          <w:bCs/>
          <w:color w:val="0070C0"/>
          <w:szCs w:val="20"/>
        </w:rPr>
        <w:instrText xml:space="preserve"> REF _Ref151015055 \h </w:instrText>
      </w:r>
      <w:r w:rsidR="00520E89" w:rsidRPr="00520E89">
        <w:rPr>
          <w:rFonts w:cs="Arial"/>
          <w:b/>
          <w:bCs/>
          <w:color w:val="0070C0"/>
          <w:szCs w:val="20"/>
        </w:rPr>
        <w:instrText xml:space="preserve"> \* MERGEFORMAT </w:instrText>
      </w:r>
      <w:r w:rsidR="00C87535" w:rsidRPr="00520E89">
        <w:rPr>
          <w:rFonts w:cs="Arial"/>
          <w:b/>
          <w:bCs/>
          <w:color w:val="0070C0"/>
          <w:szCs w:val="20"/>
        </w:rPr>
      </w:r>
      <w:r w:rsidR="00C87535" w:rsidRPr="00520E89">
        <w:rPr>
          <w:rFonts w:cs="Arial"/>
          <w:b/>
          <w:bCs/>
          <w:color w:val="0070C0"/>
          <w:szCs w:val="20"/>
        </w:rPr>
        <w:fldChar w:fldCharType="separate"/>
      </w:r>
      <w:r w:rsidR="00C87535" w:rsidRPr="00520E89">
        <w:rPr>
          <w:b/>
          <w:bCs/>
          <w:color w:val="0070C0"/>
        </w:rPr>
        <w:t>OVER-INCOME FAMILIES</w:t>
      </w:r>
      <w:r w:rsidR="00C87535" w:rsidRPr="00520E89">
        <w:rPr>
          <w:rFonts w:cs="Arial"/>
          <w:b/>
          <w:bCs/>
          <w:color w:val="0070C0"/>
          <w:szCs w:val="20"/>
        </w:rPr>
        <w:fldChar w:fldCharType="end"/>
      </w:r>
      <w:r w:rsidR="00520E89" w:rsidRPr="00520E89">
        <w:rPr>
          <w:rFonts w:cs="Arial"/>
          <w:szCs w:val="20"/>
        </w:rPr>
        <w:t>.</w:t>
      </w:r>
    </w:p>
    <w:p w14:paraId="792E6D1B" w14:textId="77777777" w:rsidR="00665E33" w:rsidRDefault="00665E33" w:rsidP="00665E33">
      <w:pPr>
        <w:pStyle w:val="Heading2"/>
      </w:pPr>
      <w:bookmarkStart w:id="3822" w:name="_Toc106038050"/>
      <w:bookmarkStart w:id="3823" w:name="_Toc106201689"/>
      <w:bookmarkStart w:id="3824" w:name="_Toc106202208"/>
      <w:bookmarkStart w:id="3825" w:name="_Toc106202734"/>
      <w:bookmarkStart w:id="3826" w:name="_Toc113345190"/>
      <w:bookmarkStart w:id="3827" w:name="_Toc137460460"/>
      <w:bookmarkStart w:id="3828" w:name="_Toc137460705"/>
      <w:bookmarkStart w:id="3829" w:name="_Toc137460950"/>
      <w:bookmarkStart w:id="3830" w:name="_Toc137461934"/>
      <w:bookmarkStart w:id="3831" w:name="_Toc137471525"/>
      <w:bookmarkStart w:id="3832" w:name="_Toc137472034"/>
      <w:bookmarkStart w:id="3833" w:name="_Toc173222790"/>
      <w:bookmarkStart w:id="3834" w:name="_Toc200375877"/>
      <w:bookmarkStart w:id="3835" w:name="_Toc200377056"/>
      <w:r>
        <w:t>E</w:t>
      </w:r>
      <w:bookmarkEnd w:id="3822"/>
      <w:bookmarkEnd w:id="3823"/>
      <w:bookmarkEnd w:id="3824"/>
      <w:bookmarkEnd w:id="3825"/>
      <w:bookmarkEnd w:id="3826"/>
      <w:bookmarkEnd w:id="3827"/>
      <w:bookmarkEnd w:id="3828"/>
      <w:bookmarkEnd w:id="3829"/>
      <w:bookmarkEnd w:id="3830"/>
      <w:bookmarkEnd w:id="3831"/>
      <w:bookmarkEnd w:id="3832"/>
      <w:r w:rsidR="00DC48F7">
        <w:t>viction</w:t>
      </w:r>
      <w:bookmarkEnd w:id="3833"/>
      <w:bookmarkEnd w:id="3834"/>
      <w:bookmarkEnd w:id="3835"/>
    </w:p>
    <w:p w14:paraId="051C97AD" w14:textId="77777777" w:rsidR="00FE5C63" w:rsidRDefault="00665E33" w:rsidP="00FE5C63">
      <w:pPr>
        <w:autoSpaceDE w:val="0"/>
        <w:autoSpaceDN w:val="0"/>
        <w:adjustRightInd w:val="0"/>
      </w:pPr>
      <w:r>
        <w:t xml:space="preserve">When a family does not vacate the unit after receipt of a termination notice, by the deadline given in the notice, </w:t>
      </w:r>
      <w:r w:rsidR="004870AB">
        <w:t>HHA</w:t>
      </w:r>
      <w:r>
        <w:t xml:space="preserve"> will follow state and local landlord-tenant law in filing an eviction action with the local court that has jurisdiction in such cases. </w:t>
      </w:r>
      <w:r w:rsidR="00FE5C63">
        <w:t>HHA</w:t>
      </w:r>
      <w:r w:rsidR="00FE5C63" w:rsidRPr="00495DC9">
        <w:t xml:space="preserve"> may only evict the tenant from the unit by instituting a court action</w:t>
      </w:r>
      <w:r w:rsidR="00FE5C63">
        <w:t>.</w:t>
      </w:r>
    </w:p>
    <w:p w14:paraId="34F38CDC" w14:textId="77777777" w:rsidR="00665E33" w:rsidRDefault="00665E33" w:rsidP="00665E33">
      <w:pPr>
        <w:autoSpaceDE w:val="0"/>
        <w:autoSpaceDN w:val="0"/>
        <w:adjustRightInd w:val="0"/>
      </w:pPr>
      <w:r>
        <w:t xml:space="preserve">If the eviction action is finalized in court and the family remains in occupancy beyond the deadline to vacate given by the court, </w:t>
      </w:r>
      <w:r w:rsidR="004870AB">
        <w:t>HHA</w:t>
      </w:r>
      <w:r>
        <w:t xml:space="preserve"> will seek the assistance of the court to remove the family from the premises as per state and local law. </w:t>
      </w:r>
    </w:p>
    <w:p w14:paraId="7E6F928F" w14:textId="77777777" w:rsidR="00665E33" w:rsidRDefault="004870AB" w:rsidP="008B49E1">
      <w:r>
        <w:rPr>
          <w:rFonts w:cs="Arial"/>
          <w:szCs w:val="20"/>
        </w:rPr>
        <w:t>HHA</w:t>
      </w:r>
      <w:r w:rsidR="00665E33">
        <w:rPr>
          <w:rFonts w:cs="Arial"/>
          <w:szCs w:val="20"/>
        </w:rPr>
        <w:t xml:space="preserve"> </w:t>
      </w:r>
      <w:r w:rsidR="00665E33">
        <w:t xml:space="preserve">may not proceed with an eviction action if </w:t>
      </w:r>
      <w:r>
        <w:t>HHA</w:t>
      </w:r>
      <w:r w:rsidR="00665E33">
        <w:t xml:space="preserve"> has not made available the documents to be used in the case against the family, and has not afforded the family the opportunity to examine and copy such documents.</w:t>
      </w:r>
    </w:p>
    <w:p w14:paraId="19567276" w14:textId="77777777" w:rsidR="00FE5C63" w:rsidRPr="00A2158C" w:rsidRDefault="00FE5C63" w:rsidP="008B49E1">
      <w:pPr>
        <w:widowControl w:val="0"/>
        <w:tabs>
          <w:tab w:val="left" w:pos="881"/>
        </w:tabs>
        <w:autoSpaceDE w:val="0"/>
        <w:autoSpaceDN w:val="0"/>
      </w:pPr>
      <w:r w:rsidRPr="00A2158C">
        <w:t>If HHA files an eviction action against a resident, the resident will be liable for Court costs, including attorney’s fees, unless the resident prevails in the</w:t>
      </w:r>
      <w:r w:rsidRPr="008B49E1">
        <w:rPr>
          <w:spacing w:val="-10"/>
        </w:rPr>
        <w:t xml:space="preserve"> </w:t>
      </w:r>
      <w:r w:rsidRPr="00A2158C">
        <w:t>action.</w:t>
      </w:r>
    </w:p>
    <w:p w14:paraId="2471CBBF" w14:textId="77777777" w:rsidR="00665E33" w:rsidRDefault="00665E33" w:rsidP="00665E33">
      <w:pPr>
        <w:pStyle w:val="Heading2"/>
      </w:pPr>
      <w:bookmarkStart w:id="3836" w:name="_Toc106038051"/>
      <w:bookmarkStart w:id="3837" w:name="_Toc106201690"/>
      <w:bookmarkStart w:id="3838" w:name="_Toc106202209"/>
      <w:bookmarkStart w:id="3839" w:name="_Toc106202735"/>
      <w:bookmarkStart w:id="3840" w:name="_Toc113345191"/>
      <w:bookmarkStart w:id="3841" w:name="_Toc137460461"/>
      <w:bookmarkStart w:id="3842" w:name="_Toc137460706"/>
      <w:bookmarkStart w:id="3843" w:name="_Toc137460951"/>
      <w:bookmarkStart w:id="3844" w:name="_Toc137461935"/>
      <w:bookmarkStart w:id="3845" w:name="_Toc137471526"/>
      <w:bookmarkStart w:id="3846" w:name="_Toc137472035"/>
      <w:bookmarkStart w:id="3847" w:name="_Toc173222791"/>
      <w:bookmarkStart w:id="3848" w:name="_Toc200375878"/>
      <w:bookmarkStart w:id="3849" w:name="_Toc200377057"/>
      <w:r>
        <w:t>N</w:t>
      </w:r>
      <w:r w:rsidR="007F46A9">
        <w:t>otification to the Post Office</w:t>
      </w:r>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p>
    <w:p w14:paraId="3CA21EAD" w14:textId="77777777" w:rsidR="00665E33" w:rsidRDefault="00665E33" w:rsidP="00665E33">
      <w:r>
        <w:t xml:space="preserve">When </w:t>
      </w:r>
      <w:r w:rsidR="004870AB">
        <w:t>HHA</w:t>
      </w:r>
      <w:r>
        <w:t xml:space="preserve"> evicts an individual or family for criminal activity, including drug-related criminal activity, </w:t>
      </w:r>
      <w:r w:rsidR="004870AB">
        <w:t>HHA</w:t>
      </w:r>
      <w:r>
        <w:t xml:space="preserve"> must notify the local post office serving the dwelling unit that the individual or family is no longer residing in the unit.</w:t>
      </w:r>
    </w:p>
    <w:p w14:paraId="327FA6D8" w14:textId="77777777" w:rsidR="00665E33" w:rsidRDefault="00665E33" w:rsidP="00665E33">
      <w:pPr>
        <w:pStyle w:val="Heading2"/>
      </w:pPr>
      <w:bookmarkStart w:id="3850" w:name="_Toc106038052"/>
      <w:bookmarkStart w:id="3851" w:name="_Toc106201691"/>
      <w:bookmarkStart w:id="3852" w:name="_Toc106202210"/>
      <w:bookmarkStart w:id="3853" w:name="_Toc106202736"/>
      <w:bookmarkStart w:id="3854" w:name="_Toc113345192"/>
      <w:bookmarkStart w:id="3855" w:name="_Toc137460462"/>
      <w:bookmarkStart w:id="3856" w:name="_Toc137460707"/>
      <w:bookmarkStart w:id="3857" w:name="_Toc137460952"/>
      <w:bookmarkStart w:id="3858" w:name="_Toc137461936"/>
      <w:bookmarkStart w:id="3859" w:name="_Toc137471527"/>
      <w:bookmarkStart w:id="3860" w:name="_Toc137472036"/>
      <w:bookmarkStart w:id="3861" w:name="_Toc173222792"/>
      <w:bookmarkStart w:id="3862" w:name="_Toc200375879"/>
      <w:bookmarkStart w:id="3863" w:name="_Toc200377058"/>
      <w:r>
        <w:t>R</w:t>
      </w:r>
      <w:r w:rsidR="00470438">
        <w:t>ecord Keeping</w:t>
      </w:r>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p>
    <w:p w14:paraId="663077B2" w14:textId="77777777" w:rsidR="00665E33" w:rsidRDefault="00665E33" w:rsidP="00742C46">
      <w:r>
        <w:t>A</w:t>
      </w:r>
      <w:r w:rsidRPr="00C83576">
        <w:t xml:space="preserve"> </w:t>
      </w:r>
      <w:r>
        <w:t xml:space="preserve">written record of every termination and/or eviction will be maintained by </w:t>
      </w:r>
      <w:r w:rsidR="004870AB">
        <w:t>HHA</w:t>
      </w:r>
      <w:r>
        <w:t xml:space="preserve"> at the development where the family was residing, and will contain the following information:</w:t>
      </w:r>
    </w:p>
    <w:p w14:paraId="6C6CCF96" w14:textId="77777777" w:rsidR="00665E33" w:rsidRDefault="00665E33" w:rsidP="007F177E">
      <w:pPr>
        <w:pStyle w:val="ListParagraph"/>
        <w:numPr>
          <w:ilvl w:val="0"/>
          <w:numId w:val="209"/>
        </w:numPr>
        <w:contextualSpacing w:val="0"/>
      </w:pPr>
      <w:r>
        <w:t>Name of resident, number and identification of unit occupied;</w:t>
      </w:r>
    </w:p>
    <w:p w14:paraId="2564AB39" w14:textId="77777777" w:rsidR="00665E33" w:rsidRDefault="00665E33" w:rsidP="007F177E">
      <w:pPr>
        <w:pStyle w:val="ListParagraph"/>
        <w:numPr>
          <w:ilvl w:val="0"/>
          <w:numId w:val="209"/>
        </w:numPr>
        <w:contextualSpacing w:val="0"/>
      </w:pPr>
      <w:r>
        <w:t>Date of the notice of lease termination and any other notices required by state or local law; these notices may be on the same form and will run concurrently;</w:t>
      </w:r>
    </w:p>
    <w:p w14:paraId="22097BC1" w14:textId="77777777" w:rsidR="00665E33" w:rsidRDefault="00665E33" w:rsidP="007F177E">
      <w:pPr>
        <w:pStyle w:val="ListParagraph"/>
        <w:numPr>
          <w:ilvl w:val="0"/>
          <w:numId w:val="209"/>
        </w:numPr>
        <w:contextualSpacing w:val="0"/>
      </w:pPr>
      <w:r>
        <w:t>Specific reason(s) for the notices, citing the lease section or provision that was violated, and other facts pertinent to the issuing of the notices described in detail (other than any criminal history reports obtained solely through the authorization provided in 24 CFR 5.903 and 5.905);</w:t>
      </w:r>
    </w:p>
    <w:p w14:paraId="60DD70FB" w14:textId="77777777" w:rsidR="00665E33" w:rsidRDefault="00665E33" w:rsidP="007F177E">
      <w:pPr>
        <w:pStyle w:val="ListParagraph"/>
        <w:numPr>
          <w:ilvl w:val="0"/>
          <w:numId w:val="209"/>
        </w:numPr>
        <w:contextualSpacing w:val="0"/>
      </w:pPr>
      <w:r>
        <w:t>Date and method of notifying the resident; and</w:t>
      </w:r>
    </w:p>
    <w:p w14:paraId="2A442D2B" w14:textId="77777777" w:rsidR="00665E33" w:rsidRDefault="00665E33" w:rsidP="007F177E">
      <w:pPr>
        <w:pStyle w:val="ListParagraph"/>
        <w:numPr>
          <w:ilvl w:val="0"/>
          <w:numId w:val="209"/>
        </w:numPr>
        <w:contextualSpacing w:val="0"/>
      </w:pPr>
      <w:r>
        <w:t>Summaries of any conferences held with the resident including dates, names of conference participants, and conclusions.</w:t>
      </w:r>
    </w:p>
    <w:p w14:paraId="14859840" w14:textId="77777777" w:rsidR="008A2670" w:rsidRDefault="008A2670" w:rsidP="008A2670">
      <w:r>
        <w:t>HHA will report resident-owed funds and adverse terminations into HUD’s EIV system.</w:t>
      </w:r>
    </w:p>
    <w:p w14:paraId="642E899E" w14:textId="77777777" w:rsidR="004E0711" w:rsidRDefault="004E0711" w:rsidP="004E0711"/>
    <w:p w14:paraId="68625F58" w14:textId="77777777" w:rsidR="004E0711" w:rsidRDefault="004E0711" w:rsidP="004E0711"/>
    <w:p w14:paraId="20F090DB" w14:textId="77777777" w:rsidR="004E7119" w:rsidRDefault="004E7119" w:rsidP="004E7119">
      <w:pPr>
        <w:pStyle w:val="Heading1"/>
        <w:ind w:left="0" w:firstLine="0"/>
        <w:sectPr w:rsidR="004E7119" w:rsidSect="00EE2233">
          <w:pgSz w:w="12240" w:h="15840"/>
          <w:pgMar w:top="1440" w:right="1440" w:bottom="1440" w:left="1440" w:header="720" w:footer="720" w:gutter="0"/>
          <w:cols w:space="720"/>
          <w:docGrid w:linePitch="360"/>
        </w:sectPr>
      </w:pPr>
    </w:p>
    <w:p w14:paraId="47F1EBE3" w14:textId="77777777" w:rsidR="00A95B1E" w:rsidRPr="0042744D" w:rsidRDefault="00BE78E6" w:rsidP="00A95B1E">
      <w:pPr>
        <w:pStyle w:val="Heading1"/>
        <w:ind w:left="0" w:firstLine="0"/>
      </w:pPr>
      <w:bookmarkStart w:id="3864" w:name="_Ref154580856"/>
      <w:bookmarkStart w:id="3865" w:name="_Ref158899204"/>
      <w:bookmarkStart w:id="3866" w:name="_Toc173222793"/>
      <w:bookmarkStart w:id="3867" w:name="_Toc200375880"/>
      <w:bookmarkStart w:id="3868" w:name="_Toc200377059"/>
      <w:r w:rsidRPr="0042744D">
        <w:t>PROGRAM INTEGRITY</w:t>
      </w:r>
      <w:bookmarkEnd w:id="3864"/>
      <w:bookmarkEnd w:id="3865"/>
      <w:bookmarkEnd w:id="3866"/>
      <w:bookmarkEnd w:id="3867"/>
      <w:bookmarkEnd w:id="3868"/>
    </w:p>
    <w:p w14:paraId="26F34480" w14:textId="77777777" w:rsidR="007F52B4" w:rsidRPr="0042744D" w:rsidRDefault="007F52B4" w:rsidP="007F52B4">
      <w:pPr>
        <w:pStyle w:val="Heading2"/>
      </w:pPr>
      <w:bookmarkStart w:id="3869" w:name="_Toc527019709"/>
      <w:bookmarkStart w:id="3870" w:name="_Toc534707399"/>
      <w:bookmarkStart w:id="3871" w:name="_Toc534708077"/>
      <w:bookmarkStart w:id="3872" w:name="_Toc534708885"/>
      <w:bookmarkStart w:id="3873" w:name="_Toc118116549"/>
      <w:bookmarkStart w:id="3874" w:name="_Toc154649893"/>
      <w:bookmarkStart w:id="3875" w:name="_Toc173222794"/>
      <w:bookmarkStart w:id="3876" w:name="_Toc200375881"/>
      <w:bookmarkStart w:id="3877" w:name="_Toc200377060"/>
      <w:r w:rsidRPr="0042744D">
        <w:t>Introduction</w:t>
      </w:r>
      <w:bookmarkEnd w:id="3869"/>
      <w:bookmarkEnd w:id="3870"/>
      <w:bookmarkEnd w:id="3871"/>
      <w:bookmarkEnd w:id="3872"/>
      <w:bookmarkEnd w:id="3873"/>
      <w:bookmarkEnd w:id="3874"/>
      <w:bookmarkEnd w:id="3875"/>
      <w:bookmarkEnd w:id="3876"/>
      <w:bookmarkEnd w:id="3877"/>
    </w:p>
    <w:p w14:paraId="5D979E97" w14:textId="77777777" w:rsidR="007F52B4" w:rsidRPr="00765546" w:rsidRDefault="007F52B4" w:rsidP="007F52B4">
      <w:pPr>
        <w:spacing w:before="120"/>
      </w:pPr>
      <w:r>
        <w:t>HHA</w:t>
      </w:r>
      <w:r w:rsidRPr="00765546">
        <w:t xml:space="preserve"> is committed to ensuring that subsidy funds made available to </w:t>
      </w:r>
      <w:r>
        <w:t>HHA</w:t>
      </w:r>
      <w:r w:rsidRPr="00765546">
        <w:t xml:space="preserve"> are spent in accordance with HUD requirements. </w:t>
      </w:r>
      <w:r w:rsidRPr="00765546">
        <w:rPr>
          <w:rFonts w:cs="Arial"/>
          <w:szCs w:val="20"/>
        </w:rPr>
        <w:t xml:space="preserve">Further, </w:t>
      </w:r>
      <w:r>
        <w:rPr>
          <w:rFonts w:cs="Arial"/>
          <w:szCs w:val="20"/>
        </w:rPr>
        <w:t>HHA</w:t>
      </w:r>
      <w:r w:rsidRPr="00765546">
        <w:rPr>
          <w:rFonts w:cs="Arial"/>
          <w:szCs w:val="20"/>
        </w:rPr>
        <w:t xml:space="preserve"> will take all steps necessary to prevent fraud, waste, and mismanagement so that program resources are utilized judiciously.  </w:t>
      </w:r>
    </w:p>
    <w:p w14:paraId="1CABFA9F" w14:textId="77777777" w:rsidR="007F52B4" w:rsidRPr="00765546" w:rsidRDefault="007F52B4" w:rsidP="007F52B4">
      <w:pPr>
        <w:spacing w:before="120"/>
      </w:pPr>
      <w:r w:rsidRPr="00765546">
        <w:t xml:space="preserve">This chapter covers HUD and </w:t>
      </w:r>
      <w:r>
        <w:t>HHA</w:t>
      </w:r>
      <w:r w:rsidRPr="00765546">
        <w:t xml:space="preserve"> policies designed to prevent, detect, investigate, and resolve instances of program abuse or fraud. </w:t>
      </w:r>
      <w:r w:rsidR="008C4C0F" w:rsidRPr="00765546">
        <w:rPr>
          <w:rFonts w:cs="Arial"/>
          <w:i/>
          <w:szCs w:val="20"/>
        </w:rPr>
        <w:t>Program abuse</w:t>
      </w:r>
      <w:r w:rsidR="008C4C0F" w:rsidRPr="00765546">
        <w:rPr>
          <w:rFonts w:cs="Arial"/>
          <w:szCs w:val="20"/>
        </w:rPr>
        <w:t xml:space="preserve"> </w:t>
      </w:r>
      <w:r w:rsidR="008C4C0F" w:rsidRPr="00765546">
        <w:rPr>
          <w:rFonts w:cs="Arial"/>
          <w:i/>
          <w:szCs w:val="20"/>
        </w:rPr>
        <w:t>or fraud</w:t>
      </w:r>
      <w:r w:rsidR="008C4C0F" w:rsidRPr="00765546">
        <w:rPr>
          <w:rFonts w:cs="Arial"/>
          <w:szCs w:val="20"/>
        </w:rPr>
        <w:t xml:space="preserve"> refers to a single act or pattern of actions that constitute a false statement, omission, or concealment of a substantial fact, made with the intent to deceive or mislead.</w:t>
      </w:r>
      <w:r w:rsidR="008C4C0F">
        <w:rPr>
          <w:rFonts w:cs="Arial"/>
          <w:szCs w:val="20"/>
        </w:rPr>
        <w:t xml:space="preserve"> </w:t>
      </w:r>
      <w:r w:rsidR="008C4C0F">
        <w:t>In the event that HHA determines that fraud or program abuse has occurred, the HHA may deny or terminate assistance.</w:t>
      </w:r>
    </w:p>
    <w:p w14:paraId="0CBA7198" w14:textId="77777777" w:rsidR="007F52B4" w:rsidRPr="00765546" w:rsidRDefault="007F52B4" w:rsidP="007F52B4">
      <w:pPr>
        <w:pStyle w:val="Heading2"/>
      </w:pPr>
      <w:bookmarkStart w:id="3878" w:name="_Toc527019711"/>
      <w:bookmarkStart w:id="3879" w:name="_Toc534707401"/>
      <w:bookmarkStart w:id="3880" w:name="_Toc534708079"/>
      <w:bookmarkStart w:id="3881" w:name="_Toc534708887"/>
      <w:bookmarkStart w:id="3882" w:name="_Toc118116551"/>
      <w:bookmarkStart w:id="3883" w:name="_Toc154649895"/>
      <w:bookmarkStart w:id="3884" w:name="_Toc173222795"/>
      <w:bookmarkStart w:id="3885" w:name="_Toc200375882"/>
      <w:bookmarkStart w:id="3886" w:name="_Toc200377061"/>
      <w:r w:rsidRPr="00765546">
        <w:t xml:space="preserve">Detecting Errors </w:t>
      </w:r>
      <w:r>
        <w:t>a</w:t>
      </w:r>
      <w:r w:rsidRPr="00765546">
        <w:t>nd Program Abuse</w:t>
      </w:r>
      <w:bookmarkEnd w:id="3878"/>
      <w:bookmarkEnd w:id="3879"/>
      <w:bookmarkEnd w:id="3880"/>
      <w:bookmarkEnd w:id="3881"/>
      <w:bookmarkEnd w:id="3882"/>
      <w:bookmarkEnd w:id="3883"/>
      <w:bookmarkEnd w:id="3884"/>
      <w:bookmarkEnd w:id="3885"/>
      <w:bookmarkEnd w:id="3886"/>
    </w:p>
    <w:p w14:paraId="67A480CD" w14:textId="77777777" w:rsidR="007F52B4" w:rsidRPr="00765546" w:rsidRDefault="007F52B4" w:rsidP="007F52B4">
      <w:pPr>
        <w:rPr>
          <w:rFonts w:cs="Arial"/>
          <w:szCs w:val="20"/>
        </w:rPr>
      </w:pPr>
      <w:r>
        <w:rPr>
          <w:rFonts w:cs="Arial"/>
          <w:szCs w:val="20"/>
        </w:rPr>
        <w:t>HHA</w:t>
      </w:r>
      <w:r w:rsidRPr="00765546">
        <w:rPr>
          <w:rFonts w:cs="Arial"/>
          <w:szCs w:val="20"/>
        </w:rPr>
        <w:t xml:space="preserve"> will use a variety of activities to detect errors and program abuse. </w:t>
      </w:r>
    </w:p>
    <w:p w14:paraId="2CEE153C" w14:textId="77777777" w:rsidR="007F52B4" w:rsidRPr="00765546" w:rsidRDefault="007F52B4" w:rsidP="00677451">
      <w:pPr>
        <w:pStyle w:val="Heading3"/>
      </w:pPr>
      <w:bookmarkStart w:id="3887" w:name="_Toc508698530"/>
      <w:bookmarkStart w:id="3888" w:name="_Toc520796770"/>
      <w:bookmarkStart w:id="3889" w:name="_Toc527019712"/>
      <w:bookmarkStart w:id="3890" w:name="_Toc534707402"/>
      <w:bookmarkStart w:id="3891" w:name="_Toc534708080"/>
      <w:bookmarkStart w:id="3892" w:name="_Toc534708888"/>
      <w:bookmarkStart w:id="3893" w:name="_Toc118116552"/>
      <w:bookmarkStart w:id="3894" w:name="_Toc200375883"/>
      <w:r w:rsidRPr="00765546">
        <w:t>Quality Control and Analysis of Data</w:t>
      </w:r>
      <w:bookmarkEnd w:id="3887"/>
      <w:bookmarkEnd w:id="3888"/>
      <w:bookmarkEnd w:id="3889"/>
      <w:bookmarkEnd w:id="3890"/>
      <w:bookmarkEnd w:id="3891"/>
      <w:bookmarkEnd w:id="3892"/>
      <w:bookmarkEnd w:id="3893"/>
      <w:bookmarkEnd w:id="3894"/>
    </w:p>
    <w:p w14:paraId="44B173B1" w14:textId="77777777" w:rsidR="007F52B4" w:rsidRPr="00765546" w:rsidRDefault="007F52B4" w:rsidP="007F52B4">
      <w:pPr>
        <w:rPr>
          <w:rFonts w:cs="Arial"/>
          <w:szCs w:val="20"/>
        </w:rPr>
      </w:pPr>
      <w:r>
        <w:rPr>
          <w:rFonts w:cs="Arial"/>
          <w:szCs w:val="20"/>
        </w:rPr>
        <w:t>HHA</w:t>
      </w:r>
      <w:r w:rsidRPr="00765546">
        <w:rPr>
          <w:rFonts w:cs="Arial"/>
          <w:szCs w:val="20"/>
        </w:rPr>
        <w:t xml:space="preserve"> will employ a variety of methods to detect errors and program abuse.</w:t>
      </w:r>
    </w:p>
    <w:p w14:paraId="66B01F6C" w14:textId="77777777" w:rsidR="007F52B4" w:rsidRPr="009001CE" w:rsidRDefault="007F52B4" w:rsidP="007F177E">
      <w:pPr>
        <w:pStyle w:val="ListParagraph"/>
        <w:numPr>
          <w:ilvl w:val="0"/>
          <w:numId w:val="164"/>
        </w:numPr>
        <w:ind w:left="720"/>
        <w:contextualSpacing w:val="0"/>
        <w:rPr>
          <w:rFonts w:cs="Arial"/>
          <w:szCs w:val="20"/>
        </w:rPr>
      </w:pPr>
      <w:r>
        <w:rPr>
          <w:rFonts w:cs="Arial"/>
          <w:szCs w:val="20"/>
        </w:rPr>
        <w:t>HHA</w:t>
      </w:r>
      <w:r w:rsidRPr="00765546">
        <w:rPr>
          <w:rFonts w:cs="Arial"/>
          <w:szCs w:val="20"/>
        </w:rPr>
        <w:t xml:space="preserve"> routinely will use available sources of upfront income verification to compare with family-provided information. </w:t>
      </w:r>
    </w:p>
    <w:p w14:paraId="0DB24F13" w14:textId="77777777" w:rsidR="007F52B4" w:rsidRPr="00765546" w:rsidRDefault="007F52B4" w:rsidP="007F177E">
      <w:pPr>
        <w:pStyle w:val="ListParagraph"/>
        <w:numPr>
          <w:ilvl w:val="0"/>
          <w:numId w:val="164"/>
        </w:numPr>
        <w:ind w:left="720"/>
        <w:contextualSpacing w:val="0"/>
        <w:rPr>
          <w:rFonts w:cs="Arial"/>
          <w:szCs w:val="20"/>
        </w:rPr>
      </w:pPr>
      <w:r w:rsidRPr="00765546">
        <w:rPr>
          <w:rFonts w:cs="Arial"/>
          <w:szCs w:val="20"/>
        </w:rPr>
        <w:t xml:space="preserve">At each regular reexamination, current information provided by the family will be compared to information provided at the last regular reexamination to identify inconsistencies and incomplete information. </w:t>
      </w:r>
    </w:p>
    <w:p w14:paraId="0C904168" w14:textId="77777777" w:rsidR="007F52B4" w:rsidRPr="00765546" w:rsidRDefault="007F52B4" w:rsidP="007F177E">
      <w:pPr>
        <w:pStyle w:val="ListParagraph"/>
        <w:numPr>
          <w:ilvl w:val="0"/>
          <w:numId w:val="164"/>
        </w:numPr>
        <w:ind w:left="720"/>
        <w:contextualSpacing w:val="0"/>
        <w:rPr>
          <w:rFonts w:cs="Arial"/>
          <w:szCs w:val="20"/>
        </w:rPr>
      </w:pPr>
      <w:r>
        <w:rPr>
          <w:rFonts w:cs="Arial"/>
          <w:szCs w:val="20"/>
        </w:rPr>
        <w:t>HHA</w:t>
      </w:r>
      <w:r w:rsidRPr="00765546">
        <w:rPr>
          <w:rFonts w:cs="Arial"/>
          <w:szCs w:val="20"/>
        </w:rPr>
        <w:t xml:space="preserve"> will compare family-reported income and expenditures to detect possible unreported income.</w:t>
      </w:r>
    </w:p>
    <w:p w14:paraId="1529DA6C" w14:textId="77777777" w:rsidR="007F52B4" w:rsidRPr="00765546" w:rsidRDefault="007F52B4" w:rsidP="00677451">
      <w:pPr>
        <w:pStyle w:val="Heading3"/>
      </w:pPr>
      <w:bookmarkStart w:id="3895" w:name="_Ref515617834"/>
      <w:bookmarkStart w:id="3896" w:name="_Toc520796772"/>
      <w:bookmarkStart w:id="3897" w:name="_Toc527019714"/>
      <w:bookmarkStart w:id="3898" w:name="_Toc534707404"/>
      <w:bookmarkStart w:id="3899" w:name="_Toc534708082"/>
      <w:bookmarkStart w:id="3900" w:name="_Toc534708890"/>
      <w:bookmarkStart w:id="3901" w:name="_Toc118116554"/>
      <w:bookmarkStart w:id="3902" w:name="_Toc200375884"/>
      <w:r w:rsidRPr="00765546">
        <w:t>EIV Reports</w:t>
      </w:r>
      <w:bookmarkEnd w:id="3895"/>
      <w:bookmarkEnd w:id="3896"/>
      <w:bookmarkEnd w:id="3897"/>
      <w:bookmarkEnd w:id="3898"/>
      <w:bookmarkEnd w:id="3899"/>
      <w:bookmarkEnd w:id="3900"/>
      <w:bookmarkEnd w:id="3901"/>
      <w:bookmarkEnd w:id="3902"/>
    </w:p>
    <w:p w14:paraId="01AD1816" w14:textId="77777777" w:rsidR="007F52B4" w:rsidRPr="00765546" w:rsidRDefault="007F52B4" w:rsidP="007F52B4">
      <w:pPr>
        <w:rPr>
          <w:rFonts w:cs="Arial"/>
          <w:szCs w:val="20"/>
        </w:rPr>
      </w:pPr>
      <w:r>
        <w:rPr>
          <w:rFonts w:cs="Arial"/>
          <w:szCs w:val="20"/>
        </w:rPr>
        <w:t>HHA</w:t>
      </w:r>
      <w:r w:rsidRPr="00765546">
        <w:rPr>
          <w:rFonts w:cs="Arial"/>
          <w:szCs w:val="20"/>
        </w:rPr>
        <w:t xml:space="preserve"> will review EIV reports as required by HUD and ensure any corrections are made </w:t>
      </w:r>
      <w:r w:rsidR="00BF51F4">
        <w:rPr>
          <w:rFonts w:cs="Arial"/>
          <w:szCs w:val="20"/>
        </w:rPr>
        <w:t>accordingly</w:t>
      </w:r>
      <w:r w:rsidRPr="00765546">
        <w:rPr>
          <w:rFonts w:cs="Arial"/>
          <w:szCs w:val="20"/>
        </w:rPr>
        <w:t xml:space="preserve">. </w:t>
      </w:r>
    </w:p>
    <w:p w14:paraId="6881B5F8" w14:textId="77777777" w:rsidR="007F52B4" w:rsidRDefault="007F52B4" w:rsidP="007F52B4">
      <w:pPr>
        <w:rPr>
          <w:rFonts w:cs="Arial"/>
          <w:szCs w:val="20"/>
        </w:rPr>
      </w:pPr>
      <w:r w:rsidRPr="00765546">
        <w:rPr>
          <w:rFonts w:cs="Arial"/>
          <w:szCs w:val="20"/>
        </w:rPr>
        <w:t xml:space="preserve">In the case of any discrepancies between what is reported by the household and what the EIV shows, </w:t>
      </w:r>
      <w:r>
        <w:rPr>
          <w:rFonts w:cs="Arial"/>
          <w:szCs w:val="20"/>
        </w:rPr>
        <w:t>HHA</w:t>
      </w:r>
      <w:r w:rsidRPr="00765546">
        <w:rPr>
          <w:rFonts w:cs="Arial"/>
          <w:szCs w:val="20"/>
        </w:rPr>
        <w:t xml:space="preserve"> will follow the protocol as outlined in this chapter.</w:t>
      </w:r>
    </w:p>
    <w:p w14:paraId="532ECADB" w14:textId="77777777" w:rsidR="005A06A0" w:rsidRDefault="005A06A0" w:rsidP="0023419C">
      <w:pPr>
        <w:pStyle w:val="Heading3"/>
      </w:pPr>
      <w:bookmarkStart w:id="3903" w:name="_Toc200375885"/>
      <w:r>
        <w:t>Error</w:t>
      </w:r>
      <w:r w:rsidR="00881848">
        <w:t>s and Corrections</w:t>
      </w:r>
      <w:r>
        <w:t xml:space="preserve"> by HHA</w:t>
      </w:r>
      <w:bookmarkEnd w:id="3903"/>
    </w:p>
    <w:p w14:paraId="45290348" w14:textId="77777777" w:rsidR="00881848" w:rsidRPr="00765546" w:rsidRDefault="00881848" w:rsidP="00881848">
      <w:pPr>
        <w:rPr>
          <w:rFonts w:cs="Arial"/>
          <w:szCs w:val="20"/>
        </w:rPr>
      </w:pPr>
      <w:r w:rsidRPr="00765546">
        <w:rPr>
          <w:rFonts w:cs="Arial"/>
          <w:szCs w:val="20"/>
        </w:rPr>
        <w:t xml:space="preserve">In cases where </w:t>
      </w:r>
      <w:r>
        <w:rPr>
          <w:rFonts w:cs="Arial"/>
          <w:szCs w:val="20"/>
        </w:rPr>
        <w:t>HHA</w:t>
      </w:r>
      <w:r w:rsidRPr="00765546">
        <w:rPr>
          <w:rFonts w:cs="Arial"/>
          <w:szCs w:val="20"/>
        </w:rPr>
        <w:t xml:space="preserve"> determines that there has been an incorrect subsidy determination—whether it is an overpayment or underpayment of subsidy—</w:t>
      </w:r>
      <w:r>
        <w:rPr>
          <w:rFonts w:cs="Arial"/>
          <w:szCs w:val="20"/>
        </w:rPr>
        <w:t>HHA</w:t>
      </w:r>
      <w:r w:rsidRPr="00765546">
        <w:rPr>
          <w:rFonts w:cs="Arial"/>
          <w:szCs w:val="20"/>
        </w:rPr>
        <w:t xml:space="preserve"> will promptly correct family share and any utility reimbursement prospectively. </w:t>
      </w:r>
    </w:p>
    <w:p w14:paraId="516FC52F" w14:textId="77777777" w:rsidR="00881848" w:rsidRPr="00765546" w:rsidRDefault="00881848" w:rsidP="00881848">
      <w:pPr>
        <w:rPr>
          <w:rFonts w:cs="Arial"/>
          <w:szCs w:val="20"/>
        </w:rPr>
      </w:pPr>
      <w:r w:rsidRPr="00765546">
        <w:rPr>
          <w:rFonts w:cs="Arial"/>
          <w:szCs w:val="20"/>
        </w:rPr>
        <w:t xml:space="preserve">In cases where there has been an overpayment of subsidy due to </w:t>
      </w:r>
      <w:r>
        <w:rPr>
          <w:rFonts w:cs="Arial"/>
          <w:szCs w:val="20"/>
        </w:rPr>
        <w:t>HHA</w:t>
      </w:r>
      <w:r w:rsidRPr="00765546">
        <w:rPr>
          <w:rFonts w:cs="Arial"/>
          <w:szCs w:val="20"/>
        </w:rPr>
        <w:t xml:space="preserve"> error</w:t>
      </w:r>
      <w:r>
        <w:rPr>
          <w:rFonts w:cs="Arial"/>
          <w:szCs w:val="20"/>
        </w:rPr>
        <w:t>, resident</w:t>
      </w:r>
      <w:r w:rsidRPr="00667718">
        <w:rPr>
          <w:rFonts w:cs="Arial"/>
          <w:szCs w:val="20"/>
        </w:rPr>
        <w:t>s will not be required to repay the amount</w:t>
      </w:r>
      <w:r>
        <w:rPr>
          <w:rFonts w:cs="Arial"/>
          <w:szCs w:val="20"/>
        </w:rPr>
        <w:t>.</w:t>
      </w:r>
    </w:p>
    <w:p w14:paraId="47EC88B8" w14:textId="77777777" w:rsidR="00881848" w:rsidRPr="00765546" w:rsidRDefault="00881848" w:rsidP="00881848">
      <w:pPr>
        <w:rPr>
          <w:rFonts w:cs="Arial"/>
          <w:szCs w:val="20"/>
        </w:rPr>
      </w:pPr>
      <w:r w:rsidRPr="00765546">
        <w:rPr>
          <w:rFonts w:cs="Arial"/>
          <w:szCs w:val="20"/>
        </w:rPr>
        <w:t xml:space="preserve">In cases where there has been an underpayment of subsidy due to </w:t>
      </w:r>
      <w:r>
        <w:rPr>
          <w:rFonts w:cs="Arial"/>
          <w:szCs w:val="20"/>
        </w:rPr>
        <w:t>HHA</w:t>
      </w:r>
      <w:r w:rsidRPr="00765546">
        <w:rPr>
          <w:rFonts w:cs="Arial"/>
          <w:szCs w:val="20"/>
        </w:rPr>
        <w:t xml:space="preserve"> error, </w:t>
      </w:r>
      <w:r>
        <w:rPr>
          <w:rFonts w:cs="Arial"/>
          <w:szCs w:val="20"/>
        </w:rPr>
        <w:t>HHA</w:t>
      </w:r>
      <w:r w:rsidRPr="00765546">
        <w:rPr>
          <w:rFonts w:cs="Arial"/>
          <w:szCs w:val="20"/>
        </w:rPr>
        <w:t xml:space="preserve"> will determine the amount of rent the household should have paid, and re</w:t>
      </w:r>
      <w:r w:rsidR="00E44244">
        <w:rPr>
          <w:rFonts w:cs="Arial"/>
          <w:szCs w:val="20"/>
        </w:rPr>
        <w:t>turn</w:t>
      </w:r>
      <w:r w:rsidRPr="00765546">
        <w:rPr>
          <w:rFonts w:cs="Arial"/>
          <w:szCs w:val="20"/>
        </w:rPr>
        <w:t xml:space="preserve"> to the household the difference between that amount and what they actually paid. </w:t>
      </w:r>
    </w:p>
    <w:p w14:paraId="5845E338" w14:textId="77777777" w:rsidR="00881848" w:rsidRPr="00765546" w:rsidRDefault="00881848" w:rsidP="00881848">
      <w:pPr>
        <w:rPr>
          <w:rFonts w:cs="Arial"/>
          <w:szCs w:val="20"/>
        </w:rPr>
      </w:pPr>
      <w:r>
        <w:rPr>
          <w:rFonts w:cs="Arial"/>
          <w:szCs w:val="20"/>
        </w:rPr>
        <w:t>HHA</w:t>
      </w:r>
      <w:r w:rsidRPr="00765546">
        <w:rPr>
          <w:rFonts w:cs="Arial"/>
          <w:szCs w:val="20"/>
        </w:rPr>
        <w:t xml:space="preserve"> will not reimburse the family for any underpayment of assistance when the underpayment clearly is caused by the family.</w:t>
      </w:r>
    </w:p>
    <w:p w14:paraId="0C2AB629" w14:textId="77777777" w:rsidR="007F52B4" w:rsidRPr="00765546" w:rsidRDefault="007F52B4" w:rsidP="007F52B4">
      <w:pPr>
        <w:pStyle w:val="Heading2"/>
      </w:pPr>
      <w:bookmarkStart w:id="3904" w:name="_Toc527019715"/>
      <w:bookmarkStart w:id="3905" w:name="_Toc534707405"/>
      <w:bookmarkStart w:id="3906" w:name="_Toc534708083"/>
      <w:bookmarkStart w:id="3907" w:name="_Toc534708891"/>
      <w:bookmarkStart w:id="3908" w:name="_Toc118116555"/>
      <w:bookmarkStart w:id="3909" w:name="_Toc154649896"/>
      <w:bookmarkStart w:id="3910" w:name="_Toc173222796"/>
      <w:bookmarkStart w:id="3911" w:name="_Toc200375886"/>
      <w:bookmarkStart w:id="3912" w:name="_Toc200377062"/>
      <w:r w:rsidRPr="00765546">
        <w:t>Investigation</w:t>
      </w:r>
      <w:bookmarkEnd w:id="3904"/>
      <w:bookmarkEnd w:id="3905"/>
      <w:bookmarkEnd w:id="3906"/>
      <w:bookmarkEnd w:id="3907"/>
      <w:bookmarkEnd w:id="3908"/>
      <w:bookmarkEnd w:id="3909"/>
      <w:bookmarkEnd w:id="3910"/>
      <w:bookmarkEnd w:id="3911"/>
      <w:bookmarkEnd w:id="3912"/>
    </w:p>
    <w:p w14:paraId="5D9AFC10" w14:textId="77777777" w:rsidR="007F52B4" w:rsidRPr="00765546" w:rsidRDefault="007F52B4" w:rsidP="007F52B4">
      <w:pPr>
        <w:rPr>
          <w:rFonts w:cs="Arial"/>
          <w:szCs w:val="20"/>
        </w:rPr>
      </w:pPr>
      <w:r>
        <w:rPr>
          <w:rFonts w:cs="Arial"/>
          <w:szCs w:val="20"/>
        </w:rPr>
        <w:t>HHA</w:t>
      </w:r>
      <w:r w:rsidRPr="00765546">
        <w:rPr>
          <w:rFonts w:cs="Arial"/>
          <w:szCs w:val="20"/>
        </w:rPr>
        <w:t xml:space="preserve"> will review all referrals, specific allegations, complaints, and tips from any source including other agencies, companies, and individuals, to determine if they warrant investigation. </w:t>
      </w:r>
    </w:p>
    <w:p w14:paraId="1DC4E25B" w14:textId="77777777" w:rsidR="007F52B4" w:rsidRPr="00765546" w:rsidRDefault="007F52B4" w:rsidP="007F52B4">
      <w:pPr>
        <w:rPr>
          <w:rFonts w:cs="Arial"/>
          <w:szCs w:val="20"/>
        </w:rPr>
      </w:pPr>
      <w:r>
        <w:rPr>
          <w:rFonts w:cs="Arial"/>
          <w:szCs w:val="20"/>
        </w:rPr>
        <w:t>HHA</w:t>
      </w:r>
      <w:r w:rsidRPr="00765546">
        <w:rPr>
          <w:rFonts w:cs="Arial"/>
          <w:szCs w:val="20"/>
        </w:rPr>
        <w:t xml:space="preserve"> will investigate when inconsistent information related to the family that is identified through file reviews and the verification process.</w:t>
      </w:r>
    </w:p>
    <w:p w14:paraId="252C9028" w14:textId="77777777" w:rsidR="007F52B4" w:rsidRPr="00765546" w:rsidRDefault="007F52B4" w:rsidP="007F52B4">
      <w:pPr>
        <w:rPr>
          <w:rFonts w:cs="Arial"/>
          <w:szCs w:val="20"/>
        </w:rPr>
      </w:pPr>
      <w:r w:rsidRPr="00765546">
        <w:rPr>
          <w:rFonts w:cs="Arial"/>
          <w:szCs w:val="20"/>
        </w:rPr>
        <w:t>Investigated complaints may include, but are not limited to, the following:</w:t>
      </w:r>
    </w:p>
    <w:p w14:paraId="39A312DE" w14:textId="77777777" w:rsidR="007F52B4" w:rsidRPr="00765546" w:rsidRDefault="007F52B4" w:rsidP="007F177E">
      <w:pPr>
        <w:pStyle w:val="ListParagraph"/>
        <w:numPr>
          <w:ilvl w:val="0"/>
          <w:numId w:val="165"/>
        </w:numPr>
        <w:ind w:left="720"/>
        <w:contextualSpacing w:val="0"/>
        <w:rPr>
          <w:rFonts w:cs="Arial"/>
          <w:szCs w:val="20"/>
        </w:rPr>
      </w:pPr>
      <w:r w:rsidRPr="00765546">
        <w:rPr>
          <w:rFonts w:cs="Arial"/>
          <w:szCs w:val="20"/>
        </w:rPr>
        <w:t>Unreported income;</w:t>
      </w:r>
    </w:p>
    <w:p w14:paraId="40179B4D" w14:textId="77777777" w:rsidR="007F52B4" w:rsidRPr="00765546" w:rsidRDefault="007F52B4" w:rsidP="007F177E">
      <w:pPr>
        <w:pStyle w:val="ListParagraph"/>
        <w:numPr>
          <w:ilvl w:val="0"/>
          <w:numId w:val="165"/>
        </w:numPr>
        <w:ind w:left="720"/>
        <w:contextualSpacing w:val="0"/>
        <w:rPr>
          <w:rFonts w:cs="Arial"/>
          <w:szCs w:val="20"/>
        </w:rPr>
      </w:pPr>
      <w:r w:rsidRPr="00765546">
        <w:rPr>
          <w:rFonts w:cs="Arial"/>
          <w:szCs w:val="20"/>
        </w:rPr>
        <w:t>Fraud;</w:t>
      </w:r>
    </w:p>
    <w:p w14:paraId="64ADABD7" w14:textId="77777777" w:rsidR="007F52B4" w:rsidRPr="00765546" w:rsidRDefault="007F52B4" w:rsidP="007F177E">
      <w:pPr>
        <w:pStyle w:val="ListParagraph"/>
        <w:numPr>
          <w:ilvl w:val="0"/>
          <w:numId w:val="165"/>
        </w:numPr>
        <w:ind w:left="720"/>
        <w:contextualSpacing w:val="0"/>
        <w:rPr>
          <w:rFonts w:cs="Arial"/>
          <w:szCs w:val="20"/>
        </w:rPr>
      </w:pPr>
      <w:r w:rsidRPr="00765546">
        <w:rPr>
          <w:rFonts w:cs="Arial"/>
          <w:szCs w:val="20"/>
        </w:rPr>
        <w:t>Failure to report a change in household composition;</w:t>
      </w:r>
    </w:p>
    <w:p w14:paraId="75A65342" w14:textId="77777777" w:rsidR="007F52B4" w:rsidRPr="00765546" w:rsidRDefault="007F52B4" w:rsidP="007F177E">
      <w:pPr>
        <w:pStyle w:val="ListParagraph"/>
        <w:numPr>
          <w:ilvl w:val="0"/>
          <w:numId w:val="165"/>
        </w:numPr>
        <w:ind w:left="720"/>
        <w:contextualSpacing w:val="0"/>
        <w:rPr>
          <w:rFonts w:cs="Arial"/>
          <w:szCs w:val="20"/>
        </w:rPr>
      </w:pPr>
      <w:r w:rsidRPr="00765546">
        <w:rPr>
          <w:rFonts w:cs="Arial"/>
          <w:szCs w:val="20"/>
        </w:rPr>
        <w:t>Unauthorized occupancy;</w:t>
      </w:r>
    </w:p>
    <w:p w14:paraId="08D50A5C" w14:textId="77777777" w:rsidR="007F52B4" w:rsidRPr="00765546" w:rsidRDefault="007F52B4" w:rsidP="007F177E">
      <w:pPr>
        <w:pStyle w:val="ListParagraph"/>
        <w:numPr>
          <w:ilvl w:val="0"/>
          <w:numId w:val="165"/>
        </w:numPr>
        <w:ind w:left="720"/>
        <w:contextualSpacing w:val="0"/>
        <w:rPr>
          <w:rFonts w:cs="Arial"/>
          <w:szCs w:val="20"/>
        </w:rPr>
      </w:pPr>
      <w:r w:rsidRPr="00765546">
        <w:rPr>
          <w:rFonts w:cs="Arial"/>
          <w:szCs w:val="20"/>
        </w:rPr>
        <w:t>Subletting;</w:t>
      </w:r>
    </w:p>
    <w:p w14:paraId="6FFB16CE" w14:textId="77777777" w:rsidR="007F52B4" w:rsidRPr="00765546" w:rsidRDefault="000D323F" w:rsidP="007F177E">
      <w:pPr>
        <w:pStyle w:val="ListParagraph"/>
        <w:numPr>
          <w:ilvl w:val="0"/>
          <w:numId w:val="165"/>
        </w:numPr>
        <w:ind w:left="720"/>
        <w:contextualSpacing w:val="0"/>
        <w:rPr>
          <w:rFonts w:cs="Arial"/>
          <w:szCs w:val="20"/>
        </w:rPr>
      </w:pPr>
      <w:r>
        <w:rPr>
          <w:rFonts w:cs="Arial"/>
          <w:szCs w:val="20"/>
        </w:rPr>
        <w:t xml:space="preserve">Tenant </w:t>
      </w:r>
      <w:r w:rsidR="007F52B4" w:rsidRPr="00765546">
        <w:rPr>
          <w:rFonts w:cs="Arial"/>
          <w:szCs w:val="20"/>
        </w:rPr>
        <w:t>vacating without notice;</w:t>
      </w:r>
    </w:p>
    <w:p w14:paraId="0EA6BD32" w14:textId="77777777" w:rsidR="007F52B4" w:rsidRPr="00765546" w:rsidRDefault="007F52B4" w:rsidP="007F177E">
      <w:pPr>
        <w:pStyle w:val="ListParagraph"/>
        <w:numPr>
          <w:ilvl w:val="0"/>
          <w:numId w:val="165"/>
        </w:numPr>
        <w:ind w:left="720"/>
        <w:contextualSpacing w:val="0"/>
        <w:rPr>
          <w:rFonts w:cs="Arial"/>
          <w:szCs w:val="20"/>
        </w:rPr>
      </w:pPr>
      <w:r w:rsidRPr="00765546">
        <w:rPr>
          <w:rFonts w:cs="Arial"/>
          <w:szCs w:val="20"/>
        </w:rPr>
        <w:t>Illegal drug activity;</w:t>
      </w:r>
    </w:p>
    <w:p w14:paraId="2DB4F16B" w14:textId="77777777" w:rsidR="007F52B4" w:rsidRPr="00765546" w:rsidRDefault="007F52B4" w:rsidP="007F177E">
      <w:pPr>
        <w:pStyle w:val="ListParagraph"/>
        <w:numPr>
          <w:ilvl w:val="0"/>
          <w:numId w:val="165"/>
        </w:numPr>
        <w:ind w:left="720"/>
        <w:contextualSpacing w:val="0"/>
        <w:rPr>
          <w:rFonts w:cs="Arial"/>
          <w:szCs w:val="20"/>
        </w:rPr>
      </w:pPr>
      <w:r w:rsidRPr="00765546">
        <w:rPr>
          <w:rFonts w:cs="Arial"/>
          <w:szCs w:val="20"/>
        </w:rPr>
        <w:t>Violent criminal activity;</w:t>
      </w:r>
    </w:p>
    <w:p w14:paraId="119E6FF0" w14:textId="77777777" w:rsidR="007F52B4" w:rsidRPr="00765546" w:rsidRDefault="007F52B4" w:rsidP="007F177E">
      <w:pPr>
        <w:pStyle w:val="ListParagraph"/>
        <w:numPr>
          <w:ilvl w:val="0"/>
          <w:numId w:val="165"/>
        </w:numPr>
        <w:ind w:left="720"/>
        <w:contextualSpacing w:val="0"/>
        <w:rPr>
          <w:rFonts w:cs="Arial"/>
          <w:szCs w:val="20"/>
        </w:rPr>
      </w:pPr>
      <w:r w:rsidRPr="00765546">
        <w:rPr>
          <w:rFonts w:cs="Arial"/>
          <w:szCs w:val="20"/>
        </w:rPr>
        <w:t>Activities that threaten the right to peaceful enjoyment of the premises by other residents; and</w:t>
      </w:r>
    </w:p>
    <w:p w14:paraId="06390A68" w14:textId="77777777" w:rsidR="007F52B4" w:rsidRPr="00765546" w:rsidRDefault="007F52B4" w:rsidP="007F177E">
      <w:pPr>
        <w:pStyle w:val="ListParagraph"/>
        <w:numPr>
          <w:ilvl w:val="0"/>
          <w:numId w:val="165"/>
        </w:numPr>
        <w:ind w:left="720"/>
        <w:contextualSpacing w:val="0"/>
        <w:rPr>
          <w:rFonts w:cs="Arial"/>
          <w:szCs w:val="20"/>
        </w:rPr>
      </w:pPr>
      <w:r w:rsidRPr="00765546">
        <w:rPr>
          <w:rFonts w:cs="Arial"/>
          <w:szCs w:val="20"/>
        </w:rPr>
        <w:t>Nuisance.</w:t>
      </w:r>
    </w:p>
    <w:p w14:paraId="5550DE71" w14:textId="77777777" w:rsidR="007F52B4" w:rsidRPr="00765546" w:rsidRDefault="007F52B4" w:rsidP="00677451">
      <w:pPr>
        <w:pStyle w:val="Heading3"/>
      </w:pPr>
      <w:bookmarkStart w:id="3913" w:name="_Toc508698533"/>
      <w:bookmarkStart w:id="3914" w:name="_Toc520796775"/>
      <w:bookmarkStart w:id="3915" w:name="_Toc527019716"/>
      <w:bookmarkStart w:id="3916" w:name="_Toc534707406"/>
      <w:bookmarkStart w:id="3917" w:name="_Toc534708084"/>
      <w:bookmarkStart w:id="3918" w:name="_Toc534708892"/>
      <w:bookmarkStart w:id="3919" w:name="_Toc118116556"/>
      <w:bookmarkStart w:id="3920" w:name="_Toc200375887"/>
      <w:r w:rsidRPr="00765546">
        <w:t>Consent to Release of Information</w:t>
      </w:r>
      <w:bookmarkEnd w:id="3913"/>
      <w:bookmarkEnd w:id="3914"/>
      <w:bookmarkEnd w:id="3915"/>
      <w:bookmarkEnd w:id="3916"/>
      <w:bookmarkEnd w:id="3917"/>
      <w:bookmarkEnd w:id="3918"/>
      <w:bookmarkEnd w:id="3919"/>
      <w:bookmarkEnd w:id="3920"/>
      <w:r w:rsidRPr="00765546">
        <w:t xml:space="preserve"> </w:t>
      </w:r>
    </w:p>
    <w:p w14:paraId="1A728AC4" w14:textId="77777777" w:rsidR="007F52B4" w:rsidRPr="00765546" w:rsidRDefault="007F52B4" w:rsidP="007F52B4">
      <w:pPr>
        <w:rPr>
          <w:rFonts w:cs="Arial"/>
          <w:szCs w:val="20"/>
        </w:rPr>
      </w:pPr>
      <w:r>
        <w:rPr>
          <w:rFonts w:cs="Arial"/>
          <w:szCs w:val="20"/>
        </w:rPr>
        <w:t>HHA</w:t>
      </w:r>
      <w:r w:rsidRPr="00765546">
        <w:rPr>
          <w:rFonts w:cs="Arial"/>
          <w:szCs w:val="20"/>
        </w:rPr>
        <w:t xml:space="preserve"> may investigate possible instances of error or abuse using all available </w:t>
      </w:r>
      <w:r>
        <w:rPr>
          <w:rFonts w:cs="Arial"/>
          <w:szCs w:val="20"/>
        </w:rPr>
        <w:t>HHA</w:t>
      </w:r>
      <w:r w:rsidRPr="00765546">
        <w:rPr>
          <w:rFonts w:cs="Arial"/>
          <w:szCs w:val="20"/>
        </w:rPr>
        <w:t xml:space="preserve"> and public records. If necessary, </w:t>
      </w:r>
      <w:r>
        <w:rPr>
          <w:rFonts w:cs="Arial"/>
          <w:szCs w:val="20"/>
        </w:rPr>
        <w:t>HHA</w:t>
      </w:r>
      <w:r w:rsidRPr="00765546">
        <w:rPr>
          <w:rFonts w:cs="Arial"/>
          <w:szCs w:val="20"/>
        </w:rPr>
        <w:t xml:space="preserve"> will require </w:t>
      </w:r>
      <w:r w:rsidR="00DF5B56">
        <w:rPr>
          <w:rFonts w:cs="Arial"/>
          <w:szCs w:val="20"/>
        </w:rPr>
        <w:t xml:space="preserve">tenant </w:t>
      </w:r>
      <w:r w:rsidRPr="00765546">
        <w:rPr>
          <w:rFonts w:cs="Arial"/>
          <w:szCs w:val="20"/>
        </w:rPr>
        <w:t>families to sign consent forms for</w:t>
      </w:r>
      <w:r w:rsidRPr="00765546">
        <w:rPr>
          <w:rFonts w:cs="Arial"/>
          <w:color w:val="FF0000"/>
          <w:szCs w:val="20"/>
        </w:rPr>
        <w:t xml:space="preserve"> </w:t>
      </w:r>
      <w:r w:rsidRPr="00765546">
        <w:rPr>
          <w:rFonts w:cs="Arial"/>
          <w:szCs w:val="20"/>
        </w:rPr>
        <w:t xml:space="preserve">the release of additional information. </w:t>
      </w:r>
    </w:p>
    <w:p w14:paraId="37424264" w14:textId="77777777" w:rsidR="007F52B4" w:rsidRPr="00765546" w:rsidRDefault="007F52B4" w:rsidP="00677451">
      <w:pPr>
        <w:pStyle w:val="Heading3"/>
      </w:pPr>
      <w:bookmarkStart w:id="3921" w:name="_Toc508698536"/>
      <w:bookmarkStart w:id="3922" w:name="_Toc520796778"/>
      <w:bookmarkStart w:id="3923" w:name="_Toc527019719"/>
      <w:bookmarkStart w:id="3924" w:name="_Toc534707409"/>
      <w:bookmarkStart w:id="3925" w:name="_Toc534708087"/>
      <w:bookmarkStart w:id="3926" w:name="_Toc534708895"/>
      <w:bookmarkStart w:id="3927" w:name="_Toc118116559"/>
      <w:bookmarkStart w:id="3928" w:name="_Toc200375888"/>
      <w:r w:rsidRPr="00765546">
        <w:t>Notice and Appeals</w:t>
      </w:r>
      <w:bookmarkEnd w:id="3921"/>
      <w:bookmarkEnd w:id="3922"/>
      <w:bookmarkEnd w:id="3923"/>
      <w:bookmarkEnd w:id="3924"/>
      <w:bookmarkEnd w:id="3925"/>
      <w:bookmarkEnd w:id="3926"/>
      <w:bookmarkEnd w:id="3927"/>
      <w:bookmarkEnd w:id="3928"/>
      <w:r w:rsidRPr="00765546">
        <w:t xml:space="preserve"> </w:t>
      </w:r>
    </w:p>
    <w:p w14:paraId="03F9D138" w14:textId="77777777" w:rsidR="007F52B4" w:rsidRPr="00765546" w:rsidRDefault="007F52B4" w:rsidP="007F52B4">
      <w:pPr>
        <w:rPr>
          <w:rFonts w:cs="Arial"/>
          <w:szCs w:val="20"/>
        </w:rPr>
      </w:pPr>
      <w:r>
        <w:rPr>
          <w:rFonts w:cs="Arial"/>
          <w:szCs w:val="20"/>
        </w:rPr>
        <w:t>HHA</w:t>
      </w:r>
      <w:r w:rsidRPr="00765546">
        <w:rPr>
          <w:rFonts w:cs="Arial"/>
          <w:szCs w:val="20"/>
        </w:rPr>
        <w:t xml:space="preserve"> will timely inform the relevant</w:t>
      </w:r>
      <w:r w:rsidRPr="00765546">
        <w:rPr>
          <w:rFonts w:cs="Arial"/>
          <w:b/>
          <w:szCs w:val="20"/>
        </w:rPr>
        <w:t xml:space="preserve"> </w:t>
      </w:r>
      <w:r w:rsidRPr="00765546">
        <w:rPr>
          <w:rFonts w:cs="Arial"/>
          <w:szCs w:val="20"/>
        </w:rPr>
        <w:t>party in writing of its findings and remedies. The notice will include:</w:t>
      </w:r>
    </w:p>
    <w:p w14:paraId="21DC117C" w14:textId="77777777" w:rsidR="007F52B4" w:rsidRPr="00765546" w:rsidRDefault="007F52B4" w:rsidP="007F177E">
      <w:pPr>
        <w:pStyle w:val="ListParagraph"/>
        <w:numPr>
          <w:ilvl w:val="0"/>
          <w:numId w:val="166"/>
        </w:numPr>
        <w:ind w:left="720"/>
        <w:contextualSpacing w:val="0"/>
        <w:rPr>
          <w:rFonts w:cs="Arial"/>
          <w:szCs w:val="20"/>
        </w:rPr>
      </w:pPr>
      <w:r w:rsidRPr="00765546">
        <w:rPr>
          <w:rFonts w:cs="Arial"/>
          <w:szCs w:val="20"/>
        </w:rPr>
        <w:t>A description of the error or program abuse;</w:t>
      </w:r>
    </w:p>
    <w:p w14:paraId="1297881C" w14:textId="77777777" w:rsidR="007F52B4" w:rsidRPr="00765546" w:rsidRDefault="007F52B4" w:rsidP="007F177E">
      <w:pPr>
        <w:pStyle w:val="ListParagraph"/>
        <w:numPr>
          <w:ilvl w:val="0"/>
          <w:numId w:val="166"/>
        </w:numPr>
        <w:ind w:left="720"/>
        <w:contextualSpacing w:val="0"/>
        <w:rPr>
          <w:rFonts w:cs="Arial"/>
          <w:szCs w:val="20"/>
        </w:rPr>
      </w:pPr>
      <w:r w:rsidRPr="00765546">
        <w:rPr>
          <w:rFonts w:cs="Arial"/>
          <w:szCs w:val="20"/>
        </w:rPr>
        <w:t xml:space="preserve">The basis on which </w:t>
      </w:r>
      <w:r>
        <w:rPr>
          <w:rFonts w:cs="Arial"/>
          <w:szCs w:val="20"/>
        </w:rPr>
        <w:t>HHA</w:t>
      </w:r>
      <w:r w:rsidRPr="00765546">
        <w:rPr>
          <w:rFonts w:cs="Arial"/>
          <w:szCs w:val="20"/>
        </w:rPr>
        <w:t xml:space="preserve"> determined the error or program abuses; </w:t>
      </w:r>
    </w:p>
    <w:p w14:paraId="5A4D4747" w14:textId="77777777" w:rsidR="007F52B4" w:rsidRPr="00765546" w:rsidRDefault="007F52B4" w:rsidP="007F177E">
      <w:pPr>
        <w:pStyle w:val="ListParagraph"/>
        <w:numPr>
          <w:ilvl w:val="0"/>
          <w:numId w:val="166"/>
        </w:numPr>
        <w:ind w:left="720"/>
        <w:contextualSpacing w:val="0"/>
        <w:rPr>
          <w:rFonts w:cs="Arial"/>
          <w:szCs w:val="20"/>
        </w:rPr>
      </w:pPr>
      <w:r w:rsidRPr="00765546">
        <w:rPr>
          <w:rFonts w:cs="Arial"/>
          <w:szCs w:val="20"/>
        </w:rPr>
        <w:t xml:space="preserve">The remedies to be employed; and </w:t>
      </w:r>
    </w:p>
    <w:p w14:paraId="61B455F8" w14:textId="77777777" w:rsidR="007F52B4" w:rsidRDefault="007F52B4" w:rsidP="007F177E">
      <w:pPr>
        <w:pStyle w:val="ListParagraph"/>
        <w:numPr>
          <w:ilvl w:val="0"/>
          <w:numId w:val="166"/>
        </w:numPr>
        <w:ind w:left="720"/>
        <w:contextualSpacing w:val="0"/>
        <w:rPr>
          <w:rFonts w:cs="Arial"/>
          <w:szCs w:val="20"/>
        </w:rPr>
      </w:pPr>
      <w:r w:rsidRPr="00765546">
        <w:rPr>
          <w:rFonts w:cs="Arial"/>
          <w:szCs w:val="20"/>
        </w:rPr>
        <w:t xml:space="preserve">The family’s right to appeal the results through the </w:t>
      </w:r>
      <w:r w:rsidR="006F2B21" w:rsidRPr="006F2B21">
        <w:rPr>
          <w:rFonts w:cs="Arial"/>
          <w:b/>
          <w:bCs/>
          <w:color w:val="0070C0"/>
          <w:szCs w:val="20"/>
        </w:rPr>
        <w:fldChar w:fldCharType="begin"/>
      </w:r>
      <w:r w:rsidR="006F2B21" w:rsidRPr="006F2B21">
        <w:rPr>
          <w:rFonts w:cs="Arial"/>
          <w:b/>
          <w:bCs/>
          <w:color w:val="0070C0"/>
          <w:szCs w:val="20"/>
        </w:rPr>
        <w:instrText xml:space="preserve"> REF _Ref103933874 \h  \* MERGEFORMAT </w:instrText>
      </w:r>
      <w:r w:rsidR="006F2B21" w:rsidRPr="006F2B21">
        <w:rPr>
          <w:rFonts w:cs="Arial"/>
          <w:b/>
          <w:bCs/>
          <w:color w:val="0070C0"/>
          <w:szCs w:val="20"/>
        </w:rPr>
      </w:r>
      <w:r w:rsidR="006F2B21" w:rsidRPr="006F2B21">
        <w:rPr>
          <w:rFonts w:cs="Arial"/>
          <w:b/>
          <w:bCs/>
          <w:color w:val="0070C0"/>
          <w:szCs w:val="20"/>
        </w:rPr>
        <w:fldChar w:fldCharType="separate"/>
      </w:r>
      <w:r w:rsidR="006F2B21" w:rsidRPr="006F2B21">
        <w:rPr>
          <w:b/>
          <w:bCs/>
          <w:color w:val="0070C0"/>
        </w:rPr>
        <w:t>Grievance Hearings for Public Housing Residents</w:t>
      </w:r>
      <w:r w:rsidR="006F2B21" w:rsidRPr="006F2B21">
        <w:rPr>
          <w:rFonts w:cs="Arial"/>
          <w:b/>
          <w:bCs/>
          <w:color w:val="0070C0"/>
          <w:szCs w:val="20"/>
        </w:rPr>
        <w:fldChar w:fldCharType="end"/>
      </w:r>
      <w:r w:rsidR="006F2B21">
        <w:rPr>
          <w:rFonts w:cs="Arial"/>
          <w:szCs w:val="20"/>
        </w:rPr>
        <w:t xml:space="preserve"> </w:t>
      </w:r>
      <w:r w:rsidRPr="00765546">
        <w:rPr>
          <w:rFonts w:cs="Arial"/>
          <w:szCs w:val="20"/>
        </w:rPr>
        <w:t>process, if applicable.</w:t>
      </w:r>
    </w:p>
    <w:p w14:paraId="5393E685" w14:textId="77777777" w:rsidR="00E60A07" w:rsidRDefault="00E60A07" w:rsidP="00E60A07">
      <w:pPr>
        <w:pStyle w:val="Heading2"/>
      </w:pPr>
      <w:bookmarkStart w:id="3929" w:name="_Toc190182763"/>
      <w:bookmarkStart w:id="3930" w:name="_Toc200375889"/>
      <w:bookmarkStart w:id="3931" w:name="_Toc200377063"/>
      <w:r>
        <w:t>De Minimis Errors</w:t>
      </w:r>
      <w:bookmarkEnd w:id="3929"/>
      <w:bookmarkEnd w:id="3930"/>
      <w:bookmarkEnd w:id="3931"/>
      <w:r>
        <w:t xml:space="preserve"> </w:t>
      </w:r>
    </w:p>
    <w:p w14:paraId="6BFF5422" w14:textId="77777777" w:rsidR="00E60A07" w:rsidRDefault="00E60A07" w:rsidP="00E60A07">
      <w:pPr>
        <w:rPr>
          <w:rFonts w:cs="Arial"/>
          <w:szCs w:val="20"/>
        </w:rPr>
      </w:pPr>
      <w:r>
        <w:rPr>
          <w:rFonts w:cs="Arial"/>
          <w:szCs w:val="20"/>
        </w:rPr>
        <w:t xml:space="preserve">HHA </w:t>
      </w:r>
      <w:r w:rsidRPr="001B720E">
        <w:rPr>
          <w:rFonts w:cs="Arial"/>
          <w:szCs w:val="20"/>
        </w:rPr>
        <w:t xml:space="preserve">will not be considered out of compliance when making annual income determinations solely due to </w:t>
      </w:r>
      <w:r w:rsidRPr="001B720E">
        <w:rPr>
          <w:rFonts w:cs="Arial"/>
          <w:i/>
          <w:iCs/>
          <w:szCs w:val="20"/>
        </w:rPr>
        <w:t>de minimis</w:t>
      </w:r>
      <w:r w:rsidRPr="001B720E">
        <w:rPr>
          <w:rFonts w:cs="Arial"/>
          <w:szCs w:val="20"/>
        </w:rPr>
        <w:t xml:space="preserve"> </w:t>
      </w:r>
      <w:r w:rsidRPr="001B720E">
        <w:rPr>
          <w:rFonts w:cs="Arial"/>
          <w:i/>
          <w:iCs/>
          <w:szCs w:val="20"/>
        </w:rPr>
        <w:t>errors</w:t>
      </w:r>
      <w:r w:rsidRPr="001B720E">
        <w:rPr>
          <w:rFonts w:cs="Arial"/>
          <w:szCs w:val="20"/>
        </w:rPr>
        <w:t xml:space="preserve"> in calculating family income. </w:t>
      </w:r>
    </w:p>
    <w:p w14:paraId="3D4B7D29" w14:textId="77777777" w:rsidR="00E60A07" w:rsidRPr="001B720E" w:rsidRDefault="00E60A07" w:rsidP="00E60A07">
      <w:pPr>
        <w:rPr>
          <w:rFonts w:cs="Arial"/>
          <w:szCs w:val="20"/>
        </w:rPr>
      </w:pPr>
      <w:r w:rsidRPr="001B720E">
        <w:rPr>
          <w:rFonts w:cs="Arial"/>
          <w:szCs w:val="20"/>
        </w:rPr>
        <w:t xml:space="preserve">A </w:t>
      </w:r>
      <w:r w:rsidRPr="001B720E">
        <w:rPr>
          <w:rFonts w:cs="Arial"/>
          <w:i/>
          <w:iCs/>
          <w:szCs w:val="20"/>
        </w:rPr>
        <w:t>de minimis error</w:t>
      </w:r>
      <w:r w:rsidRPr="001B720E">
        <w:rPr>
          <w:rFonts w:cs="Arial"/>
          <w:szCs w:val="20"/>
        </w:rPr>
        <w:t xml:space="preserve"> is an error where t</w:t>
      </w:r>
      <w:r>
        <w:rPr>
          <w:rFonts w:cs="Arial"/>
          <w:szCs w:val="20"/>
        </w:rPr>
        <w:t xml:space="preserve">he HHA </w:t>
      </w:r>
      <w:r w:rsidRPr="001B720E">
        <w:rPr>
          <w:rFonts w:cs="Arial"/>
          <w:szCs w:val="20"/>
        </w:rPr>
        <w:t>determination of family income deviates from the correct income determination by no more than $30 per month in monthly adjusted income ($360 in annual adjusted income) per family.</w:t>
      </w:r>
    </w:p>
    <w:p w14:paraId="7CDBCB3B" w14:textId="77777777" w:rsidR="001D7B20" w:rsidRDefault="00E60A07" w:rsidP="00E60A07">
      <w:pPr>
        <w:rPr>
          <w:rFonts w:cs="Arial"/>
          <w:szCs w:val="20"/>
        </w:rPr>
      </w:pPr>
      <w:r>
        <w:rPr>
          <w:rFonts w:cs="Arial"/>
          <w:szCs w:val="20"/>
        </w:rPr>
        <w:t>HHA will</w:t>
      </w:r>
      <w:r w:rsidRPr="001B720E">
        <w:rPr>
          <w:rFonts w:cs="Arial"/>
          <w:szCs w:val="20"/>
        </w:rPr>
        <w:t xml:space="preserve"> take corrective action to credit or repay a family if the family was overcharged rent, including when </w:t>
      </w:r>
      <w:r>
        <w:rPr>
          <w:rFonts w:cs="Arial"/>
          <w:szCs w:val="20"/>
        </w:rPr>
        <w:t>HHA</w:t>
      </w:r>
      <w:r w:rsidRPr="001B720E">
        <w:rPr>
          <w:rFonts w:cs="Arial"/>
          <w:szCs w:val="20"/>
        </w:rPr>
        <w:t xml:space="preserve"> make</w:t>
      </w:r>
      <w:r>
        <w:rPr>
          <w:rFonts w:cs="Arial"/>
          <w:szCs w:val="20"/>
        </w:rPr>
        <w:t>s</w:t>
      </w:r>
      <w:r w:rsidRPr="001B720E">
        <w:rPr>
          <w:rFonts w:cs="Arial"/>
          <w:szCs w:val="20"/>
        </w:rPr>
        <w:t xml:space="preserve"> de minimis errors in the income determination. Families will not be required to repay </w:t>
      </w:r>
      <w:r>
        <w:rPr>
          <w:rFonts w:cs="Arial"/>
          <w:szCs w:val="20"/>
        </w:rPr>
        <w:t>H</w:t>
      </w:r>
      <w:r w:rsidR="002D2269">
        <w:rPr>
          <w:rFonts w:cs="Arial"/>
          <w:szCs w:val="20"/>
        </w:rPr>
        <w:t>HA</w:t>
      </w:r>
      <w:r>
        <w:rPr>
          <w:rFonts w:cs="Arial"/>
          <w:szCs w:val="20"/>
        </w:rPr>
        <w:t xml:space="preserve"> </w:t>
      </w:r>
      <w:r w:rsidRPr="001B720E">
        <w:rPr>
          <w:rFonts w:cs="Arial"/>
          <w:szCs w:val="20"/>
        </w:rPr>
        <w:t xml:space="preserve">in instances where </w:t>
      </w:r>
      <w:r>
        <w:rPr>
          <w:rFonts w:cs="Arial"/>
          <w:szCs w:val="20"/>
        </w:rPr>
        <w:t>H</w:t>
      </w:r>
      <w:r w:rsidR="002D2269">
        <w:rPr>
          <w:rFonts w:cs="Arial"/>
          <w:szCs w:val="20"/>
        </w:rPr>
        <w:t>HA</w:t>
      </w:r>
      <w:r w:rsidRPr="001B720E">
        <w:rPr>
          <w:rFonts w:cs="Arial"/>
          <w:szCs w:val="20"/>
        </w:rPr>
        <w:t xml:space="preserve"> miscalculated income resulting in a family being undercharged for rent.</w:t>
      </w:r>
    </w:p>
    <w:p w14:paraId="5E52E980" w14:textId="3435B9E5" w:rsidR="007F52B4" w:rsidRPr="00765546" w:rsidRDefault="00E60A07" w:rsidP="007F52B4">
      <w:pPr>
        <w:pStyle w:val="Heading2"/>
      </w:pPr>
      <w:r w:rsidRPr="001B720E">
        <w:rPr>
          <w:rFonts w:cs="Arial"/>
          <w:szCs w:val="20"/>
        </w:rPr>
        <w:t xml:space="preserve"> </w:t>
      </w:r>
      <w:bookmarkStart w:id="3932" w:name="_Ref510002147"/>
      <w:bookmarkStart w:id="3933" w:name="_Toc513727736"/>
      <w:bookmarkStart w:id="3934" w:name="_Toc520796782"/>
      <w:bookmarkStart w:id="3935" w:name="_Toc527019723"/>
      <w:bookmarkStart w:id="3936" w:name="_Toc534707413"/>
      <w:bookmarkStart w:id="3937" w:name="_Toc534708091"/>
      <w:bookmarkStart w:id="3938" w:name="_Toc534708899"/>
      <w:bookmarkStart w:id="3939" w:name="_Toc118116563"/>
      <w:bookmarkStart w:id="3940" w:name="_Toc154649898"/>
      <w:bookmarkStart w:id="3941" w:name="_Toc173222797"/>
      <w:bookmarkStart w:id="3942" w:name="_Toc200375890"/>
      <w:bookmarkStart w:id="3943" w:name="_Toc200377064"/>
      <w:r w:rsidR="007F52B4" w:rsidRPr="00765546">
        <w:t xml:space="preserve">Family-Caused Errors </w:t>
      </w:r>
      <w:r w:rsidR="007F52B4">
        <w:t>a</w:t>
      </w:r>
      <w:r w:rsidR="007F52B4" w:rsidRPr="00765546">
        <w:t>nd/</w:t>
      </w:r>
      <w:r w:rsidR="007F52B4">
        <w:t>o</w:t>
      </w:r>
      <w:r w:rsidR="007F52B4" w:rsidRPr="00765546">
        <w:t>r Program Abuse</w:t>
      </w:r>
      <w:bookmarkEnd w:id="3932"/>
      <w:bookmarkEnd w:id="3933"/>
      <w:bookmarkEnd w:id="3934"/>
      <w:bookmarkEnd w:id="3935"/>
      <w:bookmarkEnd w:id="3936"/>
      <w:bookmarkEnd w:id="3937"/>
      <w:bookmarkEnd w:id="3938"/>
      <w:bookmarkEnd w:id="3939"/>
      <w:bookmarkEnd w:id="3940"/>
      <w:bookmarkEnd w:id="3941"/>
      <w:bookmarkEnd w:id="3942"/>
      <w:bookmarkEnd w:id="3943"/>
    </w:p>
    <w:p w14:paraId="2DD4CE9C" w14:textId="77777777" w:rsidR="007F52B4" w:rsidRPr="00765546" w:rsidRDefault="007F52B4" w:rsidP="007F52B4">
      <w:pPr>
        <w:rPr>
          <w:rFonts w:cs="Arial"/>
          <w:szCs w:val="20"/>
        </w:rPr>
      </w:pPr>
      <w:r w:rsidRPr="00765546">
        <w:rPr>
          <w:rFonts w:cs="Arial"/>
          <w:szCs w:val="20"/>
        </w:rPr>
        <w:t xml:space="preserve">Family obligations and general administrative requirements for participating in the program are discussed throughout this </w:t>
      </w:r>
      <w:r w:rsidR="00F85900">
        <w:rPr>
          <w:rFonts w:cs="Arial"/>
          <w:szCs w:val="20"/>
        </w:rPr>
        <w:t>ACOP</w:t>
      </w:r>
      <w:r w:rsidRPr="00765546">
        <w:rPr>
          <w:rFonts w:cs="Arial"/>
          <w:szCs w:val="20"/>
        </w:rPr>
        <w:t>. This section deals specifically with errors and program abuse by family members.</w:t>
      </w:r>
    </w:p>
    <w:p w14:paraId="5806FADB" w14:textId="77777777" w:rsidR="007F52B4" w:rsidRPr="00765546" w:rsidRDefault="007F52B4" w:rsidP="007F52B4">
      <w:pPr>
        <w:rPr>
          <w:rFonts w:cs="Arial"/>
          <w:szCs w:val="20"/>
        </w:rPr>
      </w:pPr>
      <w:r w:rsidRPr="00765546">
        <w:rPr>
          <w:rFonts w:cs="Arial"/>
          <w:szCs w:val="20"/>
        </w:rPr>
        <w:t xml:space="preserve">An incorrect subsidy determination caused by a family generally would be the result of incorrect reporting of family composition, income, assets, or expenses, but also would include instances in which the family knowingly allows </w:t>
      </w:r>
      <w:r>
        <w:rPr>
          <w:rFonts w:cs="Arial"/>
          <w:szCs w:val="20"/>
        </w:rPr>
        <w:t>HHA</w:t>
      </w:r>
      <w:r w:rsidRPr="00765546">
        <w:rPr>
          <w:rFonts w:cs="Arial"/>
          <w:szCs w:val="20"/>
        </w:rPr>
        <w:t xml:space="preserve"> to use incorrect information provided by a third party. </w:t>
      </w:r>
    </w:p>
    <w:p w14:paraId="1ED288A4" w14:textId="77777777" w:rsidR="007F52B4" w:rsidRPr="00571ED7" w:rsidRDefault="007F52B4" w:rsidP="007F52B4">
      <w:pPr>
        <w:rPr>
          <w:rFonts w:cs="Arial"/>
          <w:strike/>
          <w:szCs w:val="20"/>
        </w:rPr>
      </w:pPr>
      <w:r>
        <w:rPr>
          <w:rFonts w:cs="Arial"/>
          <w:szCs w:val="20"/>
        </w:rPr>
        <w:t>HHA</w:t>
      </w:r>
      <w:r w:rsidRPr="00765546">
        <w:rPr>
          <w:rFonts w:cs="Arial"/>
          <w:szCs w:val="20"/>
        </w:rPr>
        <w:t xml:space="preserve"> will not reimburse the family for any overpayment of family share of rent when the family causes the </w:t>
      </w:r>
      <w:r w:rsidRPr="00571ED7">
        <w:rPr>
          <w:rFonts w:cs="Arial"/>
          <w:szCs w:val="20"/>
        </w:rPr>
        <w:t>overpayment.</w:t>
      </w:r>
    </w:p>
    <w:p w14:paraId="0DD0B055" w14:textId="77777777" w:rsidR="007F52B4" w:rsidRPr="00765546" w:rsidRDefault="007F52B4" w:rsidP="00677451">
      <w:pPr>
        <w:pStyle w:val="Heading3"/>
      </w:pPr>
      <w:bookmarkStart w:id="3944" w:name="_Toc118116564"/>
      <w:bookmarkStart w:id="3945" w:name="_Toc200375891"/>
      <w:r w:rsidRPr="00765546">
        <w:t>Prohibited Family Actions</w:t>
      </w:r>
      <w:bookmarkEnd w:id="3944"/>
      <w:bookmarkEnd w:id="3945"/>
    </w:p>
    <w:p w14:paraId="1A095B90" w14:textId="77777777" w:rsidR="007F52B4" w:rsidRPr="00765546" w:rsidRDefault="007F52B4" w:rsidP="007F52B4">
      <w:pPr>
        <w:rPr>
          <w:rFonts w:cs="Arial"/>
          <w:szCs w:val="20"/>
        </w:rPr>
      </w:pPr>
      <w:r w:rsidRPr="00765546">
        <w:rPr>
          <w:rFonts w:cs="Arial"/>
          <w:szCs w:val="20"/>
        </w:rPr>
        <w:t xml:space="preserve">An applicant or </w:t>
      </w:r>
      <w:r w:rsidR="001259B9">
        <w:rPr>
          <w:rFonts w:cs="Arial"/>
          <w:szCs w:val="20"/>
        </w:rPr>
        <w:t>resident</w:t>
      </w:r>
      <w:r w:rsidRPr="00765546">
        <w:rPr>
          <w:rFonts w:cs="Arial"/>
          <w:szCs w:val="20"/>
        </w:rPr>
        <w:t xml:space="preserve"> family must not engage in any </w:t>
      </w:r>
      <w:r w:rsidR="001259B9">
        <w:rPr>
          <w:rFonts w:cs="Arial"/>
          <w:szCs w:val="20"/>
        </w:rPr>
        <w:t>public housing</w:t>
      </w:r>
      <w:r w:rsidRPr="00765546">
        <w:rPr>
          <w:rFonts w:cs="Arial"/>
          <w:szCs w:val="20"/>
        </w:rPr>
        <w:t xml:space="preserve"> program abuse, including but not limited to making a false statement to </w:t>
      </w:r>
      <w:r>
        <w:rPr>
          <w:rFonts w:cs="Arial"/>
          <w:szCs w:val="20"/>
        </w:rPr>
        <w:t>HHA</w:t>
      </w:r>
      <w:r w:rsidRPr="00765546">
        <w:rPr>
          <w:rFonts w:cs="Arial"/>
          <w:szCs w:val="20"/>
        </w:rPr>
        <w:t xml:space="preserve"> and/or committing fraud, bribery, or any other corrupt or criminal act in connection with any federal housing program. </w:t>
      </w:r>
      <w:r w:rsidR="00105EF9">
        <w:rPr>
          <w:rFonts w:cs="Arial"/>
          <w:szCs w:val="20"/>
        </w:rPr>
        <w:t>E</w:t>
      </w:r>
      <w:r w:rsidRPr="00765546">
        <w:rPr>
          <w:rFonts w:cs="Arial"/>
          <w:szCs w:val="20"/>
        </w:rPr>
        <w:t>vidence of family program abuse</w:t>
      </w:r>
      <w:r w:rsidR="00105EF9">
        <w:rPr>
          <w:rFonts w:cs="Arial"/>
          <w:szCs w:val="20"/>
        </w:rPr>
        <w:t xml:space="preserve"> includes but is not limited to</w:t>
      </w:r>
      <w:r w:rsidRPr="00765546">
        <w:rPr>
          <w:rFonts w:cs="Arial"/>
          <w:szCs w:val="20"/>
        </w:rPr>
        <w:t>:</w:t>
      </w:r>
    </w:p>
    <w:p w14:paraId="740A5D01" w14:textId="77777777" w:rsidR="007F52B4" w:rsidRPr="00765546" w:rsidRDefault="007F52B4" w:rsidP="007F177E">
      <w:pPr>
        <w:pStyle w:val="ListParagraph"/>
        <w:numPr>
          <w:ilvl w:val="0"/>
          <w:numId w:val="167"/>
        </w:numPr>
        <w:ind w:left="720"/>
        <w:contextualSpacing w:val="0"/>
        <w:rPr>
          <w:rFonts w:cs="Arial"/>
          <w:szCs w:val="20"/>
        </w:rPr>
      </w:pPr>
      <w:r w:rsidRPr="00765546">
        <w:rPr>
          <w:rFonts w:cs="Arial"/>
          <w:szCs w:val="20"/>
        </w:rPr>
        <w:t xml:space="preserve">Offering bribes or illegal gratuities to the </w:t>
      </w:r>
      <w:r>
        <w:rPr>
          <w:rFonts w:cs="Arial"/>
          <w:szCs w:val="20"/>
        </w:rPr>
        <w:t>HHA</w:t>
      </w:r>
      <w:r w:rsidRPr="00765546">
        <w:rPr>
          <w:rFonts w:cs="Arial"/>
          <w:szCs w:val="20"/>
        </w:rPr>
        <w:t xml:space="preserve"> Board of Commissioners, employees, contractors, or other </w:t>
      </w:r>
      <w:r>
        <w:rPr>
          <w:rFonts w:cs="Arial"/>
          <w:szCs w:val="20"/>
        </w:rPr>
        <w:t>HHA</w:t>
      </w:r>
      <w:r w:rsidRPr="00765546">
        <w:rPr>
          <w:rFonts w:cs="Arial"/>
          <w:szCs w:val="20"/>
        </w:rPr>
        <w:t xml:space="preserve"> representatives;</w:t>
      </w:r>
    </w:p>
    <w:p w14:paraId="4C9EEA52" w14:textId="77777777" w:rsidR="007F52B4" w:rsidRPr="00765546" w:rsidRDefault="007F52B4" w:rsidP="007F177E">
      <w:pPr>
        <w:pStyle w:val="ListParagraph"/>
        <w:numPr>
          <w:ilvl w:val="0"/>
          <w:numId w:val="167"/>
        </w:numPr>
        <w:ind w:left="720"/>
        <w:contextualSpacing w:val="0"/>
        <w:rPr>
          <w:rFonts w:cs="Arial"/>
          <w:szCs w:val="20"/>
        </w:rPr>
      </w:pPr>
      <w:r w:rsidRPr="00765546">
        <w:rPr>
          <w:rFonts w:cs="Arial"/>
          <w:szCs w:val="20"/>
        </w:rPr>
        <w:t xml:space="preserve">Offering payments or other incentives to a third party as an inducement for the third party to make false or misleading statements to the </w:t>
      </w:r>
      <w:r>
        <w:rPr>
          <w:rFonts w:cs="Arial"/>
          <w:szCs w:val="20"/>
        </w:rPr>
        <w:t>HHA</w:t>
      </w:r>
      <w:r w:rsidRPr="00765546">
        <w:rPr>
          <w:rFonts w:cs="Arial"/>
          <w:szCs w:val="20"/>
        </w:rPr>
        <w:t xml:space="preserve"> on the family’s behalf;</w:t>
      </w:r>
    </w:p>
    <w:p w14:paraId="0790287B" w14:textId="77777777" w:rsidR="007F52B4" w:rsidRPr="00765546" w:rsidRDefault="007F52B4" w:rsidP="007F177E">
      <w:pPr>
        <w:pStyle w:val="ListParagraph"/>
        <w:numPr>
          <w:ilvl w:val="0"/>
          <w:numId w:val="167"/>
        </w:numPr>
        <w:ind w:left="720"/>
        <w:contextualSpacing w:val="0"/>
        <w:rPr>
          <w:rFonts w:cs="Arial"/>
          <w:szCs w:val="20"/>
        </w:rPr>
      </w:pPr>
      <w:r w:rsidRPr="00765546">
        <w:rPr>
          <w:rFonts w:cs="Arial"/>
          <w:szCs w:val="20"/>
        </w:rPr>
        <w:t>Use of a false name or the use of falsified, forged, or altered documents;</w:t>
      </w:r>
    </w:p>
    <w:p w14:paraId="406D9E3F" w14:textId="77777777" w:rsidR="007F52B4" w:rsidRPr="00765546" w:rsidRDefault="007F52B4" w:rsidP="007F177E">
      <w:pPr>
        <w:pStyle w:val="ListParagraph"/>
        <w:numPr>
          <w:ilvl w:val="0"/>
          <w:numId w:val="167"/>
        </w:numPr>
        <w:ind w:left="720"/>
        <w:contextualSpacing w:val="0"/>
        <w:rPr>
          <w:rFonts w:cs="Arial"/>
          <w:szCs w:val="20"/>
        </w:rPr>
      </w:pPr>
      <w:r w:rsidRPr="00765546">
        <w:rPr>
          <w:rFonts w:cs="Arial"/>
          <w:szCs w:val="20"/>
        </w:rPr>
        <w:t>Intentional misreporting of family information or circumstances (e.g., income, family composition);</w:t>
      </w:r>
    </w:p>
    <w:p w14:paraId="485CAD21" w14:textId="77777777" w:rsidR="007F52B4" w:rsidRPr="00765546" w:rsidRDefault="007F52B4" w:rsidP="007F177E">
      <w:pPr>
        <w:pStyle w:val="ListParagraph"/>
        <w:numPr>
          <w:ilvl w:val="0"/>
          <w:numId w:val="167"/>
        </w:numPr>
        <w:ind w:left="720"/>
        <w:contextualSpacing w:val="0"/>
        <w:rPr>
          <w:rFonts w:cs="Arial"/>
          <w:szCs w:val="20"/>
        </w:rPr>
      </w:pPr>
      <w:r w:rsidRPr="00765546">
        <w:rPr>
          <w:rFonts w:cs="Arial"/>
          <w:szCs w:val="20"/>
        </w:rPr>
        <w:t>Omitted facts that were obviously known by a family member (e.g., not reporting employment income);</w:t>
      </w:r>
    </w:p>
    <w:p w14:paraId="266AA774" w14:textId="77777777" w:rsidR="007F52B4" w:rsidRDefault="007F52B4" w:rsidP="007F177E">
      <w:pPr>
        <w:pStyle w:val="ListParagraph"/>
        <w:numPr>
          <w:ilvl w:val="0"/>
          <w:numId w:val="167"/>
        </w:numPr>
        <w:ind w:left="720"/>
        <w:contextualSpacing w:val="0"/>
        <w:rPr>
          <w:rFonts w:cs="Arial"/>
          <w:szCs w:val="20"/>
        </w:rPr>
      </w:pPr>
      <w:r w:rsidRPr="00765546">
        <w:rPr>
          <w:rFonts w:cs="Arial"/>
          <w:szCs w:val="20"/>
        </w:rPr>
        <w:t>Admission of program abuse by an adult family member;</w:t>
      </w:r>
    </w:p>
    <w:p w14:paraId="64A6C629" w14:textId="77777777" w:rsidR="00AD05CC" w:rsidRPr="00AD05CC" w:rsidRDefault="00AD05CC" w:rsidP="007F177E">
      <w:pPr>
        <w:pStyle w:val="ListParagraph"/>
        <w:numPr>
          <w:ilvl w:val="0"/>
          <w:numId w:val="167"/>
        </w:numPr>
        <w:ind w:left="720"/>
        <w:contextualSpacing w:val="0"/>
        <w:rPr>
          <w:rFonts w:cs="Arial"/>
          <w:szCs w:val="20"/>
        </w:rPr>
      </w:pPr>
      <w:r w:rsidRPr="00A01401">
        <w:rPr>
          <w:rFonts w:cs="Arial"/>
          <w:szCs w:val="20"/>
        </w:rPr>
        <w:t>Permit</w:t>
      </w:r>
      <w:r w:rsidR="00105EF9">
        <w:rPr>
          <w:rFonts w:cs="Arial"/>
          <w:szCs w:val="20"/>
        </w:rPr>
        <w:t>ting</w:t>
      </w:r>
      <w:r w:rsidRPr="00A01401">
        <w:rPr>
          <w:rFonts w:cs="Arial"/>
          <w:szCs w:val="20"/>
        </w:rPr>
        <w:t xml:space="preserve"> the use of the subsidized unit as a </w:t>
      </w:r>
      <w:r>
        <w:rPr>
          <w:rFonts w:cs="Arial"/>
          <w:szCs w:val="20"/>
        </w:rPr>
        <w:t>residence for unauthorized individual(s) that have not been approved by HHA. Permitting the use of the subsidized unit address as a m</w:t>
      </w:r>
      <w:r w:rsidRPr="00A01401">
        <w:rPr>
          <w:rFonts w:cs="Arial"/>
          <w:szCs w:val="20"/>
        </w:rPr>
        <w:t>ailing address</w:t>
      </w:r>
      <w:r>
        <w:rPr>
          <w:rFonts w:cs="Arial"/>
          <w:szCs w:val="20"/>
        </w:rPr>
        <w:t xml:space="preserve"> for unauthorized individual(s)</w:t>
      </w:r>
      <w:r w:rsidRPr="00A01401">
        <w:rPr>
          <w:rFonts w:cs="Arial"/>
          <w:szCs w:val="20"/>
        </w:rPr>
        <w:t xml:space="preserve"> </w:t>
      </w:r>
      <w:r>
        <w:rPr>
          <w:rFonts w:cs="Arial"/>
          <w:szCs w:val="20"/>
        </w:rPr>
        <w:t>may be used by HHA as evidence of unauthorized occupants, which may be grounds for termination of assistance.</w:t>
      </w:r>
    </w:p>
    <w:p w14:paraId="6D0CF57F" w14:textId="77777777" w:rsidR="007F52B4" w:rsidRPr="00765546" w:rsidRDefault="007F52B4" w:rsidP="007F52B4">
      <w:pPr>
        <w:rPr>
          <w:rFonts w:cs="Arial"/>
          <w:szCs w:val="20"/>
        </w:rPr>
      </w:pPr>
      <w:r>
        <w:rPr>
          <w:rFonts w:cs="Arial"/>
          <w:szCs w:val="20"/>
        </w:rPr>
        <w:t>HHA</w:t>
      </w:r>
      <w:r w:rsidRPr="00765546">
        <w:rPr>
          <w:rFonts w:cs="Arial"/>
          <w:szCs w:val="20"/>
        </w:rPr>
        <w:t xml:space="preserve"> may determine other actions to be program abuse based upon a preponderance of the evidence. </w:t>
      </w:r>
    </w:p>
    <w:p w14:paraId="25330AD7" w14:textId="77777777" w:rsidR="007F52B4" w:rsidRPr="00765546" w:rsidRDefault="007F52B4" w:rsidP="00677451">
      <w:pPr>
        <w:pStyle w:val="Heading3"/>
      </w:pPr>
      <w:bookmarkStart w:id="3946" w:name="_Toc508698538"/>
      <w:bookmarkStart w:id="3947" w:name="_Ref520713142"/>
      <w:bookmarkStart w:id="3948" w:name="_Toc520796784"/>
      <w:bookmarkStart w:id="3949" w:name="_Toc527019725"/>
      <w:bookmarkStart w:id="3950" w:name="_Toc534707414"/>
      <w:bookmarkStart w:id="3951" w:name="_Toc534708092"/>
      <w:bookmarkStart w:id="3952" w:name="_Toc534708900"/>
      <w:bookmarkStart w:id="3953" w:name="_Toc118116565"/>
      <w:bookmarkStart w:id="3954" w:name="_Toc200375892"/>
      <w:r w:rsidRPr="00765546">
        <w:t>Applicant/</w:t>
      </w:r>
      <w:r w:rsidR="004217E8">
        <w:t>Residen</w:t>
      </w:r>
      <w:r w:rsidRPr="00765546">
        <w:t>t Penalties for Program Abuse</w:t>
      </w:r>
      <w:bookmarkEnd w:id="3946"/>
      <w:bookmarkEnd w:id="3947"/>
      <w:bookmarkEnd w:id="3948"/>
      <w:bookmarkEnd w:id="3949"/>
      <w:bookmarkEnd w:id="3950"/>
      <w:bookmarkEnd w:id="3951"/>
      <w:bookmarkEnd w:id="3952"/>
      <w:bookmarkEnd w:id="3953"/>
      <w:bookmarkEnd w:id="3954"/>
    </w:p>
    <w:p w14:paraId="32339DC4" w14:textId="77777777" w:rsidR="007F52B4" w:rsidRPr="00765546" w:rsidRDefault="007F52B4" w:rsidP="007F52B4">
      <w:pPr>
        <w:rPr>
          <w:rFonts w:cs="Arial"/>
          <w:szCs w:val="20"/>
        </w:rPr>
      </w:pPr>
      <w:r w:rsidRPr="00765546">
        <w:rPr>
          <w:rFonts w:cs="Arial"/>
          <w:szCs w:val="20"/>
        </w:rPr>
        <w:t xml:space="preserve">In the case of program abuse caused by a family, </w:t>
      </w:r>
      <w:r>
        <w:rPr>
          <w:rFonts w:cs="Arial"/>
          <w:szCs w:val="20"/>
        </w:rPr>
        <w:t>HHA</w:t>
      </w:r>
      <w:r w:rsidRPr="00765546">
        <w:rPr>
          <w:rFonts w:cs="Arial"/>
          <w:szCs w:val="20"/>
        </w:rPr>
        <w:t xml:space="preserve"> may, at its discretion, impose any of the following remedies. </w:t>
      </w:r>
    </w:p>
    <w:p w14:paraId="013842DF" w14:textId="77777777" w:rsidR="007F52B4" w:rsidRPr="00765546" w:rsidRDefault="007F52B4" w:rsidP="007F177E">
      <w:pPr>
        <w:pStyle w:val="ListParagraph"/>
        <w:numPr>
          <w:ilvl w:val="0"/>
          <w:numId w:val="168"/>
        </w:numPr>
        <w:ind w:left="720"/>
        <w:contextualSpacing w:val="0"/>
        <w:rPr>
          <w:rFonts w:cs="Arial"/>
          <w:szCs w:val="20"/>
        </w:rPr>
      </w:pPr>
      <w:r w:rsidRPr="00765546">
        <w:rPr>
          <w:rFonts w:cs="Arial"/>
          <w:szCs w:val="20"/>
        </w:rPr>
        <w:t xml:space="preserve">Require the family to repay excess subsidy amounts paid by </w:t>
      </w:r>
      <w:r>
        <w:rPr>
          <w:rFonts w:cs="Arial"/>
          <w:szCs w:val="20"/>
        </w:rPr>
        <w:t>HHA</w:t>
      </w:r>
      <w:r w:rsidRPr="00765546">
        <w:rPr>
          <w:rFonts w:cs="Arial"/>
          <w:szCs w:val="20"/>
        </w:rPr>
        <w:t>;</w:t>
      </w:r>
    </w:p>
    <w:p w14:paraId="666A103E" w14:textId="77777777" w:rsidR="007F52B4" w:rsidRPr="00765546" w:rsidRDefault="007F52B4" w:rsidP="007F177E">
      <w:pPr>
        <w:pStyle w:val="ListParagraph"/>
        <w:numPr>
          <w:ilvl w:val="0"/>
          <w:numId w:val="168"/>
        </w:numPr>
        <w:ind w:left="720"/>
        <w:contextualSpacing w:val="0"/>
        <w:rPr>
          <w:rFonts w:cs="Arial"/>
          <w:szCs w:val="20"/>
        </w:rPr>
      </w:pPr>
      <w:r w:rsidRPr="00765546">
        <w:rPr>
          <w:rFonts w:cs="Arial"/>
          <w:szCs w:val="20"/>
        </w:rPr>
        <w:t xml:space="preserve">Require, as a condition of receiving or continuing assistance, that a culpable family member not reside in the unit; </w:t>
      </w:r>
    </w:p>
    <w:p w14:paraId="0DFE1350" w14:textId="5FC68AF9" w:rsidR="007F52B4" w:rsidRPr="00765546" w:rsidRDefault="007F52B4" w:rsidP="007F177E">
      <w:pPr>
        <w:pStyle w:val="ListParagraph"/>
        <w:numPr>
          <w:ilvl w:val="0"/>
          <w:numId w:val="168"/>
        </w:numPr>
        <w:ind w:left="720"/>
        <w:contextualSpacing w:val="0"/>
        <w:rPr>
          <w:rFonts w:cs="Arial"/>
          <w:szCs w:val="20"/>
        </w:rPr>
      </w:pPr>
      <w:r w:rsidRPr="00765546">
        <w:rPr>
          <w:rFonts w:cs="Arial"/>
          <w:szCs w:val="20"/>
        </w:rPr>
        <w:t xml:space="preserve">Deny or terminate the family’s assistance (see </w:t>
      </w:r>
      <w:r w:rsidR="00EC5EB0" w:rsidRPr="00EC5EB0">
        <w:rPr>
          <w:rFonts w:cs="Arial"/>
          <w:b/>
          <w:color w:val="0070C0"/>
          <w:szCs w:val="20"/>
        </w:rPr>
        <w:fldChar w:fldCharType="begin"/>
      </w:r>
      <w:r w:rsidR="00EC5EB0" w:rsidRPr="00EC5EB0">
        <w:rPr>
          <w:rFonts w:cs="Arial"/>
          <w:b/>
          <w:color w:val="0070C0"/>
          <w:szCs w:val="20"/>
        </w:rPr>
        <w:instrText xml:space="preserve"> REF _Ref151015636 \h  \* MERGEFORMAT </w:instrText>
      </w:r>
      <w:r w:rsidR="00EC5EB0" w:rsidRPr="00EC5EB0">
        <w:rPr>
          <w:rFonts w:cs="Arial"/>
          <w:b/>
          <w:color w:val="0070C0"/>
          <w:szCs w:val="20"/>
        </w:rPr>
      </w:r>
      <w:r w:rsidR="00EC5EB0" w:rsidRPr="00EC5EB0">
        <w:rPr>
          <w:rFonts w:cs="Arial"/>
          <w:b/>
          <w:color w:val="0070C0"/>
          <w:szCs w:val="20"/>
        </w:rPr>
        <w:fldChar w:fldCharType="separate"/>
      </w:r>
      <w:r w:rsidR="00EC5EB0" w:rsidRPr="00EC5EB0">
        <w:rPr>
          <w:b/>
          <w:color w:val="0070C0"/>
        </w:rPr>
        <w:t>LEASE TERMINATIONS</w:t>
      </w:r>
      <w:r w:rsidR="00EC5EB0" w:rsidRPr="00EC5EB0">
        <w:rPr>
          <w:rFonts w:cs="Arial"/>
          <w:b/>
          <w:color w:val="0070C0"/>
          <w:szCs w:val="20"/>
        </w:rPr>
        <w:fldChar w:fldCharType="end"/>
      </w:r>
      <w:r w:rsidRPr="002737E8">
        <w:rPr>
          <w:rFonts w:cs="Arial"/>
          <w:bCs/>
          <w:szCs w:val="20"/>
        </w:rPr>
        <w:t>)</w:t>
      </w:r>
      <w:r w:rsidRPr="00765546">
        <w:rPr>
          <w:rFonts w:cs="Arial"/>
          <w:szCs w:val="20"/>
        </w:rPr>
        <w:t xml:space="preserve">; </w:t>
      </w:r>
      <w:r w:rsidR="003230FC">
        <w:rPr>
          <w:rFonts w:cs="Arial"/>
          <w:szCs w:val="20"/>
        </w:rPr>
        <w:t>and/</w:t>
      </w:r>
      <w:r w:rsidRPr="00765546">
        <w:rPr>
          <w:rFonts w:cs="Arial"/>
          <w:szCs w:val="20"/>
        </w:rPr>
        <w:t>or</w:t>
      </w:r>
    </w:p>
    <w:p w14:paraId="67379B82" w14:textId="77777777" w:rsidR="007F52B4" w:rsidRPr="00765546" w:rsidRDefault="007F52B4" w:rsidP="007F177E">
      <w:pPr>
        <w:pStyle w:val="ListParagraph"/>
        <w:numPr>
          <w:ilvl w:val="0"/>
          <w:numId w:val="168"/>
        </w:numPr>
        <w:ind w:left="720"/>
        <w:contextualSpacing w:val="0"/>
        <w:rPr>
          <w:rFonts w:cs="Arial"/>
          <w:szCs w:val="20"/>
        </w:rPr>
      </w:pPr>
      <w:r w:rsidRPr="00765546">
        <w:rPr>
          <w:rFonts w:cs="Arial"/>
          <w:szCs w:val="20"/>
        </w:rPr>
        <w:t xml:space="preserve">Refer the family for state or federal criminal prosecution. </w:t>
      </w:r>
    </w:p>
    <w:p w14:paraId="5B55B3F3" w14:textId="77777777" w:rsidR="007F52B4" w:rsidRPr="00765546" w:rsidRDefault="007F52B4" w:rsidP="00677451">
      <w:pPr>
        <w:pStyle w:val="Heading3"/>
      </w:pPr>
      <w:bookmarkStart w:id="3955" w:name="_Toc513727739"/>
      <w:bookmarkStart w:id="3956" w:name="_Toc520796785"/>
      <w:bookmarkStart w:id="3957" w:name="_Toc527019727"/>
      <w:bookmarkStart w:id="3958" w:name="_Toc534707415"/>
      <w:bookmarkStart w:id="3959" w:name="_Toc534708093"/>
      <w:bookmarkStart w:id="3960" w:name="_Toc534708901"/>
      <w:bookmarkStart w:id="3961" w:name="_Toc118116566"/>
      <w:bookmarkStart w:id="3962" w:name="_Toc200375893"/>
      <w:r w:rsidRPr="00765546">
        <w:t xml:space="preserve">Family Reimbursement to </w:t>
      </w:r>
      <w:r>
        <w:t>HHA</w:t>
      </w:r>
      <w:bookmarkEnd w:id="3955"/>
      <w:bookmarkEnd w:id="3956"/>
      <w:bookmarkEnd w:id="3957"/>
      <w:bookmarkEnd w:id="3958"/>
      <w:bookmarkEnd w:id="3959"/>
      <w:bookmarkEnd w:id="3960"/>
      <w:bookmarkEnd w:id="3961"/>
      <w:bookmarkEnd w:id="3962"/>
      <w:r w:rsidRPr="00765546">
        <w:t xml:space="preserve"> </w:t>
      </w:r>
    </w:p>
    <w:p w14:paraId="01E5566F" w14:textId="77777777" w:rsidR="007F52B4" w:rsidRPr="00765546" w:rsidRDefault="007F52B4" w:rsidP="007F52B4">
      <w:pPr>
        <w:rPr>
          <w:rFonts w:cs="Arial"/>
          <w:szCs w:val="20"/>
        </w:rPr>
      </w:pPr>
      <w:r w:rsidRPr="00765546">
        <w:rPr>
          <w:rFonts w:cs="Arial"/>
          <w:szCs w:val="20"/>
        </w:rPr>
        <w:t xml:space="preserve">In the case of family-caused errors, program abuse, or resumption of minimum rent after a temporary hardship, the family will be required to repay all amounts due. </w:t>
      </w:r>
      <w:r>
        <w:rPr>
          <w:rFonts w:cs="Arial"/>
          <w:szCs w:val="20"/>
        </w:rPr>
        <w:t>HHA</w:t>
      </w:r>
      <w:r w:rsidRPr="00765546">
        <w:rPr>
          <w:rFonts w:cs="Arial"/>
          <w:szCs w:val="20"/>
        </w:rPr>
        <w:t xml:space="preserve"> may, but is not required to, offer the family a repayment agreement. If the family fails to repay the amount due or refuses to enter into an offered repayment agreement, </w:t>
      </w:r>
      <w:r>
        <w:rPr>
          <w:rFonts w:cs="Arial"/>
          <w:szCs w:val="20"/>
        </w:rPr>
        <w:t>HHA</w:t>
      </w:r>
      <w:r w:rsidRPr="00765546">
        <w:rPr>
          <w:rFonts w:cs="Arial"/>
          <w:szCs w:val="20"/>
        </w:rPr>
        <w:t xml:space="preserve"> may terminate the family’s assistance.  </w:t>
      </w:r>
    </w:p>
    <w:p w14:paraId="56319C0B" w14:textId="77777777" w:rsidR="007F52B4" w:rsidRPr="00765546" w:rsidRDefault="007F52B4" w:rsidP="007F52B4">
      <w:pPr>
        <w:pStyle w:val="Heading2"/>
      </w:pPr>
      <w:bookmarkStart w:id="3963" w:name="_Toc520796790"/>
      <w:bookmarkStart w:id="3964" w:name="_Toc527019732"/>
      <w:bookmarkStart w:id="3965" w:name="_Toc534707420"/>
      <w:bookmarkStart w:id="3966" w:name="_Toc534708098"/>
      <w:bookmarkStart w:id="3967" w:name="_Toc534708906"/>
      <w:bookmarkStart w:id="3968" w:name="_Toc118116571"/>
      <w:bookmarkStart w:id="3969" w:name="_Toc154649900"/>
      <w:bookmarkStart w:id="3970" w:name="_Ref155698285"/>
      <w:bookmarkStart w:id="3971" w:name="_Toc173222798"/>
      <w:bookmarkStart w:id="3972" w:name="_Toc200375894"/>
      <w:bookmarkStart w:id="3973" w:name="_Toc200377065"/>
      <w:r w:rsidRPr="00765546">
        <w:t xml:space="preserve">Debts Owed </w:t>
      </w:r>
      <w:r>
        <w:t>t</w:t>
      </w:r>
      <w:r w:rsidRPr="00765546">
        <w:t xml:space="preserve">o </w:t>
      </w:r>
      <w:r>
        <w:t>HHA</w:t>
      </w:r>
      <w:bookmarkEnd w:id="3963"/>
      <w:bookmarkEnd w:id="3964"/>
      <w:bookmarkEnd w:id="3965"/>
      <w:bookmarkEnd w:id="3966"/>
      <w:bookmarkEnd w:id="3967"/>
      <w:bookmarkEnd w:id="3968"/>
      <w:bookmarkEnd w:id="3969"/>
      <w:bookmarkEnd w:id="3970"/>
      <w:bookmarkEnd w:id="3971"/>
      <w:bookmarkEnd w:id="3972"/>
      <w:bookmarkEnd w:id="3973"/>
      <w:r w:rsidRPr="00765546">
        <w:t xml:space="preserve"> </w:t>
      </w:r>
    </w:p>
    <w:p w14:paraId="483C22EC" w14:textId="77777777" w:rsidR="007F52B4" w:rsidRPr="00765546" w:rsidRDefault="007F52B4" w:rsidP="007F52B4">
      <w:pPr>
        <w:rPr>
          <w:rFonts w:cs="Arial"/>
          <w:szCs w:val="20"/>
        </w:rPr>
      </w:pPr>
      <w:r w:rsidRPr="00765546">
        <w:rPr>
          <w:rFonts w:cs="Arial"/>
          <w:szCs w:val="20"/>
        </w:rPr>
        <w:t xml:space="preserve">Households must pay all debts owed to </w:t>
      </w:r>
      <w:r>
        <w:rPr>
          <w:rFonts w:cs="Arial"/>
          <w:szCs w:val="20"/>
        </w:rPr>
        <w:t>HHA</w:t>
      </w:r>
      <w:r w:rsidRPr="00765546">
        <w:rPr>
          <w:rFonts w:cs="Arial"/>
          <w:szCs w:val="20"/>
        </w:rPr>
        <w:t xml:space="preserve"> regardless of whether a repayment agreement is offered. </w:t>
      </w:r>
    </w:p>
    <w:p w14:paraId="461488CF" w14:textId="77777777" w:rsidR="007F52B4" w:rsidRPr="00765546" w:rsidRDefault="007F52B4" w:rsidP="00677451">
      <w:pPr>
        <w:pStyle w:val="Heading3"/>
      </w:pPr>
      <w:bookmarkStart w:id="3974" w:name="_Toc513727741"/>
      <w:bookmarkStart w:id="3975" w:name="_Toc520796791"/>
      <w:bookmarkStart w:id="3976" w:name="_Toc527019733"/>
      <w:bookmarkStart w:id="3977" w:name="_Toc534707421"/>
      <w:bookmarkStart w:id="3978" w:name="_Toc534708099"/>
      <w:bookmarkStart w:id="3979" w:name="_Toc534708907"/>
      <w:bookmarkStart w:id="3980" w:name="_Toc118116572"/>
      <w:bookmarkStart w:id="3981" w:name="_Toc200375895"/>
      <w:r w:rsidRPr="00765546">
        <w:t>Applicant Debt</w:t>
      </w:r>
      <w:bookmarkEnd w:id="3974"/>
      <w:bookmarkEnd w:id="3975"/>
      <w:bookmarkEnd w:id="3976"/>
      <w:bookmarkEnd w:id="3977"/>
      <w:bookmarkEnd w:id="3978"/>
      <w:bookmarkEnd w:id="3979"/>
      <w:bookmarkEnd w:id="3980"/>
      <w:bookmarkEnd w:id="3981"/>
    </w:p>
    <w:p w14:paraId="1CD13535" w14:textId="77777777" w:rsidR="007F52B4" w:rsidRPr="00765546" w:rsidRDefault="007F52B4" w:rsidP="007F52B4">
      <w:pPr>
        <w:rPr>
          <w:rFonts w:cs="Arial"/>
          <w:szCs w:val="20"/>
        </w:rPr>
      </w:pPr>
      <w:r w:rsidRPr="00765546">
        <w:rPr>
          <w:rFonts w:cs="Arial"/>
          <w:szCs w:val="20"/>
        </w:rPr>
        <w:t xml:space="preserve">When an applicant currently owes </w:t>
      </w:r>
      <w:r>
        <w:rPr>
          <w:rFonts w:cs="Arial"/>
          <w:szCs w:val="20"/>
        </w:rPr>
        <w:t>HHA</w:t>
      </w:r>
      <w:r w:rsidRPr="00765546">
        <w:rPr>
          <w:rFonts w:cs="Arial"/>
          <w:szCs w:val="20"/>
        </w:rPr>
        <w:t xml:space="preserve"> money from a previous public housing residency, HCV program participation, or participation in any other subsidized housing program, they must fully repay the debt. </w:t>
      </w:r>
    </w:p>
    <w:p w14:paraId="20F2FB16" w14:textId="77777777" w:rsidR="007F52B4" w:rsidRPr="00765546" w:rsidRDefault="000132B6" w:rsidP="00677451">
      <w:pPr>
        <w:pStyle w:val="Heading3"/>
      </w:pPr>
      <w:bookmarkStart w:id="3982" w:name="_Toc513727742"/>
      <w:bookmarkStart w:id="3983" w:name="_Toc520796792"/>
      <w:bookmarkStart w:id="3984" w:name="_Toc527019734"/>
      <w:bookmarkStart w:id="3985" w:name="_Toc534707422"/>
      <w:bookmarkStart w:id="3986" w:name="_Toc534708100"/>
      <w:bookmarkStart w:id="3987" w:name="_Toc534708908"/>
      <w:bookmarkStart w:id="3988" w:name="_Toc118116573"/>
      <w:bookmarkStart w:id="3989" w:name="_Toc200375896"/>
      <w:r>
        <w:t>Resident</w:t>
      </w:r>
      <w:r w:rsidR="007F52B4" w:rsidRPr="00765546">
        <w:t xml:space="preserve"> Debt</w:t>
      </w:r>
      <w:bookmarkEnd w:id="3982"/>
      <w:bookmarkEnd w:id="3983"/>
      <w:bookmarkEnd w:id="3984"/>
      <w:bookmarkEnd w:id="3985"/>
      <w:bookmarkEnd w:id="3986"/>
      <w:bookmarkEnd w:id="3987"/>
      <w:bookmarkEnd w:id="3988"/>
      <w:bookmarkEnd w:id="3989"/>
    </w:p>
    <w:p w14:paraId="249743C0" w14:textId="77777777" w:rsidR="007F52B4" w:rsidRPr="00765546" w:rsidRDefault="000132B6" w:rsidP="007F52B4">
      <w:pPr>
        <w:rPr>
          <w:rFonts w:cs="Arial"/>
          <w:szCs w:val="20"/>
        </w:rPr>
      </w:pPr>
      <w:r>
        <w:rPr>
          <w:rFonts w:cs="Arial"/>
          <w:szCs w:val="20"/>
        </w:rPr>
        <w:t xml:space="preserve">Residents </w:t>
      </w:r>
      <w:r w:rsidR="007F52B4" w:rsidRPr="00765546">
        <w:rPr>
          <w:rFonts w:cs="Arial"/>
          <w:szCs w:val="20"/>
        </w:rPr>
        <w:t xml:space="preserve">are required to reimburse </w:t>
      </w:r>
      <w:r w:rsidR="007F52B4">
        <w:rPr>
          <w:rFonts w:cs="Arial"/>
          <w:szCs w:val="20"/>
        </w:rPr>
        <w:t>HHA</w:t>
      </w:r>
      <w:r w:rsidR="007F52B4" w:rsidRPr="00765546">
        <w:rPr>
          <w:rFonts w:cs="Arial"/>
          <w:szCs w:val="20"/>
        </w:rPr>
        <w:t xml:space="preserve"> if they were charged less rent than required by </w:t>
      </w:r>
      <w:r w:rsidR="007F52B4">
        <w:rPr>
          <w:rFonts w:cs="Arial"/>
          <w:szCs w:val="20"/>
        </w:rPr>
        <w:t>HHA</w:t>
      </w:r>
      <w:r w:rsidR="007F52B4" w:rsidRPr="00765546">
        <w:rPr>
          <w:rFonts w:cs="Arial"/>
          <w:szCs w:val="20"/>
        </w:rPr>
        <w:t xml:space="preserve">’s rent formula due to the </w:t>
      </w:r>
      <w:r>
        <w:rPr>
          <w:rFonts w:cs="Arial"/>
          <w:szCs w:val="20"/>
        </w:rPr>
        <w:t>residen</w:t>
      </w:r>
      <w:r w:rsidR="007F52B4" w:rsidRPr="00765546">
        <w:rPr>
          <w:rFonts w:cs="Arial"/>
          <w:szCs w:val="20"/>
        </w:rPr>
        <w:t xml:space="preserve">t’s underreporting or failure to report income. Families will be required to reimburse </w:t>
      </w:r>
      <w:r w:rsidR="007F52B4">
        <w:rPr>
          <w:rFonts w:cs="Arial"/>
          <w:szCs w:val="20"/>
        </w:rPr>
        <w:t>HHA</w:t>
      </w:r>
      <w:r w:rsidR="007F52B4" w:rsidRPr="00765546">
        <w:rPr>
          <w:rFonts w:cs="Arial"/>
          <w:szCs w:val="20"/>
        </w:rPr>
        <w:t xml:space="preserve"> for the difference between what the family share of rent should have been against the family rent that was charged and paid. This amount is referred to as </w:t>
      </w:r>
      <w:r w:rsidR="007F52B4" w:rsidRPr="00765546">
        <w:rPr>
          <w:rFonts w:cs="Arial"/>
          <w:i/>
          <w:iCs/>
          <w:szCs w:val="20"/>
        </w:rPr>
        <w:t>retroactive rent</w:t>
      </w:r>
      <w:r w:rsidR="007F52B4" w:rsidRPr="00765546">
        <w:rPr>
          <w:rFonts w:cs="Arial"/>
          <w:szCs w:val="20"/>
        </w:rPr>
        <w:t xml:space="preserve">. </w:t>
      </w:r>
      <w:r w:rsidR="007F52B4">
        <w:rPr>
          <w:rFonts w:cs="Arial"/>
          <w:szCs w:val="20"/>
        </w:rPr>
        <w:t>HHA</w:t>
      </w:r>
      <w:r w:rsidR="007F52B4" w:rsidRPr="00765546">
        <w:rPr>
          <w:rFonts w:cs="Arial"/>
          <w:szCs w:val="20"/>
        </w:rPr>
        <w:t xml:space="preserve"> will determine retroactive rent as far back as </w:t>
      </w:r>
      <w:r w:rsidR="007F52B4">
        <w:rPr>
          <w:rFonts w:cs="Arial"/>
          <w:szCs w:val="20"/>
        </w:rPr>
        <w:t>HHA</w:t>
      </w:r>
      <w:r w:rsidR="007F52B4" w:rsidRPr="00765546">
        <w:rPr>
          <w:rFonts w:cs="Arial"/>
          <w:szCs w:val="20"/>
        </w:rPr>
        <w:t xml:space="preserve"> has documentation of family reported income. </w:t>
      </w:r>
    </w:p>
    <w:p w14:paraId="5A0EDE89" w14:textId="77777777" w:rsidR="007F52B4" w:rsidRPr="00765546" w:rsidRDefault="00B00A82" w:rsidP="007F52B4">
      <w:pPr>
        <w:pStyle w:val="Heading2"/>
      </w:pPr>
      <w:bookmarkStart w:id="3990" w:name="_Toc513727743"/>
      <w:bookmarkStart w:id="3991" w:name="_Toc520796794"/>
      <w:bookmarkStart w:id="3992" w:name="_Toc527019736"/>
      <w:bookmarkStart w:id="3993" w:name="_Toc534707424"/>
      <w:bookmarkStart w:id="3994" w:name="_Toc534708102"/>
      <w:bookmarkStart w:id="3995" w:name="_Toc534708910"/>
      <w:bookmarkStart w:id="3996" w:name="_Toc118116575"/>
      <w:bookmarkStart w:id="3997" w:name="_Toc154649901"/>
      <w:bookmarkStart w:id="3998" w:name="_Toc173222799"/>
      <w:bookmarkStart w:id="3999" w:name="_Toc200375897"/>
      <w:bookmarkStart w:id="4000" w:name="_Toc200377066"/>
      <w:r>
        <w:t xml:space="preserve">Income </w:t>
      </w:r>
      <w:r w:rsidR="007F52B4" w:rsidRPr="00765546">
        <w:t>Fraud</w:t>
      </w:r>
      <w:bookmarkEnd w:id="3990"/>
      <w:bookmarkEnd w:id="3991"/>
      <w:bookmarkEnd w:id="3992"/>
      <w:bookmarkEnd w:id="3993"/>
      <w:bookmarkEnd w:id="3994"/>
      <w:bookmarkEnd w:id="3995"/>
      <w:bookmarkEnd w:id="3996"/>
      <w:bookmarkEnd w:id="3997"/>
      <w:bookmarkEnd w:id="3998"/>
      <w:bookmarkEnd w:id="3999"/>
      <w:bookmarkEnd w:id="4000"/>
    </w:p>
    <w:p w14:paraId="077C1A0B" w14:textId="77777777" w:rsidR="007F52B4" w:rsidRDefault="006A0F8D" w:rsidP="007F52B4">
      <w:pPr>
        <w:rPr>
          <w:rFonts w:cs="Arial"/>
          <w:szCs w:val="20"/>
        </w:rPr>
      </w:pPr>
      <w:r>
        <w:rPr>
          <w:rFonts w:cs="Arial"/>
          <w:szCs w:val="20"/>
        </w:rPr>
        <w:t xml:space="preserve">For purposes of this ACOP, income fraud is a family’s failure to accurately report all household income as required by HUD and HHA. In cases of substantiated fraud/misreporting, HHA may terminate the household’s </w:t>
      </w:r>
      <w:r w:rsidR="002C4957">
        <w:rPr>
          <w:rFonts w:cs="Arial"/>
          <w:szCs w:val="20"/>
        </w:rPr>
        <w:t>tenancy and may file a civil and/or criminal action for recovery of overpayment of subsidy.</w:t>
      </w:r>
    </w:p>
    <w:p w14:paraId="3EFFDD88" w14:textId="77777777" w:rsidR="002C4957" w:rsidRPr="00765546" w:rsidRDefault="002C4957" w:rsidP="007F52B4">
      <w:pPr>
        <w:rPr>
          <w:rFonts w:cs="Arial"/>
          <w:szCs w:val="20"/>
        </w:rPr>
      </w:pPr>
      <w:r>
        <w:rPr>
          <w:rFonts w:cs="Arial"/>
          <w:szCs w:val="20"/>
        </w:rPr>
        <w:t>When unreported or misreported income has resulted in a balance owed to HHA, the family must repay the full amount owed or enter into a repayment agreement</w:t>
      </w:r>
      <w:r w:rsidR="00781747">
        <w:rPr>
          <w:rFonts w:cs="Arial"/>
          <w:szCs w:val="20"/>
        </w:rPr>
        <w:t xml:space="preserve"> (if offered by HHA)</w:t>
      </w:r>
      <w:r>
        <w:rPr>
          <w:rFonts w:cs="Arial"/>
          <w:szCs w:val="20"/>
        </w:rPr>
        <w:t xml:space="preserve"> as detai</w:t>
      </w:r>
      <w:r w:rsidR="00781747">
        <w:rPr>
          <w:rFonts w:cs="Arial"/>
          <w:szCs w:val="20"/>
        </w:rPr>
        <w:t xml:space="preserve">led in the section on </w:t>
      </w:r>
      <w:r w:rsidR="00781747" w:rsidRPr="00495111">
        <w:rPr>
          <w:rFonts w:cs="Arial"/>
          <w:b/>
          <w:bCs/>
          <w:color w:val="0070C0"/>
          <w:szCs w:val="20"/>
        </w:rPr>
        <w:fldChar w:fldCharType="begin"/>
      </w:r>
      <w:r w:rsidR="00781747" w:rsidRPr="00495111">
        <w:rPr>
          <w:rFonts w:cs="Arial"/>
          <w:b/>
          <w:bCs/>
          <w:color w:val="0070C0"/>
          <w:szCs w:val="20"/>
        </w:rPr>
        <w:instrText xml:space="preserve"> REF _Ref163658902 \h </w:instrText>
      </w:r>
      <w:r w:rsidR="00495111" w:rsidRPr="00495111">
        <w:rPr>
          <w:rFonts w:cs="Arial"/>
          <w:b/>
          <w:bCs/>
          <w:color w:val="0070C0"/>
          <w:szCs w:val="20"/>
        </w:rPr>
        <w:instrText xml:space="preserve"> \* MERGEFORMAT </w:instrText>
      </w:r>
      <w:r w:rsidR="00781747" w:rsidRPr="00495111">
        <w:rPr>
          <w:rFonts w:cs="Arial"/>
          <w:b/>
          <w:bCs/>
          <w:color w:val="0070C0"/>
          <w:szCs w:val="20"/>
        </w:rPr>
      </w:r>
      <w:r w:rsidR="00781747" w:rsidRPr="00495111">
        <w:rPr>
          <w:rFonts w:cs="Arial"/>
          <w:b/>
          <w:bCs/>
          <w:color w:val="0070C0"/>
          <w:szCs w:val="20"/>
        </w:rPr>
        <w:fldChar w:fldCharType="separate"/>
      </w:r>
      <w:r w:rsidR="00495111" w:rsidRPr="00495111">
        <w:rPr>
          <w:b/>
          <w:bCs/>
          <w:color w:val="0070C0"/>
        </w:rPr>
        <w:t>Repayment Agreements</w:t>
      </w:r>
      <w:r w:rsidR="00781747" w:rsidRPr="00495111">
        <w:rPr>
          <w:rFonts w:cs="Arial"/>
          <w:b/>
          <w:bCs/>
          <w:color w:val="0070C0"/>
          <w:szCs w:val="20"/>
        </w:rPr>
        <w:fldChar w:fldCharType="end"/>
      </w:r>
      <w:r w:rsidR="00781747">
        <w:rPr>
          <w:rFonts w:cs="Arial"/>
          <w:szCs w:val="20"/>
        </w:rPr>
        <w:t xml:space="preserve"> </w:t>
      </w:r>
      <w:r w:rsidR="00495111">
        <w:rPr>
          <w:rFonts w:cs="Arial"/>
          <w:szCs w:val="20"/>
        </w:rPr>
        <w:t>within 30 days of receiving notice of the debt.</w:t>
      </w:r>
    </w:p>
    <w:p w14:paraId="78E27375" w14:textId="77777777" w:rsidR="007F52B4" w:rsidRPr="00765546" w:rsidRDefault="007F52B4" w:rsidP="007F52B4">
      <w:pPr>
        <w:pStyle w:val="Heading2"/>
      </w:pPr>
      <w:bookmarkStart w:id="4001" w:name="_Toc508698548"/>
      <w:bookmarkStart w:id="4002" w:name="_Ref514425319"/>
      <w:bookmarkStart w:id="4003" w:name="_Ref520471467"/>
      <w:bookmarkStart w:id="4004" w:name="_Toc520796799"/>
      <w:bookmarkStart w:id="4005" w:name="_Toc527019741"/>
      <w:bookmarkStart w:id="4006" w:name="_Toc534707429"/>
      <w:bookmarkStart w:id="4007" w:name="_Toc534708107"/>
      <w:bookmarkStart w:id="4008" w:name="_Toc534708915"/>
      <w:bookmarkStart w:id="4009" w:name="_Ref1567247"/>
      <w:bookmarkStart w:id="4010" w:name="_Ref1569658"/>
      <w:bookmarkStart w:id="4011" w:name="_Ref3285249"/>
      <w:bookmarkStart w:id="4012" w:name="_Toc118116580"/>
      <w:bookmarkStart w:id="4013" w:name="_Toc154649902"/>
      <w:bookmarkStart w:id="4014" w:name="_Ref163658902"/>
      <w:bookmarkStart w:id="4015" w:name="_Toc173222800"/>
      <w:bookmarkStart w:id="4016" w:name="_Toc200375898"/>
      <w:bookmarkStart w:id="4017" w:name="_Toc200377067"/>
      <w:r w:rsidRPr="00765546">
        <w:t>Repayment Agreements</w:t>
      </w:r>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p>
    <w:p w14:paraId="22745388" w14:textId="77777777" w:rsidR="007F52B4" w:rsidRPr="00765546" w:rsidRDefault="007F52B4" w:rsidP="007F52B4">
      <w:pPr>
        <w:rPr>
          <w:rFonts w:cs="Arial"/>
          <w:szCs w:val="20"/>
        </w:rPr>
      </w:pPr>
      <w:r w:rsidRPr="00765546">
        <w:rPr>
          <w:rFonts w:cs="Arial"/>
          <w:szCs w:val="20"/>
        </w:rPr>
        <w:t xml:space="preserve">The term </w:t>
      </w:r>
      <w:r w:rsidRPr="00765546">
        <w:rPr>
          <w:rFonts w:cs="Arial"/>
          <w:i/>
          <w:szCs w:val="20"/>
        </w:rPr>
        <w:t>repayment agreement</w:t>
      </w:r>
      <w:r w:rsidRPr="00765546">
        <w:rPr>
          <w:rFonts w:cs="Arial"/>
          <w:szCs w:val="20"/>
        </w:rPr>
        <w:t xml:space="preserve"> refers to a formal document signed by a </w:t>
      </w:r>
      <w:r w:rsidR="00BC39E5">
        <w:rPr>
          <w:rFonts w:cs="Arial"/>
          <w:szCs w:val="20"/>
        </w:rPr>
        <w:t>resident</w:t>
      </w:r>
      <w:r w:rsidRPr="00765546">
        <w:rPr>
          <w:rFonts w:cs="Arial"/>
          <w:szCs w:val="20"/>
        </w:rPr>
        <w:t xml:space="preserve"> and </w:t>
      </w:r>
      <w:r>
        <w:rPr>
          <w:rFonts w:cs="Arial"/>
          <w:szCs w:val="20"/>
        </w:rPr>
        <w:t>HHA</w:t>
      </w:r>
      <w:r w:rsidRPr="00765546">
        <w:rPr>
          <w:rFonts w:cs="Arial"/>
          <w:szCs w:val="20"/>
        </w:rPr>
        <w:t xml:space="preserve"> in which a </w:t>
      </w:r>
      <w:r w:rsidR="00BC39E5">
        <w:rPr>
          <w:rFonts w:cs="Arial"/>
          <w:szCs w:val="20"/>
        </w:rPr>
        <w:t>resident</w:t>
      </w:r>
      <w:r w:rsidRPr="00765546">
        <w:rPr>
          <w:rFonts w:cs="Arial"/>
          <w:szCs w:val="20"/>
        </w:rPr>
        <w:t xml:space="preserve"> acknowledges a debt in a specific amount and agrees to repay the amount due at specific time periods.</w:t>
      </w:r>
    </w:p>
    <w:p w14:paraId="63B53DFA" w14:textId="77777777" w:rsidR="007F52B4" w:rsidRPr="00765546" w:rsidRDefault="007F52B4" w:rsidP="007F52B4">
      <w:pPr>
        <w:rPr>
          <w:rFonts w:cs="Arial"/>
          <w:szCs w:val="20"/>
        </w:rPr>
      </w:pPr>
      <w:r w:rsidRPr="00765546">
        <w:rPr>
          <w:rFonts w:cs="Arial"/>
          <w:szCs w:val="20"/>
        </w:rPr>
        <w:t xml:space="preserve">All repayment agreements will be in writing and will be signed and dated by the head of household and </w:t>
      </w:r>
      <w:r>
        <w:rPr>
          <w:rFonts w:cs="Arial"/>
          <w:szCs w:val="20"/>
        </w:rPr>
        <w:t>HHA</w:t>
      </w:r>
      <w:r w:rsidRPr="00765546">
        <w:rPr>
          <w:rFonts w:cs="Arial"/>
          <w:szCs w:val="20"/>
        </w:rPr>
        <w:t>. Additionally, repayment agreements will include the amount owed, down-payment, monthly repayment payments and related time periods for such payments.</w:t>
      </w:r>
    </w:p>
    <w:p w14:paraId="3B179B27" w14:textId="77777777" w:rsidR="007F52B4" w:rsidRPr="00765546" w:rsidRDefault="007F52B4" w:rsidP="007F52B4">
      <w:pPr>
        <w:rPr>
          <w:rFonts w:cs="Arial"/>
          <w:szCs w:val="20"/>
        </w:rPr>
      </w:pPr>
      <w:r w:rsidRPr="00765546">
        <w:rPr>
          <w:rFonts w:cs="Arial"/>
          <w:szCs w:val="20"/>
        </w:rPr>
        <w:t xml:space="preserve">Where renegotiation of the terms of a repayment agreement is concerned, this may be at the family’s request or by </w:t>
      </w:r>
      <w:r>
        <w:rPr>
          <w:rFonts w:cs="Arial"/>
          <w:szCs w:val="20"/>
        </w:rPr>
        <w:t>HHA</w:t>
      </w:r>
      <w:r w:rsidRPr="00765546">
        <w:rPr>
          <w:rFonts w:cs="Arial"/>
          <w:szCs w:val="20"/>
        </w:rPr>
        <w:t xml:space="preserve">. For example, if a family’s income decreases, the family may request renegotiation, and if a family’s income increases, </w:t>
      </w:r>
      <w:r>
        <w:rPr>
          <w:rFonts w:cs="Arial"/>
          <w:szCs w:val="20"/>
        </w:rPr>
        <w:t>HHA</w:t>
      </w:r>
      <w:r w:rsidRPr="00765546">
        <w:rPr>
          <w:rFonts w:cs="Arial"/>
          <w:szCs w:val="20"/>
        </w:rPr>
        <w:t xml:space="preserve"> may initiate renegotiation of the repayment agreement. </w:t>
      </w:r>
    </w:p>
    <w:p w14:paraId="13A80043" w14:textId="77777777" w:rsidR="007F52B4" w:rsidRPr="00765546" w:rsidRDefault="007F52B4" w:rsidP="007F52B4">
      <w:pPr>
        <w:spacing w:before="29"/>
        <w:ind w:right="-20"/>
        <w:rPr>
          <w:rFonts w:eastAsia="Times New Roman" w:cs="Arial"/>
          <w:szCs w:val="20"/>
        </w:rPr>
      </w:pPr>
      <w:r w:rsidRPr="00765546">
        <w:rPr>
          <w:rFonts w:eastAsia="Times New Roman" w:cs="Arial"/>
          <w:szCs w:val="20"/>
        </w:rPr>
        <w:t>The</w:t>
      </w:r>
      <w:r w:rsidRPr="00765546">
        <w:rPr>
          <w:rFonts w:eastAsia="Times New Roman" w:cs="Arial"/>
          <w:spacing w:val="-4"/>
          <w:szCs w:val="20"/>
        </w:rPr>
        <w:t xml:space="preserve"> </w:t>
      </w:r>
      <w:r w:rsidRPr="00765546">
        <w:rPr>
          <w:rFonts w:eastAsia="Times New Roman" w:cs="Arial"/>
          <w:szCs w:val="20"/>
        </w:rPr>
        <w:t>circumstances</w:t>
      </w:r>
      <w:r w:rsidRPr="00765546">
        <w:rPr>
          <w:rFonts w:eastAsia="Times New Roman" w:cs="Arial"/>
          <w:spacing w:val="-12"/>
          <w:szCs w:val="20"/>
        </w:rPr>
        <w:t xml:space="preserve"> </w:t>
      </w:r>
      <w:r w:rsidRPr="00765546">
        <w:rPr>
          <w:rFonts w:eastAsia="Times New Roman" w:cs="Arial"/>
          <w:szCs w:val="20"/>
        </w:rPr>
        <w:t>in</w:t>
      </w:r>
      <w:r w:rsidRPr="00765546">
        <w:rPr>
          <w:rFonts w:eastAsia="Times New Roman" w:cs="Arial"/>
          <w:spacing w:val="-1"/>
          <w:szCs w:val="20"/>
        </w:rPr>
        <w:t xml:space="preserve"> </w:t>
      </w:r>
      <w:r w:rsidRPr="00765546">
        <w:rPr>
          <w:rFonts w:eastAsia="Times New Roman" w:cs="Arial"/>
          <w:szCs w:val="20"/>
        </w:rPr>
        <w:t>which</w:t>
      </w:r>
      <w:r w:rsidRPr="00765546">
        <w:rPr>
          <w:rFonts w:eastAsia="Times New Roman" w:cs="Arial"/>
          <w:spacing w:val="-3"/>
          <w:szCs w:val="20"/>
        </w:rPr>
        <w:t xml:space="preserve"> </w:t>
      </w:r>
      <w:r>
        <w:rPr>
          <w:rFonts w:eastAsia="Times New Roman" w:cs="Arial"/>
          <w:spacing w:val="-3"/>
          <w:szCs w:val="20"/>
        </w:rPr>
        <w:t>HHA</w:t>
      </w:r>
      <w:r w:rsidRPr="00765546">
        <w:rPr>
          <w:rFonts w:eastAsia="Times New Roman" w:cs="Arial"/>
          <w:spacing w:val="-3"/>
          <w:szCs w:val="20"/>
        </w:rPr>
        <w:t xml:space="preserve"> </w:t>
      </w:r>
      <w:r w:rsidRPr="00765546">
        <w:rPr>
          <w:rFonts w:eastAsia="Times New Roman" w:cs="Arial"/>
          <w:szCs w:val="20"/>
        </w:rPr>
        <w:t>will</w:t>
      </w:r>
      <w:r w:rsidRPr="00765546">
        <w:rPr>
          <w:rFonts w:eastAsia="Times New Roman" w:cs="Arial"/>
          <w:spacing w:val="-2"/>
          <w:szCs w:val="20"/>
        </w:rPr>
        <w:t xml:space="preserve"> </w:t>
      </w:r>
      <w:r w:rsidRPr="00765546">
        <w:rPr>
          <w:rFonts w:eastAsia="Times New Roman" w:cs="Arial"/>
          <w:szCs w:val="20"/>
        </w:rPr>
        <w:t>not</w:t>
      </w:r>
      <w:r w:rsidRPr="00765546">
        <w:rPr>
          <w:rFonts w:eastAsia="Times New Roman" w:cs="Arial"/>
          <w:spacing w:val="-3"/>
          <w:szCs w:val="20"/>
        </w:rPr>
        <w:t xml:space="preserve"> </w:t>
      </w:r>
      <w:r w:rsidRPr="00765546">
        <w:rPr>
          <w:rFonts w:eastAsia="Times New Roman" w:cs="Arial"/>
          <w:szCs w:val="20"/>
        </w:rPr>
        <w:t>enter</w:t>
      </w:r>
      <w:r w:rsidRPr="00765546">
        <w:rPr>
          <w:rFonts w:eastAsia="Times New Roman" w:cs="Arial"/>
          <w:spacing w:val="-4"/>
          <w:szCs w:val="20"/>
        </w:rPr>
        <w:t xml:space="preserve"> </w:t>
      </w:r>
      <w:r w:rsidRPr="00765546">
        <w:rPr>
          <w:rFonts w:eastAsia="Times New Roman" w:cs="Arial"/>
          <w:szCs w:val="20"/>
        </w:rPr>
        <w:t>into</w:t>
      </w:r>
      <w:r w:rsidRPr="00765546">
        <w:rPr>
          <w:rFonts w:eastAsia="Times New Roman" w:cs="Arial"/>
          <w:spacing w:val="-3"/>
          <w:szCs w:val="20"/>
        </w:rPr>
        <w:t xml:space="preserve"> </w:t>
      </w:r>
      <w:r w:rsidRPr="00765546">
        <w:rPr>
          <w:rFonts w:eastAsia="Times New Roman" w:cs="Arial"/>
          <w:szCs w:val="20"/>
        </w:rPr>
        <w:t>a</w:t>
      </w:r>
      <w:r w:rsidRPr="00765546">
        <w:rPr>
          <w:rFonts w:eastAsia="Times New Roman" w:cs="Arial"/>
          <w:spacing w:val="-1"/>
          <w:szCs w:val="20"/>
        </w:rPr>
        <w:t xml:space="preserve"> </w:t>
      </w:r>
      <w:r w:rsidRPr="00765546">
        <w:rPr>
          <w:rFonts w:eastAsia="Times New Roman" w:cs="Arial"/>
          <w:szCs w:val="20"/>
        </w:rPr>
        <w:t>payment</w:t>
      </w:r>
      <w:r w:rsidRPr="00765546">
        <w:rPr>
          <w:rFonts w:eastAsia="Times New Roman" w:cs="Arial"/>
          <w:spacing w:val="-8"/>
          <w:szCs w:val="20"/>
        </w:rPr>
        <w:t xml:space="preserve"> </w:t>
      </w:r>
      <w:r w:rsidRPr="00765546">
        <w:rPr>
          <w:rFonts w:eastAsia="Times New Roman" w:cs="Arial"/>
          <w:szCs w:val="20"/>
        </w:rPr>
        <w:t>agreement</w:t>
      </w:r>
      <w:r w:rsidRPr="00765546">
        <w:rPr>
          <w:rFonts w:eastAsia="Times New Roman" w:cs="Arial"/>
          <w:spacing w:val="-10"/>
          <w:szCs w:val="20"/>
        </w:rPr>
        <w:t xml:space="preserve"> </w:t>
      </w:r>
      <w:r w:rsidRPr="00765546">
        <w:rPr>
          <w:rFonts w:eastAsia="Times New Roman" w:cs="Arial"/>
          <w:szCs w:val="20"/>
        </w:rPr>
        <w:t>are,</w:t>
      </w:r>
      <w:r w:rsidRPr="00765546">
        <w:rPr>
          <w:rFonts w:eastAsia="Times New Roman" w:cs="Arial"/>
          <w:spacing w:val="-3"/>
          <w:szCs w:val="20"/>
        </w:rPr>
        <w:t xml:space="preserve"> </w:t>
      </w:r>
      <w:r w:rsidRPr="00765546">
        <w:rPr>
          <w:rFonts w:eastAsia="Times New Roman" w:cs="Arial"/>
          <w:szCs w:val="20"/>
        </w:rPr>
        <w:t>as</w:t>
      </w:r>
      <w:r w:rsidRPr="00765546">
        <w:rPr>
          <w:rFonts w:eastAsia="Times New Roman" w:cs="Arial"/>
          <w:spacing w:val="-1"/>
          <w:szCs w:val="20"/>
        </w:rPr>
        <w:t xml:space="preserve"> </w:t>
      </w:r>
      <w:r w:rsidRPr="00765546">
        <w:rPr>
          <w:rFonts w:eastAsia="Times New Roman" w:cs="Arial"/>
          <w:szCs w:val="20"/>
        </w:rPr>
        <w:t>follows:</w:t>
      </w:r>
    </w:p>
    <w:p w14:paraId="2F1EBCB1" w14:textId="77777777" w:rsidR="007F52B4" w:rsidRPr="00765546" w:rsidRDefault="007F52B4" w:rsidP="007F177E">
      <w:pPr>
        <w:pStyle w:val="ListParagraph"/>
        <w:numPr>
          <w:ilvl w:val="0"/>
          <w:numId w:val="169"/>
        </w:numPr>
        <w:ind w:left="720"/>
        <w:contextualSpacing w:val="0"/>
        <w:rPr>
          <w:rFonts w:cs="Arial"/>
          <w:szCs w:val="20"/>
        </w:rPr>
      </w:pPr>
      <w:r w:rsidRPr="00765546">
        <w:rPr>
          <w:rFonts w:cs="Arial"/>
          <w:szCs w:val="20"/>
        </w:rPr>
        <w:t>If the</w:t>
      </w:r>
      <w:r w:rsidRPr="009001CE">
        <w:rPr>
          <w:rFonts w:cs="Arial"/>
          <w:szCs w:val="20"/>
        </w:rPr>
        <w:t xml:space="preserve"> </w:t>
      </w:r>
      <w:r w:rsidRPr="00765546">
        <w:rPr>
          <w:rFonts w:cs="Arial"/>
          <w:szCs w:val="20"/>
        </w:rPr>
        <w:t>family</w:t>
      </w:r>
      <w:r w:rsidRPr="009001CE">
        <w:rPr>
          <w:rFonts w:cs="Arial"/>
          <w:szCs w:val="20"/>
        </w:rPr>
        <w:t xml:space="preserve"> </w:t>
      </w:r>
      <w:r w:rsidRPr="00765546">
        <w:rPr>
          <w:rFonts w:cs="Arial"/>
          <w:szCs w:val="20"/>
        </w:rPr>
        <w:t>already</w:t>
      </w:r>
      <w:r w:rsidRPr="009001CE">
        <w:rPr>
          <w:rFonts w:cs="Arial"/>
          <w:szCs w:val="20"/>
        </w:rPr>
        <w:t xml:space="preserve"> </w:t>
      </w:r>
      <w:r w:rsidRPr="00765546">
        <w:rPr>
          <w:rFonts w:cs="Arial"/>
          <w:szCs w:val="20"/>
        </w:rPr>
        <w:t>has</w:t>
      </w:r>
      <w:r w:rsidRPr="009001CE">
        <w:rPr>
          <w:rFonts w:cs="Arial"/>
          <w:szCs w:val="20"/>
        </w:rPr>
        <w:t xml:space="preserve"> </w:t>
      </w:r>
      <w:r w:rsidRPr="00765546">
        <w:rPr>
          <w:rFonts w:cs="Arial"/>
          <w:szCs w:val="20"/>
        </w:rPr>
        <w:t>a</w:t>
      </w:r>
      <w:r w:rsidRPr="009001CE">
        <w:rPr>
          <w:rFonts w:cs="Arial"/>
          <w:szCs w:val="20"/>
        </w:rPr>
        <w:t xml:space="preserve"> </w:t>
      </w:r>
      <w:r w:rsidRPr="00765546">
        <w:rPr>
          <w:rFonts w:cs="Arial"/>
          <w:szCs w:val="20"/>
        </w:rPr>
        <w:t>payment</w:t>
      </w:r>
      <w:r w:rsidRPr="009001CE">
        <w:rPr>
          <w:rFonts w:cs="Arial"/>
          <w:szCs w:val="20"/>
        </w:rPr>
        <w:t xml:space="preserve"> </w:t>
      </w:r>
      <w:r w:rsidRPr="00765546">
        <w:rPr>
          <w:rFonts w:cs="Arial"/>
          <w:szCs w:val="20"/>
        </w:rPr>
        <w:t>agreement</w:t>
      </w:r>
      <w:r w:rsidRPr="009001CE">
        <w:rPr>
          <w:rFonts w:cs="Arial"/>
          <w:szCs w:val="20"/>
        </w:rPr>
        <w:t xml:space="preserve"> </w:t>
      </w:r>
      <w:r w:rsidRPr="00765546">
        <w:rPr>
          <w:rFonts w:cs="Arial"/>
          <w:szCs w:val="20"/>
        </w:rPr>
        <w:t>in</w:t>
      </w:r>
      <w:r w:rsidRPr="009001CE">
        <w:rPr>
          <w:rFonts w:cs="Arial"/>
          <w:szCs w:val="20"/>
        </w:rPr>
        <w:t xml:space="preserve"> </w:t>
      </w:r>
      <w:r w:rsidRPr="00765546">
        <w:rPr>
          <w:rFonts w:cs="Arial"/>
          <w:szCs w:val="20"/>
        </w:rPr>
        <w:t>place;</w:t>
      </w:r>
      <w:r w:rsidRPr="009001CE">
        <w:rPr>
          <w:rFonts w:cs="Arial"/>
          <w:szCs w:val="20"/>
        </w:rPr>
        <w:t xml:space="preserve"> </w:t>
      </w:r>
      <w:r w:rsidRPr="00765546">
        <w:rPr>
          <w:rFonts w:cs="Arial"/>
          <w:szCs w:val="20"/>
        </w:rPr>
        <w:t>or</w:t>
      </w:r>
    </w:p>
    <w:p w14:paraId="4939AE8A" w14:textId="77777777" w:rsidR="007F52B4" w:rsidRPr="00765546" w:rsidRDefault="007F52B4" w:rsidP="007F177E">
      <w:pPr>
        <w:pStyle w:val="ListParagraph"/>
        <w:numPr>
          <w:ilvl w:val="0"/>
          <w:numId w:val="169"/>
        </w:numPr>
        <w:ind w:left="720"/>
        <w:contextualSpacing w:val="0"/>
        <w:rPr>
          <w:rFonts w:cs="Arial"/>
          <w:szCs w:val="20"/>
        </w:rPr>
      </w:pPr>
      <w:r w:rsidRPr="00765546">
        <w:rPr>
          <w:rFonts w:cs="Arial"/>
          <w:szCs w:val="20"/>
        </w:rPr>
        <w:t>If the amount exceeds the federal or state threshold for criminal prosecution.</w:t>
      </w:r>
    </w:p>
    <w:p w14:paraId="44E9AE9D" w14:textId="77777777" w:rsidR="007F52B4" w:rsidRPr="00765546" w:rsidRDefault="007F52B4" w:rsidP="00677451">
      <w:pPr>
        <w:pStyle w:val="Heading3"/>
      </w:pPr>
      <w:bookmarkStart w:id="4018" w:name="_Ref510088199"/>
      <w:bookmarkStart w:id="4019" w:name="_Toc513727749"/>
      <w:bookmarkStart w:id="4020" w:name="_Toc520796800"/>
      <w:bookmarkStart w:id="4021" w:name="_Toc527019742"/>
      <w:bookmarkStart w:id="4022" w:name="_Toc534707430"/>
      <w:bookmarkStart w:id="4023" w:name="_Toc534708108"/>
      <w:bookmarkStart w:id="4024" w:name="_Toc534708916"/>
      <w:bookmarkStart w:id="4025" w:name="_Toc118116581"/>
      <w:bookmarkStart w:id="4026" w:name="_Toc200375899"/>
      <w:r w:rsidRPr="00765546">
        <w:t>Repayment Agreement Terms</w:t>
      </w:r>
      <w:bookmarkEnd w:id="4018"/>
      <w:bookmarkEnd w:id="4019"/>
      <w:bookmarkEnd w:id="4020"/>
      <w:bookmarkEnd w:id="4021"/>
      <w:bookmarkEnd w:id="4022"/>
      <w:bookmarkEnd w:id="4023"/>
      <w:bookmarkEnd w:id="4024"/>
      <w:bookmarkEnd w:id="4025"/>
      <w:bookmarkEnd w:id="4026"/>
    </w:p>
    <w:p w14:paraId="53DC85A4" w14:textId="77777777" w:rsidR="007F52B4" w:rsidRPr="00B76D5E" w:rsidRDefault="007F52B4" w:rsidP="007F52B4">
      <w:pPr>
        <w:rPr>
          <w:rFonts w:cs="Arial"/>
          <w:szCs w:val="20"/>
        </w:rPr>
      </w:pPr>
      <w:r w:rsidRPr="00B76D5E">
        <w:rPr>
          <w:rFonts w:cs="Times New Roman"/>
        </w:rPr>
        <w:t>T</w:t>
      </w:r>
      <w:r w:rsidRPr="00B76D5E">
        <w:rPr>
          <w:rFonts w:eastAsia="Times New Roman" w:cs="Times New Roman"/>
          <w:szCs w:val="24"/>
        </w:rPr>
        <w:t>he</w:t>
      </w:r>
      <w:r w:rsidRPr="00B76D5E">
        <w:rPr>
          <w:rFonts w:eastAsia="Times New Roman" w:cs="Times New Roman"/>
          <w:spacing w:val="1"/>
          <w:szCs w:val="24"/>
        </w:rPr>
        <w:t xml:space="preserve"> </w:t>
      </w:r>
      <w:r w:rsidRPr="00B76D5E">
        <w:rPr>
          <w:rFonts w:eastAsia="Times New Roman" w:cs="Times New Roman"/>
          <w:szCs w:val="24"/>
        </w:rPr>
        <w:t>maximum</w:t>
      </w:r>
      <w:r w:rsidRPr="00B76D5E">
        <w:rPr>
          <w:rFonts w:eastAsia="Times New Roman" w:cs="Times New Roman"/>
          <w:spacing w:val="-5"/>
          <w:szCs w:val="24"/>
        </w:rPr>
        <w:t xml:space="preserve"> </w:t>
      </w:r>
      <w:r w:rsidRPr="00B76D5E">
        <w:rPr>
          <w:rFonts w:eastAsia="Times New Roman" w:cs="Times New Roman"/>
          <w:szCs w:val="24"/>
        </w:rPr>
        <w:t>length of</w:t>
      </w:r>
      <w:r w:rsidRPr="00B76D5E">
        <w:rPr>
          <w:rFonts w:eastAsia="Times New Roman" w:cs="Times New Roman"/>
          <w:spacing w:val="5"/>
          <w:szCs w:val="24"/>
        </w:rPr>
        <w:t xml:space="preserve"> </w:t>
      </w:r>
      <w:r w:rsidRPr="00B76D5E">
        <w:rPr>
          <w:rFonts w:eastAsia="Times New Roman" w:cs="Times New Roman"/>
          <w:szCs w:val="24"/>
        </w:rPr>
        <w:t>time</w:t>
      </w:r>
      <w:r w:rsidRPr="00B76D5E">
        <w:rPr>
          <w:rFonts w:eastAsia="Times New Roman" w:cs="Times New Roman"/>
          <w:spacing w:val="1"/>
          <w:szCs w:val="24"/>
        </w:rPr>
        <w:t xml:space="preserve"> </w:t>
      </w:r>
      <w:r>
        <w:rPr>
          <w:rFonts w:eastAsia="Times New Roman" w:cs="Times New Roman"/>
          <w:spacing w:val="1"/>
          <w:szCs w:val="24"/>
        </w:rPr>
        <w:t>HHA</w:t>
      </w:r>
      <w:r w:rsidRPr="00B76D5E">
        <w:rPr>
          <w:rFonts w:eastAsia="Times New Roman" w:cs="Times New Roman"/>
          <w:spacing w:val="2"/>
          <w:szCs w:val="24"/>
        </w:rPr>
        <w:t xml:space="preserve"> </w:t>
      </w:r>
      <w:r w:rsidRPr="00B76D5E">
        <w:rPr>
          <w:rFonts w:eastAsia="Times New Roman" w:cs="Times New Roman"/>
          <w:szCs w:val="24"/>
        </w:rPr>
        <w:t>will</w:t>
      </w:r>
      <w:r w:rsidRPr="00B76D5E">
        <w:rPr>
          <w:rFonts w:eastAsia="Times New Roman" w:cs="Times New Roman"/>
          <w:spacing w:val="3"/>
          <w:szCs w:val="24"/>
        </w:rPr>
        <w:t xml:space="preserve"> </w:t>
      </w:r>
      <w:r w:rsidRPr="00B76D5E">
        <w:rPr>
          <w:rFonts w:eastAsia="Times New Roman" w:cs="Times New Roman"/>
          <w:szCs w:val="24"/>
        </w:rPr>
        <w:t>enter</w:t>
      </w:r>
      <w:r w:rsidRPr="00B76D5E">
        <w:rPr>
          <w:rFonts w:eastAsia="Times New Roman" w:cs="Times New Roman"/>
          <w:spacing w:val="1"/>
          <w:szCs w:val="24"/>
        </w:rPr>
        <w:t xml:space="preserve"> </w:t>
      </w:r>
      <w:r w:rsidRPr="00B76D5E">
        <w:rPr>
          <w:rFonts w:eastAsia="Times New Roman" w:cs="Times New Roman"/>
          <w:szCs w:val="24"/>
        </w:rPr>
        <w:t>into</w:t>
      </w:r>
      <w:r w:rsidRPr="00B76D5E">
        <w:rPr>
          <w:rFonts w:eastAsia="Times New Roman" w:cs="Times New Roman"/>
          <w:spacing w:val="2"/>
          <w:szCs w:val="24"/>
        </w:rPr>
        <w:t xml:space="preserve"> </w:t>
      </w:r>
      <w:r w:rsidRPr="00B76D5E">
        <w:rPr>
          <w:rFonts w:eastAsia="Times New Roman" w:cs="Times New Roman"/>
          <w:szCs w:val="24"/>
        </w:rPr>
        <w:t>a</w:t>
      </w:r>
      <w:r w:rsidRPr="00B76D5E">
        <w:rPr>
          <w:rFonts w:eastAsia="Times New Roman" w:cs="Times New Roman"/>
          <w:spacing w:val="4"/>
          <w:szCs w:val="24"/>
        </w:rPr>
        <w:t xml:space="preserve"> </w:t>
      </w:r>
      <w:r w:rsidRPr="00B76D5E">
        <w:rPr>
          <w:rFonts w:eastAsia="Times New Roman" w:cs="Times New Roman"/>
          <w:szCs w:val="24"/>
        </w:rPr>
        <w:t>payment</w:t>
      </w:r>
      <w:r w:rsidRPr="00B76D5E">
        <w:rPr>
          <w:rFonts w:eastAsia="Times New Roman" w:cs="Times New Roman"/>
          <w:spacing w:val="-3"/>
          <w:szCs w:val="24"/>
        </w:rPr>
        <w:t xml:space="preserve"> </w:t>
      </w:r>
      <w:r w:rsidRPr="00B76D5E">
        <w:rPr>
          <w:rFonts w:eastAsia="Times New Roman" w:cs="Times New Roman"/>
          <w:szCs w:val="24"/>
        </w:rPr>
        <w:t>agreement</w:t>
      </w:r>
      <w:r w:rsidRPr="00B76D5E">
        <w:rPr>
          <w:rFonts w:eastAsia="Times New Roman" w:cs="Times New Roman"/>
          <w:spacing w:val="-5"/>
          <w:szCs w:val="24"/>
        </w:rPr>
        <w:t xml:space="preserve"> </w:t>
      </w:r>
      <w:r w:rsidRPr="00B76D5E">
        <w:rPr>
          <w:rFonts w:eastAsia="Times New Roman" w:cs="Times New Roman"/>
          <w:szCs w:val="24"/>
        </w:rPr>
        <w:t>with</w:t>
      </w:r>
      <w:r w:rsidRPr="00B76D5E">
        <w:rPr>
          <w:rFonts w:eastAsia="Times New Roman" w:cs="Times New Roman"/>
          <w:spacing w:val="4"/>
          <w:szCs w:val="24"/>
        </w:rPr>
        <w:t xml:space="preserve"> </w:t>
      </w:r>
      <w:r w:rsidRPr="00B76D5E">
        <w:rPr>
          <w:rFonts w:eastAsia="Times New Roman" w:cs="Times New Roman"/>
          <w:szCs w:val="24"/>
        </w:rPr>
        <w:t>a</w:t>
      </w:r>
      <w:r w:rsidRPr="00B76D5E">
        <w:rPr>
          <w:rFonts w:eastAsia="Times New Roman" w:cs="Times New Roman"/>
          <w:spacing w:val="4"/>
          <w:szCs w:val="24"/>
        </w:rPr>
        <w:t xml:space="preserve"> </w:t>
      </w:r>
      <w:r w:rsidRPr="00B76D5E">
        <w:rPr>
          <w:rFonts w:eastAsia="Times New Roman" w:cs="Times New Roman"/>
          <w:szCs w:val="24"/>
        </w:rPr>
        <w:t>family</w:t>
      </w:r>
      <w:r w:rsidRPr="00B76D5E">
        <w:rPr>
          <w:rFonts w:eastAsia="Times New Roman" w:cs="Times New Roman"/>
          <w:spacing w:val="1"/>
          <w:szCs w:val="24"/>
        </w:rPr>
        <w:t xml:space="preserve"> </w:t>
      </w:r>
      <w:r w:rsidRPr="00B76D5E">
        <w:rPr>
          <w:rFonts w:eastAsia="Times New Roman" w:cs="Times New Roman"/>
          <w:szCs w:val="24"/>
        </w:rPr>
        <w:t xml:space="preserve">is three years. </w:t>
      </w:r>
      <w:r w:rsidRPr="00B76D5E">
        <w:rPr>
          <w:rFonts w:cs="Times New Roman"/>
          <w:szCs w:val="24"/>
        </w:rPr>
        <w:t>All payments are due by the close of business on the first day of the month. If the first does not fall on a business day, the due date is the close of business on the first business day after the first.</w:t>
      </w:r>
    </w:p>
    <w:p w14:paraId="4DFFBECB" w14:textId="77777777" w:rsidR="007F52B4" w:rsidRDefault="007F52B4" w:rsidP="007F52B4">
      <w:pPr>
        <w:rPr>
          <w:rFonts w:cs="Arial"/>
          <w:szCs w:val="20"/>
        </w:rPr>
      </w:pPr>
      <w:r w:rsidRPr="001C227A">
        <w:rPr>
          <w:rFonts w:cs="Arial"/>
          <w:szCs w:val="20"/>
        </w:rPr>
        <w:t>For all repayment agreements, the family must make a down payment equal to at least 20</w:t>
      </w:r>
      <w:r w:rsidR="002C2D6D" w:rsidRPr="001C227A">
        <w:rPr>
          <w:rFonts w:cs="Arial"/>
          <w:szCs w:val="20"/>
        </w:rPr>
        <w:t xml:space="preserve"> percent</w:t>
      </w:r>
      <w:r w:rsidRPr="001C227A">
        <w:rPr>
          <w:rFonts w:cs="Arial"/>
          <w:szCs w:val="20"/>
        </w:rPr>
        <w:t xml:space="preserve"> of the amount owed; however, a</w:t>
      </w:r>
      <w:r w:rsidRPr="001C227A">
        <w:rPr>
          <w:rFonts w:cs="Arial"/>
          <w:spacing w:val="-2"/>
          <w:szCs w:val="20"/>
        </w:rPr>
        <w:t xml:space="preserve"> family may make an initial payment beyond what HHA requires</w:t>
      </w:r>
      <w:r w:rsidRPr="00B76D5E">
        <w:rPr>
          <w:rFonts w:cs="Arial"/>
          <w:spacing w:val="-2"/>
          <w:szCs w:val="20"/>
        </w:rPr>
        <w:t xml:space="preserve"> in order to reduce or eliminate the monthly repayment amount. </w:t>
      </w:r>
      <w:r w:rsidRPr="00B76D5E">
        <w:rPr>
          <w:rFonts w:cs="Arial"/>
          <w:szCs w:val="20"/>
        </w:rPr>
        <w:t xml:space="preserve">The remaining balance of the debt must be paid within three years. However, </w:t>
      </w:r>
      <w:r>
        <w:rPr>
          <w:rFonts w:cs="Arial"/>
          <w:szCs w:val="20"/>
        </w:rPr>
        <w:t>HHA</w:t>
      </w:r>
      <w:r w:rsidRPr="00B76D5E">
        <w:rPr>
          <w:rFonts w:cs="Arial"/>
          <w:szCs w:val="20"/>
        </w:rPr>
        <w:t xml:space="preserve"> reserves the right to modify the maximum term or amount on a case-by-case basis. Terms may be renegotiated if a household’s income increases or decreases.</w:t>
      </w:r>
    </w:p>
    <w:p w14:paraId="67473FE5" w14:textId="77777777" w:rsidR="007F52B4" w:rsidRPr="00765546" w:rsidRDefault="007F52B4" w:rsidP="007F52B4">
      <w:pPr>
        <w:rPr>
          <w:rFonts w:cs="Arial"/>
          <w:szCs w:val="20"/>
        </w:rPr>
      </w:pPr>
      <w:r w:rsidRPr="00765546">
        <w:rPr>
          <w:rFonts w:cs="Arial"/>
          <w:szCs w:val="20"/>
        </w:rPr>
        <w:t xml:space="preserve">If a family can provide evidence satisfactory to </w:t>
      </w:r>
      <w:r>
        <w:rPr>
          <w:rFonts w:cs="Arial"/>
          <w:szCs w:val="20"/>
        </w:rPr>
        <w:t>HHA</w:t>
      </w:r>
      <w:r w:rsidRPr="00765546">
        <w:rPr>
          <w:rFonts w:cs="Arial"/>
          <w:szCs w:val="20"/>
        </w:rPr>
        <w:t xml:space="preserve"> that the threshold applicable to the family’s debt would impose an undue hardship, </w:t>
      </w:r>
      <w:r>
        <w:rPr>
          <w:rFonts w:cs="Arial"/>
          <w:szCs w:val="20"/>
        </w:rPr>
        <w:t>HHA</w:t>
      </w:r>
      <w:r w:rsidRPr="00765546">
        <w:rPr>
          <w:rFonts w:cs="Arial"/>
          <w:szCs w:val="20"/>
        </w:rPr>
        <w:t xml:space="preserve"> may, in its sole discretion, determine that a lower monthly payment amount is reasonable and/or lengthen the time in which the debt must be paid. In making its determination, </w:t>
      </w:r>
      <w:r>
        <w:rPr>
          <w:rFonts w:cs="Arial"/>
          <w:szCs w:val="20"/>
        </w:rPr>
        <w:t>HHA</w:t>
      </w:r>
      <w:r w:rsidRPr="00765546">
        <w:rPr>
          <w:rFonts w:cs="Arial"/>
          <w:szCs w:val="20"/>
        </w:rPr>
        <w:t xml:space="preserve"> will consider all relevant information, including the following:</w:t>
      </w:r>
    </w:p>
    <w:p w14:paraId="336B1F57" w14:textId="77777777" w:rsidR="007F52B4" w:rsidRPr="00765546" w:rsidRDefault="007F52B4" w:rsidP="007F177E">
      <w:pPr>
        <w:pStyle w:val="ListParagraph"/>
        <w:numPr>
          <w:ilvl w:val="0"/>
          <w:numId w:val="170"/>
        </w:numPr>
        <w:ind w:left="720"/>
        <w:contextualSpacing w:val="0"/>
        <w:rPr>
          <w:rFonts w:cs="Arial"/>
          <w:szCs w:val="20"/>
        </w:rPr>
      </w:pPr>
      <w:r w:rsidRPr="00765546">
        <w:rPr>
          <w:rFonts w:cs="Arial"/>
          <w:szCs w:val="20"/>
        </w:rPr>
        <w:t xml:space="preserve">The amount owed by the family to </w:t>
      </w:r>
      <w:r>
        <w:rPr>
          <w:rFonts w:cs="Arial"/>
          <w:szCs w:val="20"/>
        </w:rPr>
        <w:t>HHA</w:t>
      </w:r>
      <w:r w:rsidRPr="00765546">
        <w:rPr>
          <w:rFonts w:cs="Arial"/>
          <w:szCs w:val="20"/>
        </w:rPr>
        <w:t>;</w:t>
      </w:r>
    </w:p>
    <w:p w14:paraId="2F9E1CB5" w14:textId="77777777" w:rsidR="007F52B4" w:rsidRPr="00765546" w:rsidRDefault="007F52B4" w:rsidP="007F177E">
      <w:pPr>
        <w:pStyle w:val="ListParagraph"/>
        <w:numPr>
          <w:ilvl w:val="0"/>
          <w:numId w:val="170"/>
        </w:numPr>
        <w:ind w:left="720"/>
        <w:contextualSpacing w:val="0"/>
        <w:rPr>
          <w:rFonts w:cs="Arial"/>
          <w:szCs w:val="20"/>
        </w:rPr>
      </w:pPr>
      <w:r w:rsidRPr="00765546">
        <w:rPr>
          <w:rFonts w:cs="Arial"/>
          <w:szCs w:val="20"/>
        </w:rPr>
        <w:t>The reason for the debt, including whether the debt was the result of family action/inaction or circumstances beyond the family’s control;</w:t>
      </w:r>
    </w:p>
    <w:p w14:paraId="5FC005E6" w14:textId="77777777" w:rsidR="007F52B4" w:rsidRPr="00765546" w:rsidRDefault="007F52B4" w:rsidP="007F177E">
      <w:pPr>
        <w:pStyle w:val="ListParagraph"/>
        <w:numPr>
          <w:ilvl w:val="0"/>
          <w:numId w:val="170"/>
        </w:numPr>
        <w:ind w:left="720"/>
        <w:contextualSpacing w:val="0"/>
        <w:rPr>
          <w:rFonts w:cs="Arial"/>
          <w:szCs w:val="20"/>
        </w:rPr>
      </w:pPr>
      <w:r w:rsidRPr="00765546">
        <w:rPr>
          <w:rFonts w:cs="Arial"/>
          <w:szCs w:val="20"/>
        </w:rPr>
        <w:t>The family’s current and potential income and expenses;</w:t>
      </w:r>
    </w:p>
    <w:p w14:paraId="64AF2098" w14:textId="77777777" w:rsidR="007F52B4" w:rsidRPr="00765546" w:rsidRDefault="007F52B4" w:rsidP="007F177E">
      <w:pPr>
        <w:pStyle w:val="ListParagraph"/>
        <w:numPr>
          <w:ilvl w:val="0"/>
          <w:numId w:val="170"/>
        </w:numPr>
        <w:ind w:left="720"/>
        <w:contextualSpacing w:val="0"/>
        <w:rPr>
          <w:rFonts w:cs="Arial"/>
          <w:szCs w:val="20"/>
        </w:rPr>
      </w:pPr>
      <w:r w:rsidRPr="00765546">
        <w:rPr>
          <w:rFonts w:cs="Arial"/>
          <w:szCs w:val="20"/>
        </w:rPr>
        <w:t>The family’s current family share;</w:t>
      </w:r>
    </w:p>
    <w:p w14:paraId="2D825178" w14:textId="77777777" w:rsidR="007F52B4" w:rsidRPr="00765546" w:rsidRDefault="007F52B4" w:rsidP="007F177E">
      <w:pPr>
        <w:pStyle w:val="ListParagraph"/>
        <w:numPr>
          <w:ilvl w:val="0"/>
          <w:numId w:val="170"/>
        </w:numPr>
        <w:ind w:left="720"/>
        <w:contextualSpacing w:val="0"/>
        <w:rPr>
          <w:rFonts w:cs="Arial"/>
          <w:szCs w:val="20"/>
        </w:rPr>
      </w:pPr>
      <w:r w:rsidRPr="00765546">
        <w:rPr>
          <w:rFonts w:cs="Arial"/>
          <w:szCs w:val="20"/>
        </w:rPr>
        <w:t>The family’s history of meeting its financial responsibilities.</w:t>
      </w:r>
    </w:p>
    <w:p w14:paraId="7B7C31CC" w14:textId="77777777" w:rsidR="007F52B4" w:rsidRPr="00B76D5E" w:rsidRDefault="007F52B4" w:rsidP="00677451">
      <w:pPr>
        <w:pStyle w:val="Heading3"/>
      </w:pPr>
      <w:bookmarkStart w:id="4027" w:name="_Toc118116582"/>
      <w:bookmarkStart w:id="4028" w:name="_Toc200375900"/>
      <w:r w:rsidRPr="00B76D5E">
        <w:t>Late or Missed Payments</w:t>
      </w:r>
      <w:bookmarkEnd w:id="4027"/>
      <w:bookmarkEnd w:id="4028"/>
    </w:p>
    <w:p w14:paraId="668F4AB4" w14:textId="77777777" w:rsidR="007F52B4" w:rsidRPr="00B76D5E" w:rsidRDefault="007F52B4" w:rsidP="007F52B4">
      <w:pPr>
        <w:autoSpaceDE w:val="0"/>
        <w:autoSpaceDN w:val="0"/>
        <w:adjustRightInd w:val="0"/>
        <w:rPr>
          <w:rFonts w:cs="Arial"/>
          <w:szCs w:val="20"/>
        </w:rPr>
      </w:pPr>
      <w:r w:rsidRPr="00B76D5E">
        <w:rPr>
          <w:rFonts w:cs="Arial"/>
          <w:szCs w:val="20"/>
        </w:rPr>
        <w:t xml:space="preserve">If a payment is not </w:t>
      </w:r>
      <w:r w:rsidRPr="008E48D9">
        <w:rPr>
          <w:rFonts w:cs="Arial"/>
          <w:szCs w:val="20"/>
        </w:rPr>
        <w:t xml:space="preserve">received by the end of the business day on the date due, and prior approval for the missed payment has not been given by HHA, HHA will send the family a delinquency notice giving the family </w:t>
      </w:r>
      <w:r w:rsidR="008E48D9" w:rsidRPr="008E48D9">
        <w:rPr>
          <w:rFonts w:cs="Arial"/>
          <w:szCs w:val="20"/>
        </w:rPr>
        <w:t>15 calendar</w:t>
      </w:r>
      <w:r w:rsidRPr="008E48D9">
        <w:rPr>
          <w:rFonts w:cs="Arial"/>
          <w:szCs w:val="20"/>
        </w:rPr>
        <w:t xml:space="preserve"> days to make</w:t>
      </w:r>
      <w:r w:rsidRPr="00B76D5E">
        <w:rPr>
          <w:rFonts w:cs="Arial"/>
          <w:szCs w:val="20"/>
        </w:rPr>
        <w:t xml:space="preserve"> the late payment.</w:t>
      </w:r>
    </w:p>
    <w:p w14:paraId="2231D54D" w14:textId="77777777" w:rsidR="007F52B4" w:rsidRPr="00B76D5E" w:rsidRDefault="007F52B4" w:rsidP="007F52B4">
      <w:pPr>
        <w:autoSpaceDE w:val="0"/>
        <w:autoSpaceDN w:val="0"/>
        <w:adjustRightInd w:val="0"/>
        <w:rPr>
          <w:rFonts w:cs="Arial"/>
          <w:szCs w:val="20"/>
        </w:rPr>
      </w:pPr>
      <w:r w:rsidRPr="00B76D5E">
        <w:rPr>
          <w:rFonts w:cs="Arial"/>
          <w:szCs w:val="20"/>
        </w:rPr>
        <w:t xml:space="preserve">If the payment is not received by the due date of the delinquency notice, it will be considered a breach of the agreement and </w:t>
      </w:r>
      <w:r>
        <w:rPr>
          <w:rFonts w:cs="Arial"/>
          <w:szCs w:val="20"/>
        </w:rPr>
        <w:t>HHA</w:t>
      </w:r>
      <w:r w:rsidRPr="00B76D5E">
        <w:rPr>
          <w:rFonts w:cs="Arial"/>
          <w:szCs w:val="20"/>
        </w:rPr>
        <w:t xml:space="preserve"> will terminate assistance  in accordance with the policies in this </w:t>
      </w:r>
      <w:r w:rsidR="00AF5A52">
        <w:rPr>
          <w:rFonts w:cs="Arial"/>
          <w:szCs w:val="20"/>
        </w:rPr>
        <w:t>ACOP</w:t>
      </w:r>
      <w:r w:rsidRPr="00B76D5E">
        <w:rPr>
          <w:rFonts w:cs="Arial"/>
          <w:szCs w:val="20"/>
        </w:rPr>
        <w:t>.</w:t>
      </w:r>
    </w:p>
    <w:p w14:paraId="6CD0B2C0" w14:textId="77777777" w:rsidR="007F52B4" w:rsidRDefault="007F52B4" w:rsidP="007F52B4">
      <w:pPr>
        <w:rPr>
          <w:rFonts w:cs="Arial"/>
          <w:szCs w:val="20"/>
        </w:rPr>
      </w:pPr>
      <w:r w:rsidRPr="00B76D5E">
        <w:rPr>
          <w:rFonts w:cs="Arial"/>
          <w:szCs w:val="20"/>
        </w:rPr>
        <w:t>If a family receives three delinquency notices for unexcused late payments in a 12-month period, the repayment agreement will be considered</w:t>
      </w:r>
      <w:r>
        <w:rPr>
          <w:rFonts w:cs="Arial"/>
          <w:szCs w:val="20"/>
        </w:rPr>
        <w:t>.</w:t>
      </w:r>
    </w:p>
    <w:p w14:paraId="1D667068" w14:textId="77777777" w:rsidR="007F52B4" w:rsidRPr="00765546" w:rsidRDefault="007F52B4" w:rsidP="00677451">
      <w:pPr>
        <w:pStyle w:val="Heading3"/>
      </w:pPr>
      <w:bookmarkStart w:id="4029" w:name="_Toc447693851"/>
      <w:bookmarkStart w:id="4030" w:name="_Toc500766619"/>
      <w:bookmarkStart w:id="4031" w:name="_Toc507069035"/>
      <w:bookmarkStart w:id="4032" w:name="_Toc510614362"/>
      <w:bookmarkStart w:id="4033" w:name="_Toc534707431"/>
      <w:bookmarkStart w:id="4034" w:name="_Toc534708109"/>
      <w:bookmarkStart w:id="4035" w:name="_Toc534708917"/>
      <w:bookmarkStart w:id="4036" w:name="_Toc118116583"/>
      <w:bookmarkStart w:id="4037" w:name="_Toc200375901"/>
      <w:r w:rsidRPr="00765546">
        <w:t xml:space="preserve">Transfers and </w:t>
      </w:r>
      <w:r>
        <w:t>Rep</w:t>
      </w:r>
      <w:r w:rsidRPr="00765546">
        <w:t>ayment Agreements</w:t>
      </w:r>
      <w:bookmarkEnd w:id="4029"/>
      <w:bookmarkEnd w:id="4030"/>
      <w:bookmarkEnd w:id="4031"/>
      <w:bookmarkEnd w:id="4032"/>
      <w:bookmarkEnd w:id="4033"/>
      <w:bookmarkEnd w:id="4034"/>
      <w:bookmarkEnd w:id="4035"/>
      <w:bookmarkEnd w:id="4036"/>
      <w:bookmarkEnd w:id="4037"/>
    </w:p>
    <w:p w14:paraId="7DF2F49C" w14:textId="77777777" w:rsidR="007D24EA" w:rsidRPr="009709BC" w:rsidRDefault="007D24EA" w:rsidP="007D24EA">
      <w:pPr>
        <w:rPr>
          <w:rFonts w:eastAsia="Times New Roman" w:cs="Times New Roman"/>
          <w:szCs w:val="24"/>
        </w:rPr>
      </w:pPr>
      <w:r w:rsidRPr="009709BC">
        <w:rPr>
          <w:rFonts w:eastAsia="Times New Roman" w:cs="Times New Roman"/>
          <w:szCs w:val="24"/>
        </w:rPr>
        <w:t>If the</w:t>
      </w:r>
      <w:r w:rsidRPr="009709BC">
        <w:rPr>
          <w:rFonts w:eastAsia="Times New Roman" w:cs="Times New Roman"/>
          <w:spacing w:val="-3"/>
          <w:szCs w:val="24"/>
        </w:rPr>
        <w:t xml:space="preserve"> </w:t>
      </w:r>
      <w:r w:rsidRPr="009709BC">
        <w:rPr>
          <w:rFonts w:eastAsia="Times New Roman" w:cs="Times New Roman"/>
          <w:szCs w:val="24"/>
        </w:rPr>
        <w:t>family</w:t>
      </w:r>
      <w:r w:rsidRPr="009709BC">
        <w:rPr>
          <w:rFonts w:eastAsia="Times New Roman" w:cs="Times New Roman"/>
          <w:spacing w:val="-4"/>
          <w:szCs w:val="24"/>
        </w:rPr>
        <w:t xml:space="preserve"> </w:t>
      </w:r>
      <w:r w:rsidRPr="009709BC">
        <w:rPr>
          <w:rFonts w:eastAsia="Times New Roman" w:cs="Times New Roman"/>
          <w:szCs w:val="24"/>
        </w:rPr>
        <w:t>requests</w:t>
      </w:r>
      <w:r w:rsidRPr="009709BC">
        <w:rPr>
          <w:rFonts w:eastAsia="Times New Roman" w:cs="Times New Roman"/>
          <w:spacing w:val="-6"/>
          <w:szCs w:val="24"/>
        </w:rPr>
        <w:t xml:space="preserve"> a transfer</w:t>
      </w:r>
      <w:r w:rsidRPr="009709BC">
        <w:rPr>
          <w:rFonts w:eastAsia="Times New Roman" w:cs="Times New Roman"/>
          <w:spacing w:val="-4"/>
          <w:szCs w:val="24"/>
        </w:rPr>
        <w:t xml:space="preserve"> </w:t>
      </w:r>
      <w:r w:rsidRPr="009709BC">
        <w:rPr>
          <w:rFonts w:eastAsia="Times New Roman" w:cs="Times New Roman"/>
          <w:szCs w:val="24"/>
        </w:rPr>
        <w:t>and</w:t>
      </w:r>
      <w:r w:rsidRPr="009709BC">
        <w:rPr>
          <w:rFonts w:eastAsia="Times New Roman" w:cs="Times New Roman"/>
          <w:spacing w:val="-1"/>
          <w:szCs w:val="24"/>
        </w:rPr>
        <w:t xml:space="preserve"> </w:t>
      </w:r>
      <w:r w:rsidRPr="009709BC">
        <w:rPr>
          <w:rFonts w:eastAsia="Times New Roman" w:cs="Times New Roman"/>
          <w:szCs w:val="24"/>
        </w:rPr>
        <w:t>has</w:t>
      </w:r>
      <w:r w:rsidRPr="009709BC">
        <w:rPr>
          <w:rFonts w:eastAsia="Times New Roman" w:cs="Times New Roman"/>
          <w:spacing w:val="-2"/>
          <w:szCs w:val="24"/>
        </w:rPr>
        <w:t xml:space="preserve"> </w:t>
      </w:r>
      <w:r w:rsidRPr="009709BC">
        <w:rPr>
          <w:rFonts w:eastAsia="Times New Roman" w:cs="Times New Roman"/>
          <w:szCs w:val="24"/>
        </w:rPr>
        <w:t>a</w:t>
      </w:r>
      <w:r w:rsidRPr="009709BC">
        <w:rPr>
          <w:rFonts w:eastAsia="Times New Roman" w:cs="Times New Roman"/>
          <w:spacing w:val="-1"/>
          <w:szCs w:val="24"/>
        </w:rPr>
        <w:t xml:space="preserve"> </w:t>
      </w:r>
      <w:r w:rsidRPr="009709BC">
        <w:rPr>
          <w:rFonts w:eastAsia="Times New Roman" w:cs="Times New Roman"/>
          <w:szCs w:val="24"/>
        </w:rPr>
        <w:t>payment</w:t>
      </w:r>
      <w:r w:rsidRPr="009709BC">
        <w:rPr>
          <w:rFonts w:eastAsia="Times New Roman" w:cs="Times New Roman"/>
          <w:spacing w:val="-8"/>
          <w:szCs w:val="24"/>
        </w:rPr>
        <w:t xml:space="preserve"> </w:t>
      </w:r>
      <w:r w:rsidRPr="009709BC">
        <w:rPr>
          <w:rFonts w:eastAsia="Times New Roman" w:cs="Times New Roman"/>
          <w:szCs w:val="24"/>
        </w:rPr>
        <w:t>agreement</w:t>
      </w:r>
      <w:r w:rsidRPr="009709BC">
        <w:rPr>
          <w:rFonts w:eastAsia="Times New Roman" w:cs="Times New Roman"/>
          <w:spacing w:val="-10"/>
          <w:szCs w:val="24"/>
        </w:rPr>
        <w:t xml:space="preserve"> </w:t>
      </w:r>
      <w:r w:rsidRPr="009709BC">
        <w:rPr>
          <w:rFonts w:eastAsia="Times New Roman" w:cs="Times New Roman"/>
          <w:szCs w:val="24"/>
        </w:rPr>
        <w:t>in</w:t>
      </w:r>
      <w:r w:rsidRPr="009709BC">
        <w:rPr>
          <w:rFonts w:eastAsia="Times New Roman" w:cs="Times New Roman"/>
          <w:spacing w:val="-1"/>
          <w:szCs w:val="24"/>
        </w:rPr>
        <w:t xml:space="preserve"> </w:t>
      </w:r>
      <w:r w:rsidRPr="009709BC">
        <w:rPr>
          <w:rFonts w:eastAsia="Times New Roman" w:cs="Times New Roman"/>
          <w:szCs w:val="24"/>
        </w:rPr>
        <w:t>place</w:t>
      </w:r>
      <w:r w:rsidRPr="009709BC">
        <w:rPr>
          <w:rFonts w:eastAsia="Times New Roman" w:cs="Times New Roman"/>
          <w:spacing w:val="-5"/>
          <w:szCs w:val="24"/>
        </w:rPr>
        <w:t xml:space="preserve"> </w:t>
      </w:r>
      <w:r w:rsidRPr="009709BC">
        <w:rPr>
          <w:rFonts w:eastAsia="Times New Roman" w:cs="Times New Roman"/>
          <w:szCs w:val="24"/>
        </w:rPr>
        <w:t>and</w:t>
      </w:r>
      <w:r w:rsidRPr="009709BC">
        <w:rPr>
          <w:rFonts w:eastAsia="Times New Roman" w:cs="Times New Roman"/>
          <w:spacing w:val="-1"/>
          <w:szCs w:val="24"/>
        </w:rPr>
        <w:t xml:space="preserve"> </w:t>
      </w:r>
      <w:r w:rsidRPr="009709BC">
        <w:rPr>
          <w:rFonts w:eastAsia="Times New Roman" w:cs="Times New Roman"/>
          <w:szCs w:val="24"/>
        </w:rPr>
        <w:t>the payment</w:t>
      </w:r>
      <w:r w:rsidRPr="009709BC">
        <w:rPr>
          <w:rFonts w:eastAsia="Times New Roman" w:cs="Times New Roman"/>
          <w:spacing w:val="-8"/>
          <w:szCs w:val="24"/>
        </w:rPr>
        <w:t xml:space="preserve"> </w:t>
      </w:r>
      <w:r w:rsidRPr="009709BC">
        <w:rPr>
          <w:rFonts w:eastAsia="Times New Roman" w:cs="Times New Roman"/>
          <w:szCs w:val="24"/>
        </w:rPr>
        <w:t>agreement</w:t>
      </w:r>
      <w:r w:rsidRPr="009709BC">
        <w:rPr>
          <w:rFonts w:eastAsia="Times New Roman" w:cs="Times New Roman"/>
          <w:spacing w:val="-10"/>
          <w:szCs w:val="24"/>
        </w:rPr>
        <w:t xml:space="preserve"> </w:t>
      </w:r>
      <w:r w:rsidRPr="009709BC">
        <w:rPr>
          <w:rFonts w:eastAsia="Times New Roman" w:cs="Times New Roman"/>
          <w:szCs w:val="24"/>
        </w:rPr>
        <w:t>is</w:t>
      </w:r>
      <w:r w:rsidRPr="009709BC">
        <w:rPr>
          <w:rFonts w:eastAsia="Times New Roman" w:cs="Times New Roman"/>
          <w:spacing w:val="-3"/>
          <w:szCs w:val="24"/>
        </w:rPr>
        <w:t xml:space="preserve"> </w:t>
      </w:r>
      <w:r w:rsidR="006F09A5">
        <w:rPr>
          <w:rFonts w:eastAsia="Times New Roman" w:cs="Times New Roman"/>
          <w:spacing w:val="-3"/>
          <w:szCs w:val="24"/>
        </w:rPr>
        <w:t xml:space="preserve">not </w:t>
      </w:r>
      <w:r w:rsidRPr="009709BC">
        <w:rPr>
          <w:rFonts w:eastAsia="Times New Roman" w:cs="Times New Roman"/>
          <w:szCs w:val="24"/>
        </w:rPr>
        <w:t>in</w:t>
      </w:r>
      <w:r w:rsidRPr="009709BC">
        <w:rPr>
          <w:rFonts w:eastAsia="Times New Roman" w:cs="Times New Roman"/>
          <w:spacing w:val="-1"/>
          <w:szCs w:val="24"/>
        </w:rPr>
        <w:t xml:space="preserve"> </w:t>
      </w:r>
      <w:r w:rsidRPr="009709BC">
        <w:rPr>
          <w:rFonts w:eastAsia="Times New Roman" w:cs="Times New Roman"/>
          <w:szCs w:val="24"/>
        </w:rPr>
        <w:t>arrears,</w:t>
      </w:r>
      <w:r w:rsidRPr="009709BC">
        <w:rPr>
          <w:rFonts w:eastAsia="Times New Roman" w:cs="Times New Roman"/>
          <w:spacing w:val="-5"/>
          <w:szCs w:val="24"/>
        </w:rPr>
        <w:t xml:space="preserve"> </w:t>
      </w:r>
      <w:r w:rsidRPr="009709BC">
        <w:rPr>
          <w:rFonts w:eastAsia="Times New Roman" w:cs="Times New Roman"/>
          <w:szCs w:val="24"/>
        </w:rPr>
        <w:t>the</w:t>
      </w:r>
      <w:r w:rsidRPr="009709BC">
        <w:rPr>
          <w:rFonts w:eastAsia="Times New Roman" w:cs="Times New Roman"/>
          <w:spacing w:val="-3"/>
          <w:szCs w:val="24"/>
        </w:rPr>
        <w:t xml:space="preserve"> </w:t>
      </w:r>
      <w:r w:rsidRPr="009709BC">
        <w:rPr>
          <w:rFonts w:eastAsia="Times New Roman" w:cs="Times New Roman"/>
          <w:szCs w:val="24"/>
        </w:rPr>
        <w:t>family</w:t>
      </w:r>
      <w:r w:rsidRPr="009709BC">
        <w:rPr>
          <w:rFonts w:eastAsia="Times New Roman" w:cs="Times New Roman"/>
          <w:spacing w:val="-4"/>
          <w:szCs w:val="24"/>
        </w:rPr>
        <w:t xml:space="preserve"> </w:t>
      </w:r>
      <w:r w:rsidRPr="009709BC">
        <w:rPr>
          <w:rFonts w:eastAsia="Times New Roman" w:cs="Times New Roman"/>
          <w:szCs w:val="24"/>
        </w:rPr>
        <w:t>will</w:t>
      </w:r>
      <w:r w:rsidRPr="009709BC">
        <w:rPr>
          <w:rFonts w:eastAsia="Times New Roman" w:cs="Times New Roman"/>
          <w:spacing w:val="-2"/>
          <w:szCs w:val="24"/>
        </w:rPr>
        <w:t xml:space="preserve"> </w:t>
      </w:r>
      <w:r w:rsidRPr="009709BC">
        <w:rPr>
          <w:rFonts w:eastAsia="Times New Roman" w:cs="Times New Roman"/>
          <w:szCs w:val="24"/>
        </w:rPr>
        <w:t>be</w:t>
      </w:r>
      <w:r w:rsidRPr="009709BC">
        <w:rPr>
          <w:rFonts w:eastAsia="Times New Roman" w:cs="Times New Roman"/>
          <w:spacing w:val="-2"/>
          <w:szCs w:val="24"/>
        </w:rPr>
        <w:t xml:space="preserve"> </w:t>
      </w:r>
      <w:r w:rsidRPr="009709BC">
        <w:rPr>
          <w:rFonts w:eastAsia="Times New Roman" w:cs="Times New Roman"/>
          <w:szCs w:val="24"/>
        </w:rPr>
        <w:t>permitted</w:t>
      </w:r>
      <w:r w:rsidRPr="009709BC">
        <w:rPr>
          <w:rFonts w:eastAsia="Times New Roman" w:cs="Times New Roman"/>
          <w:spacing w:val="-8"/>
          <w:szCs w:val="24"/>
        </w:rPr>
        <w:t xml:space="preserve"> </w:t>
      </w:r>
      <w:r w:rsidRPr="009709BC">
        <w:rPr>
          <w:rFonts w:eastAsia="Times New Roman" w:cs="Times New Roman"/>
          <w:szCs w:val="24"/>
        </w:rPr>
        <w:t>to</w:t>
      </w:r>
      <w:r w:rsidRPr="009709BC">
        <w:rPr>
          <w:rFonts w:eastAsia="Times New Roman" w:cs="Times New Roman"/>
          <w:spacing w:val="-1"/>
          <w:szCs w:val="24"/>
        </w:rPr>
        <w:t xml:space="preserve"> </w:t>
      </w:r>
      <w:r w:rsidRPr="009709BC">
        <w:rPr>
          <w:rFonts w:eastAsia="Times New Roman" w:cs="Times New Roman"/>
          <w:szCs w:val="24"/>
        </w:rPr>
        <w:t xml:space="preserve">move. Exceptions for families who are in arrears will be considered on a case-by-case basis and </w:t>
      </w:r>
      <w:r w:rsidRPr="00B05881">
        <w:rPr>
          <w:rFonts w:eastAsia="Times New Roman" w:cs="Times New Roman"/>
          <w:szCs w:val="24"/>
        </w:rPr>
        <w:t>ma</w:t>
      </w:r>
      <w:r w:rsidR="006F09A5" w:rsidRPr="00B05881">
        <w:rPr>
          <w:rFonts w:eastAsia="Times New Roman" w:cs="Times New Roman"/>
          <w:szCs w:val="24"/>
        </w:rPr>
        <w:t>y</w:t>
      </w:r>
      <w:r w:rsidRPr="009709BC">
        <w:rPr>
          <w:rFonts w:eastAsia="Times New Roman" w:cs="Times New Roman"/>
          <w:szCs w:val="24"/>
        </w:rPr>
        <w:t xml:space="preserve"> take into account situations including but not limited to emergencies, reasonable accommodations and occupancy standards. </w:t>
      </w:r>
    </w:p>
    <w:p w14:paraId="6C9EF2AA" w14:textId="77777777" w:rsidR="007F52B4" w:rsidRPr="00765546" w:rsidRDefault="007F52B4" w:rsidP="00677451">
      <w:pPr>
        <w:pStyle w:val="Heading3"/>
      </w:pPr>
      <w:bookmarkStart w:id="4038" w:name="_Toc513727753"/>
      <w:bookmarkStart w:id="4039" w:name="_Toc520796804"/>
      <w:bookmarkStart w:id="4040" w:name="_Toc527019746"/>
      <w:bookmarkStart w:id="4041" w:name="_Toc534707433"/>
      <w:bookmarkStart w:id="4042" w:name="_Toc534708111"/>
      <w:bookmarkStart w:id="4043" w:name="_Toc534708919"/>
      <w:bookmarkStart w:id="4044" w:name="_Toc118116584"/>
      <w:bookmarkStart w:id="4045" w:name="_Toc200375902"/>
      <w:r w:rsidRPr="00765546">
        <w:t>Limit on the Number of Repayment Agreements Allowed</w:t>
      </w:r>
      <w:bookmarkEnd w:id="4038"/>
      <w:bookmarkEnd w:id="4039"/>
      <w:bookmarkEnd w:id="4040"/>
      <w:bookmarkEnd w:id="4041"/>
      <w:bookmarkEnd w:id="4042"/>
      <w:bookmarkEnd w:id="4043"/>
      <w:bookmarkEnd w:id="4044"/>
      <w:bookmarkEnd w:id="4045"/>
    </w:p>
    <w:p w14:paraId="28D0567A" w14:textId="77777777" w:rsidR="007F52B4" w:rsidRPr="00122C89" w:rsidRDefault="007F52B4" w:rsidP="007F52B4">
      <w:pPr>
        <w:rPr>
          <w:rFonts w:cs="Arial"/>
          <w:szCs w:val="20"/>
        </w:rPr>
      </w:pPr>
      <w:bookmarkStart w:id="4046" w:name="_Hlk110574547"/>
      <w:r>
        <w:rPr>
          <w:rFonts w:cs="Arial"/>
          <w:szCs w:val="20"/>
        </w:rPr>
        <w:t>HHA</w:t>
      </w:r>
      <w:r w:rsidRPr="00607476">
        <w:rPr>
          <w:rFonts w:cs="Arial"/>
          <w:szCs w:val="20"/>
        </w:rPr>
        <w:t xml:space="preserve"> will not enter into more than one repayment agreement with a family. If there is a second incidence of unreported or underreported income, </w:t>
      </w:r>
      <w:r>
        <w:rPr>
          <w:rFonts w:cs="Arial"/>
          <w:szCs w:val="20"/>
        </w:rPr>
        <w:t>HHA</w:t>
      </w:r>
      <w:r w:rsidRPr="00607476">
        <w:rPr>
          <w:rFonts w:cs="Arial"/>
          <w:szCs w:val="20"/>
        </w:rPr>
        <w:t xml:space="preserve"> will terminate the family’s assistance in accordance with the policies in this </w:t>
      </w:r>
      <w:r w:rsidR="004E75E7">
        <w:rPr>
          <w:rFonts w:cs="Arial"/>
          <w:szCs w:val="20"/>
        </w:rPr>
        <w:t>ACOP</w:t>
      </w:r>
      <w:r w:rsidRPr="00607476">
        <w:rPr>
          <w:rFonts w:cs="Arial"/>
          <w:szCs w:val="20"/>
        </w:rPr>
        <w:t xml:space="preserve">. </w:t>
      </w:r>
      <w:r>
        <w:rPr>
          <w:rFonts w:cs="Arial"/>
          <w:szCs w:val="20"/>
        </w:rPr>
        <w:t>HHA</w:t>
      </w:r>
      <w:r w:rsidRPr="00607476">
        <w:rPr>
          <w:rFonts w:cs="Arial"/>
          <w:szCs w:val="20"/>
        </w:rPr>
        <w:t xml:space="preserve"> may also pursue other modes of collection. </w:t>
      </w:r>
    </w:p>
    <w:p w14:paraId="5B923D64" w14:textId="77777777" w:rsidR="007F52B4" w:rsidRPr="00765546" w:rsidRDefault="007F52B4" w:rsidP="00677451">
      <w:pPr>
        <w:pStyle w:val="Heading3"/>
      </w:pPr>
      <w:bookmarkStart w:id="4047" w:name="_Ref510002160"/>
      <w:bookmarkStart w:id="4048" w:name="_Toc513727754"/>
      <w:bookmarkStart w:id="4049" w:name="_Toc520796805"/>
      <w:bookmarkStart w:id="4050" w:name="_Toc527019747"/>
      <w:bookmarkStart w:id="4051" w:name="_Toc534707434"/>
      <w:bookmarkStart w:id="4052" w:name="_Toc534708112"/>
      <w:bookmarkStart w:id="4053" w:name="_Toc534708920"/>
      <w:bookmarkStart w:id="4054" w:name="_Toc118116585"/>
      <w:bookmarkStart w:id="4055" w:name="_Toc200375903"/>
      <w:bookmarkEnd w:id="4046"/>
      <w:r w:rsidRPr="00765546">
        <w:t>Consequences of Nonpayment/Default</w:t>
      </w:r>
      <w:bookmarkEnd w:id="4047"/>
      <w:bookmarkEnd w:id="4048"/>
      <w:bookmarkEnd w:id="4049"/>
      <w:bookmarkEnd w:id="4050"/>
      <w:bookmarkEnd w:id="4051"/>
      <w:bookmarkEnd w:id="4052"/>
      <w:bookmarkEnd w:id="4053"/>
      <w:bookmarkEnd w:id="4054"/>
      <w:bookmarkEnd w:id="4055"/>
    </w:p>
    <w:p w14:paraId="144A1294" w14:textId="77777777" w:rsidR="007F52B4" w:rsidRPr="00765546" w:rsidRDefault="007F52B4" w:rsidP="007F52B4">
      <w:pPr>
        <w:rPr>
          <w:rFonts w:cs="Arial"/>
          <w:szCs w:val="20"/>
        </w:rPr>
      </w:pPr>
      <w:r w:rsidRPr="00765546">
        <w:rPr>
          <w:rFonts w:cs="Arial"/>
          <w:szCs w:val="20"/>
        </w:rPr>
        <w:t xml:space="preserve">If the family refuses to repay the debt, refuses to enter into an offered repayment agreement, or breaches a repayment agreement (including failure to make payments as required), </w:t>
      </w:r>
      <w:r>
        <w:rPr>
          <w:rFonts w:cs="Arial"/>
          <w:szCs w:val="20"/>
        </w:rPr>
        <w:t>HHA</w:t>
      </w:r>
      <w:r w:rsidRPr="00765546">
        <w:rPr>
          <w:rFonts w:cs="Arial"/>
          <w:szCs w:val="20"/>
        </w:rPr>
        <w:t xml:space="preserve"> may terminate the family’s assistance in accordance with </w:t>
      </w:r>
      <w:r>
        <w:rPr>
          <w:rFonts w:cs="Arial"/>
          <w:szCs w:val="20"/>
        </w:rPr>
        <w:t>HHA</w:t>
      </w:r>
      <w:r w:rsidRPr="00765546">
        <w:rPr>
          <w:rFonts w:cs="Arial"/>
          <w:szCs w:val="20"/>
        </w:rPr>
        <w:t xml:space="preserve">’s termination policies and/or applicable program regulations. </w:t>
      </w:r>
      <w:r>
        <w:rPr>
          <w:rFonts w:cs="Arial"/>
          <w:szCs w:val="20"/>
        </w:rPr>
        <w:t>HHA</w:t>
      </w:r>
      <w:r w:rsidRPr="00765546">
        <w:rPr>
          <w:rFonts w:cs="Arial"/>
          <w:szCs w:val="20"/>
        </w:rPr>
        <w:t xml:space="preserve"> may also pursue other modes of collection. </w:t>
      </w:r>
      <w:r>
        <w:rPr>
          <w:rFonts w:cs="Arial"/>
          <w:szCs w:val="20"/>
        </w:rPr>
        <w:t>HHA</w:t>
      </w:r>
      <w:r w:rsidRPr="00765546">
        <w:rPr>
          <w:rFonts w:cs="Arial"/>
          <w:szCs w:val="20"/>
        </w:rPr>
        <w:t xml:space="preserve"> will not offer any </w:t>
      </w:r>
      <w:r>
        <w:rPr>
          <w:rFonts w:cs="Arial"/>
          <w:szCs w:val="20"/>
        </w:rPr>
        <w:t>HHA</w:t>
      </w:r>
      <w:r w:rsidRPr="00765546">
        <w:rPr>
          <w:rFonts w:cs="Arial"/>
          <w:szCs w:val="20"/>
        </w:rPr>
        <w:t xml:space="preserve">-sponsored amnesty or debt forgiveness programs. </w:t>
      </w:r>
    </w:p>
    <w:p w14:paraId="78B764CB" w14:textId="77777777" w:rsidR="007F52B4" w:rsidRPr="00765546" w:rsidRDefault="007F52B4" w:rsidP="007F52B4">
      <w:pPr>
        <w:rPr>
          <w:rFonts w:cs="Arial"/>
          <w:szCs w:val="20"/>
        </w:rPr>
      </w:pPr>
      <w:r w:rsidRPr="00765546">
        <w:rPr>
          <w:rFonts w:cs="Arial"/>
          <w:szCs w:val="20"/>
        </w:rPr>
        <w:t xml:space="preserve">If a family enters into a repayment agreement but does not make monthly payments as required, the family will only be considered in default if the debt is not repaid in full at the end of the six-month period (or </w:t>
      </w:r>
      <w:r>
        <w:rPr>
          <w:rFonts w:cs="Arial"/>
          <w:szCs w:val="20"/>
        </w:rPr>
        <w:t>HHA</w:t>
      </w:r>
      <w:r w:rsidRPr="00765546">
        <w:rPr>
          <w:rFonts w:cs="Arial"/>
          <w:szCs w:val="20"/>
        </w:rPr>
        <w:t xml:space="preserve"> agreed-upon time as applicable).</w:t>
      </w:r>
    </w:p>
    <w:p w14:paraId="2EA2C652" w14:textId="77777777" w:rsidR="007F52B4" w:rsidRPr="00765546" w:rsidRDefault="007F52B4" w:rsidP="007F52B4">
      <w:pPr>
        <w:rPr>
          <w:rFonts w:cs="Arial"/>
          <w:szCs w:val="20"/>
        </w:rPr>
      </w:pPr>
      <w:r w:rsidRPr="00765546">
        <w:rPr>
          <w:rFonts w:cs="Arial"/>
          <w:szCs w:val="20"/>
        </w:rPr>
        <w:t>If a family that is being terminated for failure to pay a debt in full, pays the entire debt in full on or before the date of the termination hearing, the family may be reinstated to the program.</w:t>
      </w:r>
    </w:p>
    <w:p w14:paraId="359EF3F5" w14:textId="77777777" w:rsidR="007F52B4" w:rsidRPr="00765546" w:rsidRDefault="007F52B4" w:rsidP="007F52B4">
      <w:pPr>
        <w:pStyle w:val="Heading2"/>
      </w:pPr>
      <w:bookmarkStart w:id="4056" w:name="_Toc485980521"/>
      <w:bookmarkStart w:id="4057" w:name="_Toc508698551"/>
      <w:bookmarkStart w:id="4058" w:name="_Toc520796807"/>
      <w:bookmarkStart w:id="4059" w:name="_Toc527019749"/>
      <w:bookmarkStart w:id="4060" w:name="_Toc534707436"/>
      <w:bookmarkStart w:id="4061" w:name="_Toc534708114"/>
      <w:bookmarkStart w:id="4062" w:name="_Toc534708922"/>
      <w:bookmarkStart w:id="4063" w:name="_Toc118116587"/>
      <w:bookmarkStart w:id="4064" w:name="_Toc154649904"/>
      <w:bookmarkStart w:id="4065" w:name="_Toc173222801"/>
      <w:bookmarkStart w:id="4066" w:name="_Toc200375904"/>
      <w:bookmarkStart w:id="4067" w:name="_Toc200377068"/>
      <w:r w:rsidRPr="00765546">
        <w:t>Criminal Prosecution</w:t>
      </w:r>
      <w:bookmarkEnd w:id="4056"/>
      <w:bookmarkEnd w:id="4057"/>
      <w:bookmarkEnd w:id="4058"/>
      <w:bookmarkEnd w:id="4059"/>
      <w:bookmarkEnd w:id="4060"/>
      <w:bookmarkEnd w:id="4061"/>
      <w:bookmarkEnd w:id="4062"/>
      <w:bookmarkEnd w:id="4063"/>
      <w:bookmarkEnd w:id="4064"/>
      <w:bookmarkEnd w:id="4065"/>
      <w:bookmarkEnd w:id="4066"/>
      <w:bookmarkEnd w:id="4067"/>
    </w:p>
    <w:p w14:paraId="2E01D260" w14:textId="77777777" w:rsidR="007F52B4" w:rsidRPr="00765546" w:rsidRDefault="007F52B4" w:rsidP="007F52B4">
      <w:pPr>
        <w:rPr>
          <w:rFonts w:cs="Arial"/>
          <w:szCs w:val="20"/>
        </w:rPr>
      </w:pPr>
      <w:r w:rsidRPr="00765546">
        <w:rPr>
          <w:rFonts w:cs="Arial"/>
          <w:szCs w:val="20"/>
        </w:rPr>
        <w:t xml:space="preserve">When </w:t>
      </w:r>
      <w:r>
        <w:rPr>
          <w:rFonts w:cs="Arial"/>
          <w:szCs w:val="20"/>
        </w:rPr>
        <w:t>HHA</w:t>
      </w:r>
      <w:r w:rsidRPr="00765546">
        <w:rPr>
          <w:rFonts w:cs="Arial"/>
          <w:szCs w:val="20"/>
        </w:rPr>
        <w:t xml:space="preserve"> determines that program abuse has occurred by a </w:t>
      </w:r>
      <w:r w:rsidR="00A725BA">
        <w:rPr>
          <w:rFonts w:cs="Arial"/>
          <w:szCs w:val="20"/>
        </w:rPr>
        <w:t>resident</w:t>
      </w:r>
      <w:r w:rsidRPr="00765546">
        <w:rPr>
          <w:rFonts w:cs="Arial"/>
          <w:szCs w:val="20"/>
        </w:rPr>
        <w:t xml:space="preserve"> or </w:t>
      </w:r>
      <w:r>
        <w:rPr>
          <w:rFonts w:cs="Arial"/>
          <w:szCs w:val="20"/>
        </w:rPr>
        <w:t>HHA</w:t>
      </w:r>
      <w:r w:rsidRPr="00765546">
        <w:rPr>
          <w:rFonts w:cs="Arial"/>
          <w:szCs w:val="20"/>
        </w:rPr>
        <w:t xml:space="preserve"> staff and the amount of overpaid subsidy meets or exceeds the threshold for prosecution under local or state law, </w:t>
      </w:r>
      <w:r>
        <w:rPr>
          <w:rFonts w:cs="Arial"/>
          <w:szCs w:val="20"/>
        </w:rPr>
        <w:t>HHA</w:t>
      </w:r>
      <w:r w:rsidRPr="00765546">
        <w:rPr>
          <w:rFonts w:cs="Arial"/>
          <w:szCs w:val="20"/>
        </w:rPr>
        <w:t xml:space="preserve"> will refer the matter to the appropriate entity for prosecution. </w:t>
      </w:r>
    </w:p>
    <w:p w14:paraId="16F07496" w14:textId="77777777" w:rsidR="007F52B4" w:rsidRPr="00765546" w:rsidRDefault="007F52B4" w:rsidP="007F52B4">
      <w:pPr>
        <w:rPr>
          <w:rFonts w:cs="Arial"/>
          <w:szCs w:val="20"/>
        </w:rPr>
      </w:pPr>
      <w:r w:rsidRPr="00765546">
        <w:rPr>
          <w:rFonts w:cs="Arial"/>
          <w:szCs w:val="20"/>
        </w:rPr>
        <w:t xml:space="preserve">When the amount of overpaid assistance in federally funded programs meets or exceeds the federal threshold or $25,000, whichever is lower, the case will also be referred to the HUD Office of Inspector General (OIG). </w:t>
      </w:r>
    </w:p>
    <w:p w14:paraId="21B54B74" w14:textId="77777777" w:rsidR="007F52B4" w:rsidRPr="00765546" w:rsidRDefault="007F52B4" w:rsidP="007F52B4">
      <w:pPr>
        <w:rPr>
          <w:rFonts w:cs="Arial"/>
          <w:spacing w:val="-2"/>
          <w:szCs w:val="20"/>
        </w:rPr>
      </w:pPr>
      <w:r w:rsidRPr="00765546">
        <w:rPr>
          <w:rFonts w:cs="Arial"/>
          <w:spacing w:val="-2"/>
          <w:szCs w:val="20"/>
        </w:rPr>
        <w:t xml:space="preserve">When the program abuse involves a criminal enterprise and/or multiple parties are involved, the case will be referred to the HUD OIG and/or the </w:t>
      </w:r>
      <w:r>
        <w:rPr>
          <w:rFonts w:cs="Arial"/>
          <w:spacing w:val="-2"/>
          <w:szCs w:val="20"/>
        </w:rPr>
        <w:t>Texas</w:t>
      </w:r>
      <w:r w:rsidRPr="00765546">
        <w:rPr>
          <w:rFonts w:cs="Arial"/>
          <w:spacing w:val="-2"/>
          <w:szCs w:val="20"/>
        </w:rPr>
        <w:t xml:space="preserve"> Office of the State Inspector General.</w:t>
      </w:r>
    </w:p>
    <w:p w14:paraId="431C5404" w14:textId="77777777" w:rsidR="007F52B4" w:rsidRPr="00765546" w:rsidRDefault="007F52B4" w:rsidP="007F52B4">
      <w:pPr>
        <w:rPr>
          <w:rFonts w:cs="Arial"/>
          <w:szCs w:val="20"/>
        </w:rPr>
      </w:pPr>
      <w:r w:rsidRPr="00765546">
        <w:rPr>
          <w:rFonts w:cs="Arial"/>
          <w:szCs w:val="20"/>
        </w:rPr>
        <w:t>Other criminal violations related to any subsidized housing program will be referred to the appropriate local, state, or federal entity.</w:t>
      </w:r>
    </w:p>
    <w:p w14:paraId="30D0041B" w14:textId="77777777" w:rsidR="007F52B4" w:rsidRPr="00765546" w:rsidRDefault="007F52B4" w:rsidP="007F52B4">
      <w:pPr>
        <w:pStyle w:val="Heading2"/>
      </w:pPr>
      <w:bookmarkStart w:id="4068" w:name="_Toc520796808"/>
      <w:bookmarkStart w:id="4069" w:name="_Toc527019750"/>
      <w:bookmarkStart w:id="4070" w:name="_Toc534707437"/>
      <w:bookmarkStart w:id="4071" w:name="_Toc534708115"/>
      <w:bookmarkStart w:id="4072" w:name="_Toc534708923"/>
      <w:bookmarkStart w:id="4073" w:name="_Toc118116588"/>
      <w:bookmarkStart w:id="4074" w:name="_Toc154649905"/>
      <w:bookmarkStart w:id="4075" w:name="_Toc173222802"/>
      <w:bookmarkStart w:id="4076" w:name="_Toc200375905"/>
      <w:bookmarkStart w:id="4077" w:name="_Toc200377069"/>
      <w:r w:rsidRPr="00765546">
        <w:t xml:space="preserve">Recovery </w:t>
      </w:r>
      <w:r>
        <w:t>o</w:t>
      </w:r>
      <w:r w:rsidRPr="00765546">
        <w:t>f Funds</w:t>
      </w:r>
      <w:bookmarkEnd w:id="4068"/>
      <w:bookmarkEnd w:id="4069"/>
      <w:bookmarkEnd w:id="4070"/>
      <w:bookmarkEnd w:id="4071"/>
      <w:bookmarkEnd w:id="4072"/>
      <w:bookmarkEnd w:id="4073"/>
      <w:bookmarkEnd w:id="4074"/>
      <w:bookmarkEnd w:id="4075"/>
      <w:bookmarkEnd w:id="4076"/>
      <w:bookmarkEnd w:id="4077"/>
    </w:p>
    <w:p w14:paraId="373A53CE" w14:textId="77777777" w:rsidR="00941EFF" w:rsidRDefault="00941EFF" w:rsidP="00941EFF">
      <w:pPr>
        <w:rPr>
          <w:rFonts w:cs="Arial"/>
          <w:szCs w:val="20"/>
        </w:rPr>
      </w:pPr>
      <w:bookmarkStart w:id="4078" w:name="_Ref510001688"/>
      <w:bookmarkStart w:id="4079" w:name="_Ref510001717"/>
      <w:bookmarkStart w:id="4080" w:name="_Ref510001736"/>
      <w:bookmarkStart w:id="4081" w:name="_Ref510005723"/>
      <w:bookmarkStart w:id="4082" w:name="_Toc513727763"/>
      <w:bookmarkStart w:id="4083" w:name="_Toc520796810"/>
      <w:bookmarkStart w:id="4084" w:name="_Toc527019752"/>
      <w:bookmarkStart w:id="4085" w:name="_Toc534707438"/>
      <w:bookmarkStart w:id="4086" w:name="_Toc534708116"/>
      <w:bookmarkStart w:id="4087" w:name="_Toc534708924"/>
      <w:bookmarkStart w:id="4088" w:name="_Toc118116589"/>
      <w:r>
        <w:rPr>
          <w:rFonts w:cs="Arial"/>
          <w:szCs w:val="20"/>
        </w:rPr>
        <w:t>If HHA enters</w:t>
      </w:r>
      <w:r w:rsidRPr="00571606">
        <w:rPr>
          <w:rFonts w:cs="Arial"/>
          <w:szCs w:val="20"/>
        </w:rPr>
        <w:t xml:space="preserve"> into a repayment agreement with a family to collect rent owed, initiate litigation against the family to recover rent owed, or begin eviction proceedings against a family</w:t>
      </w:r>
      <w:r>
        <w:rPr>
          <w:rFonts w:cs="Arial"/>
          <w:szCs w:val="20"/>
        </w:rPr>
        <w:t>, HHA</w:t>
      </w:r>
      <w:r w:rsidRPr="00571606">
        <w:rPr>
          <w:rFonts w:cs="Arial"/>
          <w:szCs w:val="20"/>
        </w:rPr>
        <w:t xml:space="preserve"> may retain 100 percent of program funds that </w:t>
      </w:r>
      <w:r>
        <w:rPr>
          <w:rFonts w:cs="Arial"/>
          <w:szCs w:val="20"/>
        </w:rPr>
        <w:t>it</w:t>
      </w:r>
      <w:r w:rsidRPr="00571606">
        <w:rPr>
          <w:rFonts w:cs="Arial"/>
          <w:szCs w:val="20"/>
        </w:rPr>
        <w:t xml:space="preserve"> recovers.</w:t>
      </w:r>
    </w:p>
    <w:p w14:paraId="53ADD110" w14:textId="77777777" w:rsidR="00D72654" w:rsidRPr="00571606" w:rsidRDefault="00D72654" w:rsidP="00D72654">
      <w:pPr>
        <w:rPr>
          <w:rFonts w:cs="Arial"/>
          <w:szCs w:val="20"/>
        </w:rPr>
      </w:pPr>
      <w:r w:rsidRPr="00571606">
        <w:rPr>
          <w:rFonts w:cs="Arial"/>
          <w:szCs w:val="20"/>
        </w:rPr>
        <w:t xml:space="preserve">If </w:t>
      </w:r>
      <w:r w:rsidR="00941EFF">
        <w:rPr>
          <w:rFonts w:cs="Arial"/>
          <w:szCs w:val="20"/>
        </w:rPr>
        <w:t>H</w:t>
      </w:r>
      <w:r>
        <w:rPr>
          <w:rFonts w:cs="Arial"/>
          <w:szCs w:val="20"/>
        </w:rPr>
        <w:t>HA</w:t>
      </w:r>
      <w:r w:rsidRPr="00571606">
        <w:rPr>
          <w:rFonts w:cs="Arial"/>
          <w:szCs w:val="20"/>
        </w:rPr>
        <w:t xml:space="preserve"> does none of the above, all amounts that constitute an underpayment of rent must be returned to HUD.</w:t>
      </w:r>
    </w:p>
    <w:p w14:paraId="4E3A3ABD" w14:textId="77777777" w:rsidR="007F52B4" w:rsidRDefault="00D72654" w:rsidP="005C4AF9">
      <w:pPr>
        <w:rPr>
          <w:rFonts w:cs="Arial"/>
          <w:szCs w:val="20"/>
        </w:rPr>
      </w:pPr>
      <w:r w:rsidRPr="00571606">
        <w:rPr>
          <w:rFonts w:cs="Arial"/>
          <w:szCs w:val="20"/>
        </w:rPr>
        <w:t xml:space="preserve">The family must be afforded the opportunity for a hearing </w:t>
      </w:r>
      <w:r w:rsidRPr="009E6FB8">
        <w:rPr>
          <w:rFonts w:cs="Arial"/>
          <w:szCs w:val="20"/>
        </w:rPr>
        <w:t xml:space="preserve">through </w:t>
      </w:r>
      <w:r w:rsidR="00941EFF">
        <w:rPr>
          <w:rFonts w:cs="Arial"/>
          <w:szCs w:val="20"/>
        </w:rPr>
        <w:t>H</w:t>
      </w:r>
      <w:r w:rsidRPr="009E6FB8">
        <w:rPr>
          <w:rFonts w:cs="Arial"/>
          <w:szCs w:val="20"/>
        </w:rPr>
        <w:t>HA’s grievance process.</w:t>
      </w:r>
      <w:bookmarkEnd w:id="4078"/>
      <w:bookmarkEnd w:id="4079"/>
      <w:bookmarkEnd w:id="4080"/>
      <w:bookmarkEnd w:id="4081"/>
      <w:bookmarkEnd w:id="4082"/>
      <w:bookmarkEnd w:id="4083"/>
      <w:bookmarkEnd w:id="4084"/>
      <w:bookmarkEnd w:id="4085"/>
      <w:bookmarkEnd w:id="4086"/>
      <w:bookmarkEnd w:id="4087"/>
      <w:bookmarkEnd w:id="4088"/>
    </w:p>
    <w:p w14:paraId="2AEC3C07" w14:textId="77777777" w:rsidR="00F52AE9" w:rsidRDefault="00F52AE9" w:rsidP="00F52AE9">
      <w:pPr>
        <w:pStyle w:val="Heading3"/>
      </w:pPr>
      <w:bookmarkStart w:id="4089" w:name="_Toc200375906"/>
      <w:r>
        <w:t>Forfeited FSS Escrow</w:t>
      </w:r>
      <w:bookmarkEnd w:id="4089"/>
    </w:p>
    <w:p w14:paraId="43C7AA71" w14:textId="14536491" w:rsidR="00F52AE9" w:rsidRDefault="00F52AE9" w:rsidP="00F52AE9">
      <w:pPr>
        <w:autoSpaceDE w:val="0"/>
        <w:autoSpaceDN w:val="0"/>
        <w:adjustRightInd w:val="0"/>
        <w:rPr>
          <w:rFonts w:cs="Arial"/>
          <w:szCs w:val="20"/>
        </w:rPr>
      </w:pPr>
      <w:r>
        <w:t xml:space="preserve">Under the FSS Final Rule, 24 CFR 984.305(f)(2) requires that forfeited FSS escrow funds be used by HHA for the benefit of FSS participants in good standing (as opposed to being returned to HAP or Operating Fund). See Notice </w:t>
      </w:r>
      <w:r w:rsidR="006A1187">
        <w:t xml:space="preserve">PIH </w:t>
      </w:r>
      <w:r>
        <w:t>2022-20 for more information.</w:t>
      </w:r>
    </w:p>
    <w:p w14:paraId="5DE278FB" w14:textId="77777777" w:rsidR="009331FB" w:rsidRPr="009E6FB8" w:rsidRDefault="009331FB" w:rsidP="009331FB">
      <w:pPr>
        <w:pStyle w:val="Heading2"/>
      </w:pPr>
      <w:bookmarkStart w:id="4090" w:name="_Toc106038134"/>
      <w:bookmarkStart w:id="4091" w:name="_Toc106201773"/>
      <w:bookmarkStart w:id="4092" w:name="_Toc106202292"/>
      <w:bookmarkStart w:id="4093" w:name="_Toc106202818"/>
      <w:bookmarkStart w:id="4094" w:name="_Toc113345261"/>
      <w:bookmarkStart w:id="4095" w:name="_Toc137460491"/>
      <w:bookmarkStart w:id="4096" w:name="_Toc137460736"/>
      <w:bookmarkStart w:id="4097" w:name="_Toc137460981"/>
      <w:bookmarkStart w:id="4098" w:name="_Toc137462005"/>
      <w:bookmarkStart w:id="4099" w:name="_Toc137471596"/>
      <w:bookmarkStart w:id="4100" w:name="_Toc137472105"/>
      <w:bookmarkStart w:id="4101" w:name="_Toc173222803"/>
      <w:bookmarkStart w:id="4102" w:name="_Toc200375907"/>
      <w:bookmarkStart w:id="4103" w:name="_Toc200377070"/>
      <w:r w:rsidRPr="009E6FB8">
        <w:t>P</w:t>
      </w:r>
      <w:r>
        <w:t>ublic</w:t>
      </w:r>
      <w:r w:rsidR="002F4358">
        <w:t xml:space="preserve"> Housing Assessment System</w:t>
      </w:r>
      <w:r w:rsidRPr="009E6FB8">
        <w:t xml:space="preserve"> (PHAS)</w:t>
      </w:r>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p>
    <w:p w14:paraId="54481D68" w14:textId="77777777" w:rsidR="009331FB" w:rsidRPr="009E6FB8" w:rsidRDefault="009331FB" w:rsidP="009331FB">
      <w:pPr>
        <w:rPr>
          <w:rFonts w:cs="Arial"/>
          <w:szCs w:val="20"/>
        </w:rPr>
      </w:pPr>
      <w:r w:rsidRPr="009E6FB8">
        <w:rPr>
          <w:rFonts w:cs="Arial"/>
          <w:szCs w:val="20"/>
        </w:rPr>
        <w:t>The purpose of the Public Housing Assessment System (PHAS) is to improve the delivery of services in public housing and enhance trust in the public housing system among PHAs, public housing residents, HUD and the general public by providing a management tool for effectively and fairly measuring the performance of a public housing agency in essential housing operations.</w:t>
      </w:r>
    </w:p>
    <w:p w14:paraId="6D9D1205" w14:textId="77777777" w:rsidR="009331FB" w:rsidRPr="009E6FB8" w:rsidRDefault="009331FB" w:rsidP="00677451">
      <w:pPr>
        <w:pStyle w:val="Heading3"/>
      </w:pPr>
      <w:bookmarkStart w:id="4104" w:name="_Toc527019938"/>
      <w:bookmarkStart w:id="4105" w:name="_Toc534707442"/>
      <w:bookmarkStart w:id="4106" w:name="_Toc534708120"/>
      <w:bookmarkStart w:id="4107" w:name="_Toc534708928"/>
      <w:bookmarkStart w:id="4108" w:name="_Toc106038135"/>
      <w:bookmarkStart w:id="4109" w:name="_Toc106201774"/>
      <w:bookmarkStart w:id="4110" w:name="_Toc106202293"/>
      <w:bookmarkStart w:id="4111" w:name="_Toc106202819"/>
      <w:bookmarkStart w:id="4112" w:name="_Toc113345262"/>
      <w:bookmarkStart w:id="4113" w:name="_Toc137462006"/>
      <w:bookmarkStart w:id="4114" w:name="_Toc137471597"/>
      <w:bookmarkStart w:id="4115" w:name="_Toc137472106"/>
      <w:bookmarkStart w:id="4116" w:name="_Toc200375908"/>
      <w:r w:rsidRPr="009E6FB8">
        <w:t>PHAS Indicators</w:t>
      </w:r>
      <w:bookmarkEnd w:id="4104"/>
      <w:bookmarkEnd w:id="4105"/>
      <w:bookmarkEnd w:id="4106"/>
      <w:bookmarkEnd w:id="4107"/>
      <w:bookmarkEnd w:id="4108"/>
      <w:bookmarkEnd w:id="4109"/>
      <w:bookmarkEnd w:id="4110"/>
      <w:bookmarkEnd w:id="4111"/>
      <w:bookmarkEnd w:id="4112"/>
      <w:bookmarkEnd w:id="4113"/>
      <w:bookmarkEnd w:id="4114"/>
      <w:bookmarkEnd w:id="4115"/>
      <w:bookmarkEnd w:id="4116"/>
    </w:p>
    <w:p w14:paraId="3DC93198" w14:textId="77777777" w:rsidR="009331FB" w:rsidRDefault="009331FB" w:rsidP="009331FB">
      <w:pPr>
        <w:autoSpaceDE w:val="0"/>
        <w:autoSpaceDN w:val="0"/>
        <w:adjustRightInd w:val="0"/>
        <w:rPr>
          <w:rFonts w:cs="Arial"/>
          <w:szCs w:val="20"/>
        </w:rPr>
      </w:pPr>
      <w:r w:rsidRPr="009E6FB8">
        <w:rPr>
          <w:szCs w:val="20"/>
        </w:rPr>
        <w:t xml:space="preserve">The table below lists each of the PHAS indicators, the points possible under each indicator, and a brief description of each indicator. </w:t>
      </w:r>
      <w:r w:rsidR="002F4358">
        <w:rPr>
          <w:szCs w:val="20"/>
        </w:rPr>
        <w:t>H</w:t>
      </w:r>
      <w:r>
        <w:rPr>
          <w:szCs w:val="20"/>
        </w:rPr>
        <w:t>HA’s</w:t>
      </w:r>
      <w:r w:rsidRPr="009E6FB8">
        <w:rPr>
          <w:szCs w:val="20"/>
        </w:rPr>
        <w:t xml:space="preserve"> performance is based on a combination of all four indicators.</w:t>
      </w:r>
    </w:p>
    <w:tbl>
      <w:tblPr>
        <w:tblStyle w:val="TableGrid"/>
        <w:tblW w:w="0" w:type="auto"/>
        <w:tblLook w:val="04A0" w:firstRow="1" w:lastRow="0" w:firstColumn="1" w:lastColumn="0" w:noHBand="0" w:noVBand="1"/>
      </w:tblPr>
      <w:tblGrid>
        <w:gridCol w:w="9350"/>
      </w:tblGrid>
      <w:tr w:rsidR="009331FB" w14:paraId="4BDECB81" w14:textId="77777777" w:rsidTr="002F4358">
        <w:tc>
          <w:tcPr>
            <w:tcW w:w="9350" w:type="dxa"/>
          </w:tcPr>
          <w:p w14:paraId="6A805DB9" w14:textId="77777777" w:rsidR="009331FB" w:rsidRPr="00993309" w:rsidRDefault="009331FB" w:rsidP="00C27E13">
            <w:pPr>
              <w:spacing w:before="120" w:after="120"/>
              <w:rPr>
                <w:b/>
              </w:rPr>
            </w:pPr>
            <w:r w:rsidRPr="00993309">
              <w:rPr>
                <w:b/>
              </w:rPr>
              <w:t>Indicator 1: Physical condition of the PHA’s projects</w:t>
            </w:r>
          </w:p>
          <w:p w14:paraId="59986350" w14:textId="77777777" w:rsidR="009331FB" w:rsidRDefault="009331FB" w:rsidP="00C27E13">
            <w:pPr>
              <w:spacing w:before="120" w:after="120"/>
            </w:pPr>
            <w:r w:rsidRPr="00993309">
              <w:rPr>
                <w:b/>
              </w:rPr>
              <w:t xml:space="preserve">Maximum Score: 40 </w:t>
            </w:r>
          </w:p>
          <w:p w14:paraId="4626DD7D" w14:textId="77777777" w:rsidR="00586711" w:rsidRPr="00C27E13" w:rsidRDefault="00586711" w:rsidP="007F177E">
            <w:pPr>
              <w:pStyle w:val="00Normal"/>
              <w:numPr>
                <w:ilvl w:val="0"/>
                <w:numId w:val="172"/>
              </w:numPr>
              <w:spacing w:before="120" w:after="120"/>
              <w:jc w:val="both"/>
              <w:rPr>
                <w:sz w:val="22"/>
                <w:szCs w:val="22"/>
              </w:rPr>
            </w:pPr>
            <w:r w:rsidRPr="00C27E13">
              <w:rPr>
                <w:sz w:val="22"/>
                <w:szCs w:val="22"/>
              </w:rPr>
              <w:t>The objective of this indicator is to determine the level to which a PHA is maintaining its public housing in accordance with the standard of safe, habitable dwelling units.</w:t>
            </w:r>
          </w:p>
          <w:p w14:paraId="5C0BCDB0" w14:textId="77777777" w:rsidR="009331FB" w:rsidRPr="009E6FB8" w:rsidRDefault="00586711" w:rsidP="007F177E">
            <w:pPr>
              <w:pStyle w:val="00Normal"/>
              <w:numPr>
                <w:ilvl w:val="0"/>
                <w:numId w:val="172"/>
              </w:numPr>
              <w:spacing w:before="120" w:after="120"/>
              <w:jc w:val="both"/>
            </w:pPr>
            <w:r w:rsidRPr="00C27E13">
              <w:rPr>
                <w:sz w:val="22"/>
                <w:szCs w:val="22"/>
              </w:rPr>
              <w:t>To determine the physical condition of a PHA’s projects, inspections are performed using the National Standards for the Inspection of Real Estate (NSPIRE). The inspections are performed by an independent inspector arranged by HUD and include a statistically valid sample of the units in each project in the PHA’s public housing portfolio.</w:t>
            </w:r>
          </w:p>
        </w:tc>
      </w:tr>
      <w:tr w:rsidR="009331FB" w14:paraId="03E5DA5D" w14:textId="77777777" w:rsidTr="002F4358">
        <w:tc>
          <w:tcPr>
            <w:tcW w:w="9350" w:type="dxa"/>
          </w:tcPr>
          <w:p w14:paraId="3D31E34A" w14:textId="77777777" w:rsidR="009331FB" w:rsidRPr="00993309" w:rsidRDefault="009331FB" w:rsidP="00C27E13">
            <w:pPr>
              <w:spacing w:before="120" w:after="120"/>
              <w:rPr>
                <w:b/>
                <w:bCs/>
              </w:rPr>
            </w:pPr>
            <w:r w:rsidRPr="00993309">
              <w:rPr>
                <w:b/>
                <w:bCs/>
              </w:rPr>
              <w:t>Indicator 2: Financial condition of the PHA’s projects</w:t>
            </w:r>
          </w:p>
          <w:p w14:paraId="3DE9560A" w14:textId="77777777" w:rsidR="009331FB" w:rsidRPr="00993309" w:rsidRDefault="009331FB" w:rsidP="00C27E13">
            <w:pPr>
              <w:spacing w:before="120" w:after="120"/>
              <w:rPr>
                <w:b/>
                <w:bCs/>
              </w:rPr>
            </w:pPr>
            <w:r w:rsidRPr="00993309">
              <w:rPr>
                <w:b/>
                <w:bCs/>
              </w:rPr>
              <w:t>Maximum Score: 25</w:t>
            </w:r>
          </w:p>
          <w:p w14:paraId="3B969466" w14:textId="77777777" w:rsidR="009331FB" w:rsidRPr="00C27E13" w:rsidRDefault="009331FB" w:rsidP="007F177E">
            <w:pPr>
              <w:pStyle w:val="00Normal"/>
              <w:numPr>
                <w:ilvl w:val="0"/>
                <w:numId w:val="172"/>
              </w:numPr>
              <w:spacing w:before="120" w:after="120"/>
              <w:jc w:val="both"/>
              <w:rPr>
                <w:sz w:val="22"/>
                <w:szCs w:val="22"/>
              </w:rPr>
            </w:pPr>
            <w:r w:rsidRPr="00C27E13">
              <w:rPr>
                <w:sz w:val="22"/>
                <w:szCs w:val="22"/>
              </w:rPr>
              <w:t>The objective of this indicator is to measure the financial condition of the PHA’s public housing projects for the purpose of evaluating whether the PHA has sufficient financial resources and is capable of managing those financial resources effectively to support the provision of housing that is decent, safe, sanitary, and in good repair.</w:t>
            </w:r>
          </w:p>
          <w:p w14:paraId="1AC7F3EF" w14:textId="77777777" w:rsidR="009331FB" w:rsidRPr="009E6FB8" w:rsidRDefault="009331FB" w:rsidP="007F177E">
            <w:pPr>
              <w:pStyle w:val="00Normal"/>
              <w:numPr>
                <w:ilvl w:val="0"/>
                <w:numId w:val="172"/>
              </w:numPr>
              <w:spacing w:before="120" w:after="120"/>
              <w:jc w:val="both"/>
              <w:rPr>
                <w:bCs/>
              </w:rPr>
            </w:pPr>
            <w:r w:rsidRPr="00C27E13">
              <w:rPr>
                <w:sz w:val="22"/>
                <w:szCs w:val="22"/>
              </w:rPr>
              <w:t>A PHA’s financial condition is determined by measuring each public housing project’s performance in each of the following sub-indicators: quick ratio, months expendable net assets ratio, and debt service coverage ratio.</w:t>
            </w:r>
          </w:p>
        </w:tc>
      </w:tr>
      <w:tr w:rsidR="009331FB" w14:paraId="60BE51CF" w14:textId="77777777" w:rsidTr="002F4358">
        <w:tc>
          <w:tcPr>
            <w:tcW w:w="9350" w:type="dxa"/>
          </w:tcPr>
          <w:p w14:paraId="23F6E0A7" w14:textId="77777777" w:rsidR="009331FB" w:rsidRPr="00993309" w:rsidRDefault="009331FB" w:rsidP="00C27E13">
            <w:pPr>
              <w:spacing w:before="120" w:after="120"/>
              <w:rPr>
                <w:b/>
                <w:bCs/>
              </w:rPr>
            </w:pPr>
            <w:r w:rsidRPr="00993309">
              <w:rPr>
                <w:b/>
                <w:bCs/>
              </w:rPr>
              <w:t>Indicator 3: Management operations of the PHA’s projects</w:t>
            </w:r>
          </w:p>
          <w:p w14:paraId="5115295A" w14:textId="77777777" w:rsidR="009331FB" w:rsidRPr="00993309" w:rsidRDefault="009331FB" w:rsidP="00C27E13">
            <w:pPr>
              <w:spacing w:before="120" w:after="120"/>
              <w:rPr>
                <w:b/>
                <w:bCs/>
              </w:rPr>
            </w:pPr>
            <w:r w:rsidRPr="00993309">
              <w:rPr>
                <w:b/>
                <w:bCs/>
              </w:rPr>
              <w:t>Maximum Score: 25</w:t>
            </w:r>
          </w:p>
          <w:p w14:paraId="33E054DC" w14:textId="77777777" w:rsidR="009331FB" w:rsidRPr="00C27E13" w:rsidRDefault="009331FB" w:rsidP="007F177E">
            <w:pPr>
              <w:pStyle w:val="00Normal"/>
              <w:numPr>
                <w:ilvl w:val="0"/>
                <w:numId w:val="172"/>
              </w:numPr>
              <w:spacing w:before="120" w:after="120"/>
              <w:jc w:val="both"/>
              <w:rPr>
                <w:sz w:val="22"/>
                <w:szCs w:val="22"/>
              </w:rPr>
            </w:pPr>
            <w:r w:rsidRPr="00C27E13">
              <w:rPr>
                <w:sz w:val="22"/>
                <w:szCs w:val="22"/>
              </w:rPr>
              <w:t>The objective of this indicator is to measure certain key management operations and responsibilities of a PHA’s projects for the purpose of assessing the PHA’s management operations capabilities.</w:t>
            </w:r>
          </w:p>
          <w:p w14:paraId="40245CBB" w14:textId="77777777" w:rsidR="009331FB" w:rsidRPr="00C27E13" w:rsidRDefault="009331FB" w:rsidP="007F177E">
            <w:pPr>
              <w:pStyle w:val="00Normal"/>
              <w:numPr>
                <w:ilvl w:val="0"/>
                <w:numId w:val="172"/>
              </w:numPr>
              <w:spacing w:before="120" w:after="120"/>
              <w:jc w:val="both"/>
              <w:rPr>
                <w:sz w:val="22"/>
                <w:szCs w:val="22"/>
              </w:rPr>
            </w:pPr>
            <w:r w:rsidRPr="00C27E13">
              <w:rPr>
                <w:sz w:val="22"/>
                <w:szCs w:val="22"/>
              </w:rPr>
              <w:t>Each project’s management operations are assessed based on the following sub-indicators: occupancy, tenant accounts receivable, and accounts payable.</w:t>
            </w:r>
          </w:p>
          <w:p w14:paraId="4E063F7C" w14:textId="77777777" w:rsidR="009331FB" w:rsidRPr="009E6FB8" w:rsidRDefault="009331FB" w:rsidP="007F177E">
            <w:pPr>
              <w:pStyle w:val="00Normal"/>
              <w:numPr>
                <w:ilvl w:val="0"/>
                <w:numId w:val="172"/>
              </w:numPr>
              <w:spacing w:before="120" w:after="120"/>
              <w:jc w:val="both"/>
              <w:rPr>
                <w:bCs/>
              </w:rPr>
            </w:pPr>
            <w:r w:rsidRPr="00C27E13">
              <w:rPr>
                <w:sz w:val="22"/>
                <w:szCs w:val="22"/>
              </w:rPr>
              <w:t>An onsite management review may be conducted as a diagnostic and feedback tool for problem performance areas, and for compliance. Management reviews are not scored.</w:t>
            </w:r>
          </w:p>
        </w:tc>
      </w:tr>
      <w:tr w:rsidR="009331FB" w14:paraId="36BC1C6C" w14:textId="77777777" w:rsidTr="002F4358">
        <w:tc>
          <w:tcPr>
            <w:tcW w:w="9350" w:type="dxa"/>
          </w:tcPr>
          <w:p w14:paraId="00556345" w14:textId="77777777" w:rsidR="009331FB" w:rsidRPr="00993309" w:rsidRDefault="009331FB" w:rsidP="00C27E13">
            <w:pPr>
              <w:spacing w:before="120" w:after="120"/>
              <w:rPr>
                <w:b/>
                <w:bCs/>
              </w:rPr>
            </w:pPr>
            <w:r w:rsidRPr="00993309">
              <w:rPr>
                <w:b/>
                <w:bCs/>
              </w:rPr>
              <w:t>Indicator 4: Capital Fund</w:t>
            </w:r>
          </w:p>
          <w:p w14:paraId="66CE0536" w14:textId="77777777" w:rsidR="009331FB" w:rsidRPr="00993309" w:rsidRDefault="009331FB" w:rsidP="00C27E13">
            <w:pPr>
              <w:spacing w:before="120" w:after="120"/>
              <w:rPr>
                <w:b/>
                <w:bCs/>
              </w:rPr>
            </w:pPr>
            <w:r w:rsidRPr="00993309">
              <w:rPr>
                <w:b/>
                <w:bCs/>
              </w:rPr>
              <w:t>Maximum Score: 10</w:t>
            </w:r>
          </w:p>
          <w:p w14:paraId="08AADCD6" w14:textId="77777777" w:rsidR="009331FB" w:rsidRPr="00C27E13" w:rsidRDefault="009331FB" w:rsidP="007F177E">
            <w:pPr>
              <w:pStyle w:val="00Normal"/>
              <w:numPr>
                <w:ilvl w:val="0"/>
                <w:numId w:val="172"/>
              </w:numPr>
              <w:spacing w:before="120" w:after="120"/>
              <w:jc w:val="both"/>
              <w:rPr>
                <w:sz w:val="22"/>
                <w:szCs w:val="22"/>
              </w:rPr>
            </w:pPr>
            <w:r w:rsidRPr="00C27E13">
              <w:rPr>
                <w:sz w:val="22"/>
                <w:szCs w:val="22"/>
              </w:rPr>
              <w:t>The objective of this indicator is to measure how long it takes the PHA to obligate capital funds and to occupy units.</w:t>
            </w:r>
          </w:p>
          <w:p w14:paraId="1DE6B50B" w14:textId="77777777" w:rsidR="009331FB" w:rsidRPr="009E6FB8" w:rsidRDefault="002F4358" w:rsidP="007F177E">
            <w:pPr>
              <w:pStyle w:val="00Normal"/>
              <w:numPr>
                <w:ilvl w:val="0"/>
                <w:numId w:val="172"/>
              </w:numPr>
              <w:spacing w:before="120" w:after="120"/>
              <w:jc w:val="both"/>
              <w:rPr>
                <w:bCs/>
              </w:rPr>
            </w:pPr>
            <w:r w:rsidRPr="00C27E13">
              <w:rPr>
                <w:sz w:val="22"/>
                <w:szCs w:val="22"/>
              </w:rPr>
              <w:t>HHA</w:t>
            </w:r>
            <w:r w:rsidR="009331FB" w:rsidRPr="00C27E13">
              <w:rPr>
                <w:sz w:val="22"/>
                <w:szCs w:val="22"/>
              </w:rPr>
              <w:t>’s score for this indicator is measured at the PHA level and is based on the following sub-indicators: timeliness of fund obligation and occupancy rate.</w:t>
            </w:r>
          </w:p>
        </w:tc>
      </w:tr>
    </w:tbl>
    <w:p w14:paraId="699B2244" w14:textId="77777777" w:rsidR="009331FB" w:rsidRPr="009E6FB8" w:rsidRDefault="009331FB" w:rsidP="009331FB"/>
    <w:p w14:paraId="7F7E6C08" w14:textId="77777777" w:rsidR="009331FB" w:rsidRPr="009E6FB8" w:rsidRDefault="009331FB" w:rsidP="00677451">
      <w:pPr>
        <w:pStyle w:val="Heading3"/>
      </w:pPr>
      <w:bookmarkStart w:id="4117" w:name="_Toc106038136"/>
      <w:bookmarkStart w:id="4118" w:name="_Toc106201775"/>
      <w:bookmarkStart w:id="4119" w:name="_Toc106202294"/>
      <w:bookmarkStart w:id="4120" w:name="_Toc106202820"/>
      <w:bookmarkStart w:id="4121" w:name="_Toc113345263"/>
      <w:bookmarkStart w:id="4122" w:name="_Toc137462007"/>
      <w:bookmarkStart w:id="4123" w:name="_Toc137471598"/>
      <w:bookmarkStart w:id="4124" w:name="_Toc137472107"/>
      <w:bookmarkStart w:id="4125" w:name="_Toc200375909"/>
      <w:r w:rsidRPr="009E6FB8">
        <w:t>PHAS Scoring</w:t>
      </w:r>
      <w:bookmarkEnd w:id="4117"/>
      <w:bookmarkEnd w:id="4118"/>
      <w:bookmarkEnd w:id="4119"/>
      <w:bookmarkEnd w:id="4120"/>
      <w:bookmarkEnd w:id="4121"/>
      <w:bookmarkEnd w:id="4122"/>
      <w:bookmarkEnd w:id="4123"/>
      <w:bookmarkEnd w:id="4124"/>
      <w:bookmarkEnd w:id="4125"/>
    </w:p>
    <w:p w14:paraId="30036D3D" w14:textId="77777777" w:rsidR="009331FB" w:rsidRDefault="009331FB" w:rsidP="009331FB">
      <w:pPr>
        <w:rPr>
          <w:szCs w:val="20"/>
        </w:rPr>
      </w:pPr>
      <w:r w:rsidRPr="009E6FB8">
        <w:rPr>
          <w:szCs w:val="20"/>
        </w:rPr>
        <w:t xml:space="preserve">HUD’s Real Estate Assessment Center (REAC) issues overall PHAS scores, which are based on the scores of the four PHAS indicators, and the subindicators under each indicator. </w:t>
      </w:r>
      <w:r w:rsidR="002F4358">
        <w:rPr>
          <w:szCs w:val="20"/>
        </w:rPr>
        <w:t>HHA</w:t>
      </w:r>
      <w:r w:rsidRPr="009E6FB8">
        <w:rPr>
          <w:szCs w:val="20"/>
        </w:rPr>
        <w:t>’s indicator scores are based on a weighted average of the PHA’s public housing projects’ scores. PHAS scores translate into a designation for each PHA as high performing, standard, substandard, or troubled.</w:t>
      </w:r>
    </w:p>
    <w:p w14:paraId="0E827A3B" w14:textId="77777777" w:rsidR="009331FB" w:rsidRPr="009E6FB8" w:rsidRDefault="002F4358" w:rsidP="009331FB">
      <w:pPr>
        <w:rPr>
          <w:szCs w:val="20"/>
        </w:rPr>
      </w:pPr>
      <w:r>
        <w:rPr>
          <w:szCs w:val="20"/>
        </w:rPr>
        <w:t>HHA</w:t>
      </w:r>
      <w:r w:rsidR="009331FB">
        <w:rPr>
          <w:szCs w:val="20"/>
        </w:rPr>
        <w:t xml:space="preserve"> will post a notice of its final PHAS score and status in appropriate conspicuous and accessible locations in its offices within two weeks of receipt of its final score and designation.</w:t>
      </w:r>
    </w:p>
    <w:p w14:paraId="3E97DE55" w14:textId="77777777" w:rsidR="009331FB" w:rsidRPr="00D0694F" w:rsidRDefault="009331FB" w:rsidP="009331FB">
      <w:pPr>
        <w:rPr>
          <w:rFonts w:cs="Arial"/>
        </w:rPr>
      </w:pPr>
    </w:p>
    <w:p w14:paraId="633945DB" w14:textId="77777777" w:rsidR="007A42FE" w:rsidRDefault="007A42FE" w:rsidP="007A42FE">
      <w:pPr>
        <w:pStyle w:val="00Normal"/>
        <w:spacing w:after="160" w:line="259" w:lineRule="auto"/>
        <w:rPr>
          <w:highlight w:val="yellow"/>
        </w:rPr>
      </w:pPr>
    </w:p>
    <w:p w14:paraId="2739E0BD" w14:textId="77777777" w:rsidR="007A42FE" w:rsidRDefault="007A42FE" w:rsidP="007A42FE">
      <w:pPr>
        <w:pStyle w:val="00Normal"/>
        <w:spacing w:after="160" w:line="259" w:lineRule="auto"/>
        <w:rPr>
          <w:highlight w:val="yellow"/>
        </w:rPr>
      </w:pPr>
    </w:p>
    <w:p w14:paraId="726F8800" w14:textId="77777777" w:rsidR="007A42FE" w:rsidRDefault="007A42FE" w:rsidP="007A42FE">
      <w:pPr>
        <w:pStyle w:val="00Normal"/>
        <w:spacing w:after="160" w:line="259" w:lineRule="auto"/>
        <w:rPr>
          <w:highlight w:val="yellow"/>
        </w:rPr>
      </w:pPr>
    </w:p>
    <w:p w14:paraId="3BC163EF" w14:textId="77777777" w:rsidR="007A42FE" w:rsidRPr="00527E63" w:rsidRDefault="007A42FE" w:rsidP="007A42FE">
      <w:pPr>
        <w:pStyle w:val="00Normal"/>
        <w:rPr>
          <w:highlight w:val="yellow"/>
        </w:rPr>
      </w:pPr>
    </w:p>
    <w:p w14:paraId="05238C16" w14:textId="77777777" w:rsidR="00A95B1E" w:rsidRDefault="00A95B1E" w:rsidP="00BE1903">
      <w:pPr>
        <w:pStyle w:val="Heading1"/>
        <w:numPr>
          <w:ilvl w:val="0"/>
          <w:numId w:val="0"/>
        </w:numPr>
        <w:ind w:left="72" w:hanging="72"/>
        <w:sectPr w:rsidR="00A95B1E" w:rsidSect="00EE2233">
          <w:pgSz w:w="12240" w:h="15840"/>
          <w:pgMar w:top="1440" w:right="1440" w:bottom="1440" w:left="1440" w:header="720" w:footer="720" w:gutter="0"/>
          <w:cols w:space="720"/>
          <w:docGrid w:linePitch="360"/>
        </w:sectPr>
      </w:pPr>
    </w:p>
    <w:p w14:paraId="161E2124" w14:textId="77777777" w:rsidR="00D56318" w:rsidRDefault="00D56318" w:rsidP="00D56318">
      <w:pPr>
        <w:pStyle w:val="Heading1"/>
        <w:numPr>
          <w:ilvl w:val="0"/>
          <w:numId w:val="0"/>
        </w:numPr>
      </w:pPr>
      <w:bookmarkStart w:id="4126" w:name="_GLOSSARY_OF_TERMS"/>
      <w:bookmarkStart w:id="4127" w:name="_Ref144994107"/>
      <w:bookmarkStart w:id="4128" w:name="_Ref144995036"/>
      <w:bookmarkStart w:id="4129" w:name="_Toc173222804"/>
      <w:bookmarkStart w:id="4130" w:name="_Toc200375910"/>
      <w:bookmarkStart w:id="4131" w:name="_Toc200377071"/>
      <w:bookmarkEnd w:id="4126"/>
      <w:r>
        <w:t>GLOSSARY OF TERMS AND DEFINITIONS</w:t>
      </w:r>
      <w:bookmarkEnd w:id="4127"/>
      <w:bookmarkEnd w:id="4128"/>
      <w:bookmarkEnd w:id="4129"/>
      <w:bookmarkEnd w:id="4130"/>
      <w:bookmarkEnd w:id="4131"/>
    </w:p>
    <w:p w14:paraId="1CEA17A8" w14:textId="77777777" w:rsidR="000C27E3"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w w:val="100"/>
          <w:sz w:val="22"/>
          <w:szCs w:val="22"/>
        </w:rPr>
      </w:pPr>
      <w:r w:rsidRPr="00173F0A">
        <w:rPr>
          <w:rFonts w:ascii="Arial" w:hAnsi="Arial" w:cs="Arial"/>
          <w:b/>
          <w:bCs/>
          <w:i/>
          <w:iCs/>
          <w:w w:val="100"/>
          <w:sz w:val="22"/>
          <w:szCs w:val="22"/>
        </w:rPr>
        <w:t>Accessible</w:t>
      </w:r>
      <w:r w:rsidRPr="00173F0A">
        <w:rPr>
          <w:rFonts w:ascii="Arial" w:hAnsi="Arial" w:cs="Arial"/>
          <w:b/>
          <w:w w:val="100"/>
          <w:sz w:val="22"/>
          <w:szCs w:val="22"/>
        </w:rPr>
        <w:t>.</w:t>
      </w:r>
      <w:r w:rsidRPr="00173F0A">
        <w:rPr>
          <w:rFonts w:ascii="Arial" w:hAnsi="Arial" w:cs="Arial"/>
          <w:w w:val="100"/>
          <w:sz w:val="22"/>
          <w:szCs w:val="22"/>
        </w:rPr>
        <w:t xml:space="preserve"> The facility or portion of the facility can be approached, entered, and used by persons with disabilities.</w:t>
      </w:r>
    </w:p>
    <w:p w14:paraId="5B9A36A3" w14:textId="77777777" w:rsidR="000C27E3"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w w:val="100"/>
          <w:sz w:val="22"/>
          <w:szCs w:val="22"/>
        </w:rPr>
      </w:pPr>
      <w:r w:rsidRPr="00173F0A">
        <w:rPr>
          <w:rFonts w:ascii="Arial" w:hAnsi="Arial" w:cs="Arial"/>
          <w:b/>
          <w:bCs/>
          <w:i/>
          <w:iCs/>
          <w:w w:val="100"/>
          <w:sz w:val="22"/>
          <w:szCs w:val="22"/>
        </w:rPr>
        <w:t>Adjusted income</w:t>
      </w:r>
      <w:r w:rsidRPr="00173F0A">
        <w:rPr>
          <w:rFonts w:ascii="Arial" w:hAnsi="Arial" w:cs="Arial"/>
          <w:b/>
          <w:bCs/>
          <w:w w:val="100"/>
          <w:sz w:val="22"/>
          <w:szCs w:val="22"/>
        </w:rPr>
        <w:t>.</w:t>
      </w:r>
      <w:r w:rsidRPr="00173F0A">
        <w:rPr>
          <w:rFonts w:ascii="Arial" w:hAnsi="Arial" w:cs="Arial"/>
          <w:w w:val="100"/>
          <w:sz w:val="22"/>
          <w:szCs w:val="22"/>
        </w:rPr>
        <w:t xml:space="preserve"> Annual income (as determined under 24 CFR 5.609), </w:t>
      </w:r>
      <w:r w:rsidRPr="00173F0A">
        <w:rPr>
          <w:rFonts w:ascii="Arial" w:hAnsi="Arial" w:cs="Arial"/>
          <w:sz w:val="22"/>
          <w:szCs w:val="22"/>
        </w:rPr>
        <w:t>of the members of the family residing or intending to reside in the dwelling unit</w:t>
      </w:r>
      <w:r w:rsidRPr="00173F0A">
        <w:rPr>
          <w:rFonts w:ascii="Arial" w:hAnsi="Arial" w:cs="Arial"/>
          <w:w w:val="100"/>
          <w:sz w:val="22"/>
          <w:szCs w:val="22"/>
        </w:rPr>
        <w:t xml:space="preserve"> less allowable HUD deductions and allowances.</w:t>
      </w:r>
    </w:p>
    <w:p w14:paraId="462EE44E" w14:textId="77777777" w:rsidR="000C27E3" w:rsidRPr="00556E3B"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spacing w:val="-2"/>
          <w:w w:val="100"/>
          <w:sz w:val="22"/>
          <w:szCs w:val="22"/>
        </w:rPr>
      </w:pPr>
      <w:r w:rsidRPr="00556E3B">
        <w:rPr>
          <w:rFonts w:ascii="Arial" w:hAnsi="Arial" w:cs="Arial"/>
          <w:b/>
          <w:bCs/>
          <w:i/>
          <w:iCs/>
          <w:spacing w:val="-2"/>
          <w:w w:val="100"/>
          <w:sz w:val="22"/>
          <w:szCs w:val="22"/>
        </w:rPr>
        <w:t>Affiliated individual.</w:t>
      </w:r>
      <w:r w:rsidRPr="00556E3B">
        <w:rPr>
          <w:rFonts w:ascii="Arial" w:hAnsi="Arial" w:cs="Arial"/>
          <w:spacing w:val="-2"/>
          <w:w w:val="100"/>
          <w:sz w:val="22"/>
          <w:szCs w:val="22"/>
        </w:rPr>
        <w:t xml:space="preserve"> With respect to an individual, a spouse, parent, brother, sister, or child of that individual, or a person to whom that individual stands in loco parentis (in the position or place of a parent), or any individual, tenant, or lawful occupant living in the household of the victim of </w:t>
      </w:r>
      <w:r w:rsidR="00556E3B" w:rsidRPr="00556E3B">
        <w:rPr>
          <w:rFonts w:ascii="Arial" w:hAnsi="Arial" w:cs="Arial"/>
          <w:spacing w:val="-2"/>
          <w:w w:val="100"/>
          <w:sz w:val="22"/>
          <w:szCs w:val="22"/>
        </w:rPr>
        <w:t>domestic violence, dating violence, sexual assault, stalking and/or human trafficking</w:t>
      </w:r>
      <w:r w:rsidRPr="00556E3B">
        <w:rPr>
          <w:rFonts w:ascii="Arial" w:hAnsi="Arial" w:cs="Arial"/>
          <w:spacing w:val="-2"/>
          <w:w w:val="100"/>
          <w:sz w:val="22"/>
          <w:szCs w:val="22"/>
        </w:rPr>
        <w:t>.</w:t>
      </w:r>
    </w:p>
    <w:p w14:paraId="0FF95D0E" w14:textId="77777777" w:rsidR="000C27E3"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iCs/>
          <w:sz w:val="22"/>
          <w:szCs w:val="22"/>
        </w:rPr>
      </w:pPr>
      <w:r w:rsidRPr="00173F0A">
        <w:rPr>
          <w:rFonts w:ascii="Arial" w:hAnsi="Arial" w:cs="Arial"/>
          <w:b/>
          <w:bCs/>
          <w:i/>
          <w:iCs/>
          <w:sz w:val="22"/>
          <w:szCs w:val="22"/>
        </w:rPr>
        <w:t xml:space="preserve">Alternative non-public housing rent. </w:t>
      </w:r>
      <w:r w:rsidRPr="00173F0A">
        <w:rPr>
          <w:rFonts w:ascii="Arial" w:hAnsi="Arial" w:cs="Arial"/>
          <w:iCs/>
          <w:sz w:val="22"/>
          <w:szCs w:val="22"/>
        </w:rPr>
        <w:t>A monthly rent equal to the greater of:</w:t>
      </w:r>
    </w:p>
    <w:p w14:paraId="6C7397F5" w14:textId="77777777" w:rsidR="000C27E3" w:rsidRPr="00173F0A" w:rsidRDefault="000C27E3" w:rsidP="007F177E">
      <w:pPr>
        <w:pStyle w:val="Bodywide-dash"/>
        <w:keepNext/>
        <w:numPr>
          <w:ilvl w:val="0"/>
          <w:numId w:val="195"/>
        </w:numPr>
        <w:tabs>
          <w:tab w:val="clear" w:pos="360"/>
          <w:tab w:val="clear" w:pos="540"/>
          <w:tab w:val="clear" w:pos="2880"/>
          <w:tab w:val="clear" w:pos="3600"/>
          <w:tab w:val="clear" w:pos="4320"/>
          <w:tab w:val="clear" w:pos="5040"/>
          <w:tab w:val="clear" w:pos="5760"/>
          <w:tab w:val="clear" w:pos="6480"/>
          <w:tab w:val="clear" w:pos="7200"/>
          <w:tab w:val="clear" w:pos="7920"/>
          <w:tab w:val="clear" w:pos="8640"/>
        </w:tabs>
        <w:spacing w:after="160" w:line="259" w:lineRule="auto"/>
        <w:jc w:val="both"/>
        <w:rPr>
          <w:w w:val="100"/>
          <w:sz w:val="22"/>
          <w:szCs w:val="22"/>
        </w:rPr>
      </w:pPr>
      <w:r w:rsidRPr="00173F0A">
        <w:rPr>
          <w:w w:val="100"/>
          <w:sz w:val="22"/>
          <w:szCs w:val="22"/>
        </w:rPr>
        <w:t xml:space="preserve">The applicable fair market rent, as defined in 24 CFR part 888, subpart A, for the unit; or </w:t>
      </w:r>
    </w:p>
    <w:p w14:paraId="299982D9" w14:textId="77777777" w:rsidR="000C27E3" w:rsidRPr="00173F0A" w:rsidRDefault="000C27E3" w:rsidP="007F177E">
      <w:pPr>
        <w:pStyle w:val="Bodywide-dash"/>
        <w:keepNext/>
        <w:numPr>
          <w:ilvl w:val="0"/>
          <w:numId w:val="195"/>
        </w:numPr>
        <w:tabs>
          <w:tab w:val="clear" w:pos="360"/>
          <w:tab w:val="clear" w:pos="540"/>
          <w:tab w:val="clear" w:pos="2880"/>
          <w:tab w:val="clear" w:pos="3600"/>
          <w:tab w:val="clear" w:pos="4320"/>
          <w:tab w:val="clear" w:pos="5040"/>
          <w:tab w:val="clear" w:pos="5760"/>
          <w:tab w:val="clear" w:pos="6480"/>
          <w:tab w:val="clear" w:pos="7200"/>
          <w:tab w:val="clear" w:pos="7920"/>
          <w:tab w:val="clear" w:pos="8640"/>
        </w:tabs>
        <w:spacing w:after="160" w:line="259" w:lineRule="auto"/>
        <w:jc w:val="both"/>
        <w:rPr>
          <w:spacing w:val="-4"/>
          <w:w w:val="100"/>
          <w:sz w:val="22"/>
          <w:szCs w:val="22"/>
        </w:rPr>
      </w:pPr>
      <w:r w:rsidRPr="00173F0A">
        <w:rPr>
          <w:spacing w:val="-4"/>
          <w:w w:val="100"/>
          <w:sz w:val="22"/>
          <w:szCs w:val="22"/>
        </w:rPr>
        <w:t>The amount of the monthly subsidy provided for the unit, which will be determined by adding the per unit assistance provided to a public housing property as calculated through the applicable formulas for the Public Housing Capital Fund and Public Housing Operating Fund.</w:t>
      </w:r>
    </w:p>
    <w:p w14:paraId="013D8797" w14:textId="77777777" w:rsidR="00AA397A"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b/>
          <w:bCs/>
          <w:i/>
          <w:iCs/>
          <w:sz w:val="22"/>
          <w:szCs w:val="22"/>
        </w:rPr>
      </w:pPr>
      <w:r w:rsidRPr="00173F0A">
        <w:rPr>
          <w:rFonts w:ascii="Arial" w:hAnsi="Arial" w:cs="Arial"/>
          <w:b/>
          <w:bCs/>
          <w:i/>
          <w:iCs/>
          <w:sz w:val="22"/>
          <w:szCs w:val="22"/>
        </w:rPr>
        <w:t xml:space="preserve">Annual contributions contract (ACC). </w:t>
      </w:r>
      <w:r w:rsidRPr="00173F0A">
        <w:rPr>
          <w:rFonts w:ascii="Arial" w:hAnsi="Arial" w:cs="Arial"/>
          <w:sz w:val="22"/>
          <w:szCs w:val="22"/>
        </w:rPr>
        <w:t>The written contract between HUD and a PHA under which HUD agrees to provide funding for a program under the 1937 Act, and the PHA agrees to comply with HUD requirements for the program.</w:t>
      </w:r>
    </w:p>
    <w:p w14:paraId="30876DA5" w14:textId="77777777" w:rsidR="00AA397A"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b/>
          <w:bCs/>
          <w:i/>
          <w:iCs/>
          <w:sz w:val="22"/>
          <w:szCs w:val="22"/>
        </w:rPr>
      </w:pPr>
      <w:r w:rsidRPr="00173F0A">
        <w:rPr>
          <w:rFonts w:ascii="Arial" w:hAnsi="Arial" w:cs="Arial"/>
          <w:b/>
          <w:bCs/>
          <w:i/>
          <w:iCs/>
          <w:w w:val="100"/>
          <w:sz w:val="22"/>
          <w:szCs w:val="22"/>
        </w:rPr>
        <w:t>Applicant (applicant family).</w:t>
      </w:r>
      <w:r w:rsidRPr="00173F0A">
        <w:rPr>
          <w:rFonts w:ascii="Arial" w:hAnsi="Arial" w:cs="Arial"/>
          <w:b/>
          <w:bCs/>
          <w:w w:val="100"/>
          <w:sz w:val="22"/>
          <w:szCs w:val="22"/>
        </w:rPr>
        <w:t xml:space="preserve"> </w:t>
      </w:r>
      <w:r w:rsidRPr="00173F0A">
        <w:rPr>
          <w:rFonts w:ascii="Arial" w:hAnsi="Arial" w:cs="Arial"/>
          <w:w w:val="100"/>
          <w:sz w:val="22"/>
          <w:szCs w:val="22"/>
        </w:rPr>
        <w:t>A family that has applied for admission to a program but is not yet a participant in the program.</w:t>
      </w:r>
    </w:p>
    <w:p w14:paraId="568618DA" w14:textId="77777777" w:rsidR="00AA397A"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b/>
          <w:bCs/>
          <w:i/>
          <w:iCs/>
          <w:sz w:val="22"/>
          <w:szCs w:val="22"/>
        </w:rPr>
      </w:pPr>
      <w:r w:rsidRPr="00173F0A">
        <w:rPr>
          <w:rFonts w:ascii="Arial" w:hAnsi="Arial" w:cs="Arial"/>
          <w:b/>
          <w:bCs/>
          <w:i/>
          <w:iCs/>
          <w:w w:val="100"/>
          <w:sz w:val="22"/>
          <w:szCs w:val="22"/>
        </w:rPr>
        <w:t>As-paid states.</w:t>
      </w:r>
      <w:r w:rsidRPr="00173F0A">
        <w:rPr>
          <w:rFonts w:ascii="Arial" w:hAnsi="Arial" w:cs="Arial"/>
          <w:w w:val="100"/>
          <w:sz w:val="22"/>
          <w:szCs w:val="22"/>
        </w:rPr>
        <w:t xml:space="preserve"> States where the welfare agency adjusts the shelter and utility component of the welfare grant in accordance with actual housing costs.</w:t>
      </w:r>
    </w:p>
    <w:p w14:paraId="7174343A" w14:textId="77777777" w:rsidR="00AA397A"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b/>
          <w:bCs/>
          <w:i/>
          <w:iCs/>
          <w:sz w:val="22"/>
          <w:szCs w:val="22"/>
        </w:rPr>
      </w:pPr>
      <w:r w:rsidRPr="00173F0A">
        <w:rPr>
          <w:rFonts w:ascii="Arial" w:hAnsi="Arial" w:cs="Arial"/>
          <w:b/>
          <w:bCs/>
          <w:i/>
          <w:iCs/>
          <w:w w:val="100"/>
          <w:sz w:val="22"/>
          <w:szCs w:val="22"/>
        </w:rPr>
        <w:t>Assets</w:t>
      </w:r>
      <w:r w:rsidRPr="00173F0A">
        <w:rPr>
          <w:rFonts w:ascii="Arial" w:hAnsi="Arial" w:cs="Arial"/>
          <w:b/>
          <w:bCs/>
          <w:w w:val="100"/>
          <w:sz w:val="22"/>
          <w:szCs w:val="22"/>
        </w:rPr>
        <w:t>.</w:t>
      </w:r>
      <w:r w:rsidRPr="00173F0A">
        <w:rPr>
          <w:rFonts w:ascii="Arial" w:hAnsi="Arial" w:cs="Arial"/>
          <w:w w:val="100"/>
          <w:sz w:val="22"/>
          <w:szCs w:val="22"/>
        </w:rPr>
        <w:t xml:space="preserve"> (See </w:t>
      </w:r>
      <w:r w:rsidRPr="00173F0A">
        <w:rPr>
          <w:rFonts w:ascii="Arial" w:hAnsi="Arial" w:cs="Arial"/>
          <w:i/>
          <w:w w:val="100"/>
          <w:sz w:val="22"/>
          <w:szCs w:val="22"/>
        </w:rPr>
        <w:t>net family assets.</w:t>
      </w:r>
      <w:r w:rsidRPr="00173F0A">
        <w:rPr>
          <w:rFonts w:ascii="Arial" w:hAnsi="Arial" w:cs="Arial"/>
          <w:w w:val="100"/>
          <w:sz w:val="22"/>
          <w:szCs w:val="22"/>
        </w:rPr>
        <w:t>)</w:t>
      </w:r>
    </w:p>
    <w:p w14:paraId="1204931A" w14:textId="77777777" w:rsidR="00AA397A"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b/>
          <w:bCs/>
          <w:i/>
          <w:iCs/>
          <w:sz w:val="22"/>
          <w:szCs w:val="22"/>
        </w:rPr>
      </w:pPr>
      <w:r w:rsidRPr="00173F0A">
        <w:rPr>
          <w:rFonts w:ascii="Arial" w:hAnsi="Arial" w:cs="Arial"/>
          <w:b/>
          <w:bCs/>
          <w:i/>
          <w:iCs/>
          <w:w w:val="100"/>
          <w:sz w:val="22"/>
          <w:szCs w:val="22"/>
        </w:rPr>
        <w:t>Auxiliary</w:t>
      </w:r>
      <w:r w:rsidRPr="00173F0A">
        <w:rPr>
          <w:rFonts w:ascii="Arial" w:hAnsi="Arial" w:cs="Arial"/>
          <w:i/>
          <w:iCs/>
          <w:w w:val="100"/>
          <w:sz w:val="22"/>
          <w:szCs w:val="22"/>
        </w:rPr>
        <w:t xml:space="preserve"> </w:t>
      </w:r>
      <w:r w:rsidRPr="00173F0A">
        <w:rPr>
          <w:rFonts w:ascii="Arial" w:hAnsi="Arial" w:cs="Arial"/>
          <w:b/>
          <w:bCs/>
          <w:i/>
          <w:iCs/>
          <w:w w:val="100"/>
          <w:sz w:val="22"/>
          <w:szCs w:val="22"/>
        </w:rPr>
        <w:t>aids.</w:t>
      </w:r>
      <w:r w:rsidRPr="00173F0A">
        <w:rPr>
          <w:rFonts w:ascii="Arial" w:hAnsi="Arial" w:cs="Arial"/>
          <w:w w:val="100"/>
          <w:sz w:val="22"/>
          <w:szCs w:val="22"/>
        </w:rPr>
        <w:t xml:space="preserve"> Services or devices that enable persons with impaired sensory, manual, or speaking skills to have an equal opportunity to participate in, and enjoy the benefits of, programs or activities receiving federal financial assistance.</w:t>
      </w:r>
    </w:p>
    <w:p w14:paraId="548C1400" w14:textId="77777777" w:rsidR="00AA397A"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b/>
          <w:bCs/>
          <w:i/>
          <w:iCs/>
          <w:sz w:val="22"/>
          <w:szCs w:val="22"/>
        </w:rPr>
      </w:pPr>
      <w:r w:rsidRPr="00173F0A">
        <w:rPr>
          <w:rFonts w:ascii="Arial" w:hAnsi="Arial" w:cs="Arial"/>
          <w:b/>
          <w:bCs/>
          <w:i/>
          <w:iCs/>
          <w:w w:val="100"/>
          <w:sz w:val="22"/>
          <w:szCs w:val="22"/>
        </w:rPr>
        <w:t>Bifurcate.</w:t>
      </w:r>
      <w:r w:rsidRPr="00173F0A">
        <w:rPr>
          <w:rFonts w:ascii="Arial" w:hAnsi="Arial" w:cs="Arial"/>
          <w:b/>
          <w:bCs/>
          <w:iCs/>
          <w:w w:val="100"/>
          <w:sz w:val="22"/>
          <w:szCs w:val="22"/>
        </w:rPr>
        <w:t xml:space="preserve"> </w:t>
      </w:r>
      <w:r w:rsidRPr="00173F0A">
        <w:rPr>
          <w:rFonts w:ascii="Arial" w:hAnsi="Arial" w:cs="Arial"/>
          <w:bCs/>
          <w:iCs/>
          <w:w w:val="100"/>
          <w:sz w:val="22"/>
          <w:szCs w:val="22"/>
        </w:rPr>
        <w:t>With respect to a public housing or Section 8 lease, to divide a lease as a matter of law such that certain tenants can be evicted or removed while the remaining family members’ lease and occupancy rights are allowed to remain intact.</w:t>
      </w:r>
    </w:p>
    <w:p w14:paraId="1CE82FC0" w14:textId="77777777" w:rsidR="00AA397A"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b/>
          <w:bCs/>
          <w:i/>
          <w:iCs/>
          <w:sz w:val="22"/>
          <w:szCs w:val="22"/>
        </w:rPr>
      </w:pPr>
      <w:r w:rsidRPr="00173F0A">
        <w:rPr>
          <w:rFonts w:ascii="Arial" w:hAnsi="Arial" w:cs="Arial"/>
          <w:b/>
          <w:bCs/>
          <w:i/>
          <w:iCs/>
          <w:w w:val="100"/>
          <w:sz w:val="22"/>
          <w:szCs w:val="22"/>
        </w:rPr>
        <w:t xml:space="preserve">Ceiling rent. </w:t>
      </w:r>
      <w:r w:rsidRPr="00173F0A">
        <w:rPr>
          <w:rFonts w:ascii="Arial" w:hAnsi="Arial" w:cs="Arial"/>
          <w:bCs/>
          <w:iCs/>
          <w:w w:val="100"/>
          <w:sz w:val="22"/>
          <w:szCs w:val="22"/>
        </w:rPr>
        <w:t>The highest rent amount the PHA will require a family to pay, for a particular unit size, when the family is paying an income-based rent.</w:t>
      </w:r>
    </w:p>
    <w:p w14:paraId="127C93DF" w14:textId="77777777" w:rsidR="00AA397A" w:rsidRPr="00923D50"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b/>
          <w:bCs/>
          <w:i/>
          <w:iCs/>
          <w:spacing w:val="-4"/>
          <w:sz w:val="22"/>
          <w:szCs w:val="22"/>
        </w:rPr>
      </w:pPr>
      <w:r w:rsidRPr="00923D50">
        <w:rPr>
          <w:rFonts w:ascii="Arial" w:hAnsi="Arial" w:cs="Arial"/>
          <w:b/>
          <w:bCs/>
          <w:i/>
          <w:iCs/>
          <w:spacing w:val="-4"/>
          <w:w w:val="100"/>
          <w:sz w:val="22"/>
          <w:szCs w:val="22"/>
        </w:rPr>
        <w:t>Child</w:t>
      </w:r>
      <w:r w:rsidRPr="00923D50">
        <w:rPr>
          <w:rFonts w:ascii="Arial" w:hAnsi="Arial" w:cs="Arial"/>
          <w:b/>
          <w:i/>
          <w:iCs/>
          <w:spacing w:val="-4"/>
          <w:w w:val="100"/>
          <w:sz w:val="22"/>
          <w:szCs w:val="22"/>
        </w:rPr>
        <w:t>.</w:t>
      </w:r>
      <w:r w:rsidRPr="00923D50">
        <w:rPr>
          <w:rFonts w:ascii="Arial" w:hAnsi="Arial" w:cs="Arial"/>
          <w:i/>
          <w:iCs/>
          <w:spacing w:val="-4"/>
          <w:w w:val="100"/>
          <w:sz w:val="22"/>
          <w:szCs w:val="22"/>
        </w:rPr>
        <w:t xml:space="preserve"> A</w:t>
      </w:r>
      <w:r w:rsidRPr="00923D50">
        <w:rPr>
          <w:rFonts w:ascii="Arial" w:hAnsi="Arial" w:cs="Arial"/>
          <w:spacing w:val="-4"/>
          <w:w w:val="100"/>
          <w:sz w:val="22"/>
          <w:szCs w:val="22"/>
        </w:rPr>
        <w:t xml:space="preserve"> member of the family other than the family head or spouse who is under 18 years of</w:t>
      </w:r>
      <w:r w:rsidR="00AA397A" w:rsidRPr="00923D50">
        <w:rPr>
          <w:rFonts w:ascii="Arial" w:hAnsi="Arial" w:cs="Arial"/>
          <w:spacing w:val="-4"/>
          <w:w w:val="100"/>
          <w:sz w:val="22"/>
          <w:szCs w:val="22"/>
        </w:rPr>
        <w:t xml:space="preserve"> </w:t>
      </w:r>
      <w:r w:rsidRPr="00923D50">
        <w:rPr>
          <w:rFonts w:ascii="Arial" w:hAnsi="Arial" w:cs="Arial"/>
          <w:spacing w:val="-4"/>
          <w:w w:val="100"/>
          <w:sz w:val="22"/>
          <w:szCs w:val="22"/>
        </w:rPr>
        <w:t>age.</w:t>
      </w:r>
    </w:p>
    <w:p w14:paraId="5041918D" w14:textId="77777777" w:rsidR="00AA397A"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b/>
          <w:bCs/>
          <w:i/>
          <w:iCs/>
          <w:sz w:val="22"/>
          <w:szCs w:val="22"/>
        </w:rPr>
      </w:pPr>
      <w:r w:rsidRPr="00173F0A">
        <w:rPr>
          <w:rFonts w:ascii="Arial" w:hAnsi="Arial" w:cs="Arial"/>
          <w:b/>
          <w:bCs/>
          <w:i/>
          <w:iCs/>
          <w:w w:val="100"/>
          <w:sz w:val="22"/>
          <w:szCs w:val="22"/>
        </w:rPr>
        <w:t>Child care expenses</w:t>
      </w:r>
      <w:r w:rsidRPr="00173F0A">
        <w:rPr>
          <w:rFonts w:ascii="Arial" w:hAnsi="Arial" w:cs="Arial"/>
          <w:b/>
          <w:w w:val="100"/>
          <w:sz w:val="22"/>
          <w:szCs w:val="22"/>
        </w:rPr>
        <w:t>.</w:t>
      </w:r>
      <w:r w:rsidRPr="00173F0A">
        <w:rPr>
          <w:rFonts w:ascii="Arial" w:hAnsi="Arial" w:cs="Arial"/>
          <w:w w:val="100"/>
          <w:sz w:val="22"/>
          <w:szCs w:val="22"/>
        </w:rPr>
        <w:t xml:space="preserve"> Amounts anticipated to be paid by the family for the care of children under 13 years of age during the period for which annual income is computed, but only where such care is necessary to enable a family member to actively seek employment, be gainfully employed, or to further their education and only to the extent such amounts are not reimbursed. The amount deducted shall reflect reasonable charges for child care. In the case of child care necessary to permit employment, the amount deducted shall not exceed the amount of employment income that is included in annual income.</w:t>
      </w:r>
    </w:p>
    <w:p w14:paraId="7E79A942" w14:textId="77777777" w:rsidR="00AA397A"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b/>
          <w:bCs/>
          <w:i/>
          <w:iCs/>
          <w:sz w:val="22"/>
          <w:szCs w:val="22"/>
        </w:rPr>
      </w:pPr>
      <w:r w:rsidRPr="00173F0A">
        <w:rPr>
          <w:rFonts w:ascii="Arial" w:hAnsi="Arial" w:cs="Arial"/>
          <w:b/>
          <w:bCs/>
          <w:i/>
          <w:iCs/>
          <w:w w:val="100"/>
          <w:sz w:val="22"/>
          <w:szCs w:val="22"/>
        </w:rPr>
        <w:t>Citizen</w:t>
      </w:r>
      <w:r w:rsidRPr="00173F0A">
        <w:rPr>
          <w:rFonts w:ascii="Arial" w:hAnsi="Arial" w:cs="Arial"/>
          <w:b/>
          <w:i/>
          <w:iCs/>
          <w:w w:val="100"/>
          <w:sz w:val="22"/>
          <w:szCs w:val="22"/>
        </w:rPr>
        <w:t>.</w:t>
      </w:r>
      <w:r w:rsidRPr="00173F0A">
        <w:rPr>
          <w:rFonts w:ascii="Arial" w:hAnsi="Arial" w:cs="Arial"/>
          <w:i/>
          <w:iCs/>
          <w:w w:val="100"/>
          <w:sz w:val="22"/>
          <w:szCs w:val="22"/>
        </w:rPr>
        <w:t xml:space="preserve"> A</w:t>
      </w:r>
      <w:r w:rsidRPr="00173F0A">
        <w:rPr>
          <w:rFonts w:ascii="Arial" w:hAnsi="Arial" w:cs="Arial"/>
          <w:w w:val="100"/>
          <w:sz w:val="22"/>
          <w:szCs w:val="22"/>
        </w:rPr>
        <w:t xml:space="preserve"> citizen or national of the United States.</w:t>
      </w:r>
    </w:p>
    <w:p w14:paraId="1C5F3D6B" w14:textId="77777777" w:rsidR="00AA397A"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b/>
          <w:bCs/>
          <w:i/>
          <w:iCs/>
          <w:sz w:val="22"/>
          <w:szCs w:val="22"/>
        </w:rPr>
      </w:pPr>
      <w:r w:rsidRPr="00173F0A">
        <w:rPr>
          <w:rFonts w:ascii="Arial" w:hAnsi="Arial" w:cs="Arial"/>
          <w:b/>
          <w:bCs/>
          <w:i/>
          <w:iCs/>
          <w:w w:val="100"/>
          <w:sz w:val="22"/>
          <w:szCs w:val="22"/>
        </w:rPr>
        <w:t>Cohead.</w:t>
      </w:r>
      <w:r w:rsidRPr="00173F0A">
        <w:rPr>
          <w:rFonts w:ascii="Arial" w:hAnsi="Arial" w:cs="Arial"/>
          <w:w w:val="100"/>
          <w:sz w:val="22"/>
          <w:szCs w:val="22"/>
        </w:rPr>
        <w:t xml:space="preserve"> An individual in the household who is equally responsible for the lease with the head of household. A family may have a cohead or spouse but not both. A cohead never qualifies as a dependent. The cohead must have legal capacity to enter into a lease.</w:t>
      </w:r>
    </w:p>
    <w:p w14:paraId="0CC3EFD7" w14:textId="77777777" w:rsidR="00AA397A"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b/>
          <w:bCs/>
          <w:i/>
          <w:iCs/>
          <w:sz w:val="22"/>
          <w:szCs w:val="22"/>
        </w:rPr>
      </w:pPr>
      <w:r w:rsidRPr="00173F0A">
        <w:rPr>
          <w:rFonts w:ascii="Arial" w:hAnsi="Arial" w:cs="Arial"/>
          <w:b/>
          <w:bCs/>
          <w:i/>
          <w:iCs/>
          <w:w w:val="100"/>
          <w:sz w:val="22"/>
          <w:szCs w:val="22"/>
        </w:rPr>
        <w:t>Consent</w:t>
      </w:r>
      <w:r w:rsidRPr="00173F0A">
        <w:rPr>
          <w:rFonts w:ascii="Arial" w:hAnsi="Arial" w:cs="Arial"/>
          <w:i/>
          <w:iCs/>
          <w:w w:val="100"/>
          <w:sz w:val="22"/>
          <w:szCs w:val="22"/>
        </w:rPr>
        <w:t xml:space="preserve"> </w:t>
      </w:r>
      <w:r w:rsidRPr="00173F0A">
        <w:rPr>
          <w:rFonts w:ascii="Arial" w:hAnsi="Arial" w:cs="Arial"/>
          <w:b/>
          <w:bCs/>
          <w:i/>
          <w:iCs/>
          <w:w w:val="100"/>
          <w:sz w:val="22"/>
          <w:szCs w:val="22"/>
        </w:rPr>
        <w:t>form</w:t>
      </w:r>
      <w:r w:rsidRPr="00173F0A">
        <w:rPr>
          <w:rFonts w:ascii="Arial" w:hAnsi="Arial" w:cs="Arial"/>
          <w:b/>
          <w:w w:val="100"/>
          <w:sz w:val="22"/>
          <w:szCs w:val="22"/>
        </w:rPr>
        <w:t>.</w:t>
      </w:r>
      <w:r w:rsidRPr="00173F0A">
        <w:rPr>
          <w:rFonts w:ascii="Arial" w:hAnsi="Arial" w:cs="Arial"/>
          <w:w w:val="100"/>
          <w:sz w:val="22"/>
          <w:szCs w:val="22"/>
        </w:rPr>
        <w:t xml:space="preserve"> Any consent form approved by HUD to be signed by assistance applicants and participants to obtain income information from employers and SWICAs; return information from the Social Security Administration (including wages, net earnings from self-employment, and retirement income); and return information for unearned income from the IRS. Consent forms expire after a certain time and may authorize the collection of other information to determine eligibility or level of benefits.</w:t>
      </w:r>
    </w:p>
    <w:p w14:paraId="53D4C6E6" w14:textId="77777777" w:rsidR="00AA397A"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b/>
          <w:bCs/>
          <w:i/>
          <w:iCs/>
          <w:sz w:val="22"/>
          <w:szCs w:val="22"/>
        </w:rPr>
      </w:pPr>
      <w:r w:rsidRPr="00173F0A">
        <w:rPr>
          <w:rFonts w:ascii="Arial" w:hAnsi="Arial" w:cs="Arial"/>
          <w:b/>
          <w:bCs/>
          <w:i/>
          <w:iCs/>
          <w:w w:val="100"/>
          <w:sz w:val="22"/>
          <w:szCs w:val="22"/>
        </w:rPr>
        <w:t>Covered families</w:t>
      </w:r>
      <w:r w:rsidRPr="00173F0A">
        <w:rPr>
          <w:rFonts w:ascii="Arial" w:hAnsi="Arial" w:cs="Arial"/>
          <w:b/>
          <w:w w:val="100"/>
          <w:sz w:val="22"/>
          <w:szCs w:val="22"/>
        </w:rPr>
        <w:t>.</w:t>
      </w:r>
      <w:r w:rsidRPr="00173F0A">
        <w:rPr>
          <w:rFonts w:ascii="Arial" w:hAnsi="Arial" w:cs="Arial"/>
          <w:w w:val="100"/>
          <w:sz w:val="22"/>
          <w:szCs w:val="22"/>
        </w:rPr>
        <w:t xml:space="preserve"> Statutory term for families who are required to participate in a welfare agency economic self-sufficiency program and who may be subject to a welfare benefit sanction for noncompliance with this obligation. Includes families who receive welfare assistance or other public assistance under a program for which federal, state, or local law requires that a member of the family must participate in an economic self-sufficiency program as a condition for the assistance.</w:t>
      </w:r>
    </w:p>
    <w:p w14:paraId="24DF3D73" w14:textId="77777777" w:rsidR="000C27E3"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b/>
          <w:bCs/>
          <w:i/>
          <w:iCs/>
          <w:sz w:val="22"/>
          <w:szCs w:val="22"/>
        </w:rPr>
      </w:pPr>
      <w:r w:rsidRPr="00173F0A">
        <w:rPr>
          <w:rFonts w:ascii="Arial" w:hAnsi="Arial" w:cs="Arial"/>
          <w:b/>
          <w:bCs/>
          <w:i/>
          <w:iCs/>
          <w:w w:val="100"/>
          <w:sz w:val="22"/>
          <w:szCs w:val="22"/>
        </w:rPr>
        <w:t>Dating violence.</w:t>
      </w:r>
      <w:r w:rsidRPr="00173F0A">
        <w:rPr>
          <w:rFonts w:ascii="Arial" w:hAnsi="Arial" w:cs="Arial"/>
          <w:w w:val="100"/>
          <w:sz w:val="22"/>
          <w:szCs w:val="22"/>
        </w:rPr>
        <w:t xml:space="preserve"> Violence committed by a person who is or has been in a social relationship of a romantic or intimate nature with the victim; and where the existence of such a relationship shall be determined based on a consideration of the following factors: </w:t>
      </w:r>
    </w:p>
    <w:p w14:paraId="23451ABA" w14:textId="77777777" w:rsidR="000C27E3" w:rsidRPr="00173F0A" w:rsidRDefault="000C27E3" w:rsidP="007F177E">
      <w:pPr>
        <w:pStyle w:val="Bodywide-dash"/>
        <w:keepNext/>
        <w:numPr>
          <w:ilvl w:val="0"/>
          <w:numId w:val="196"/>
        </w:numPr>
        <w:tabs>
          <w:tab w:val="clear" w:pos="360"/>
          <w:tab w:val="clear" w:pos="540"/>
          <w:tab w:val="clear" w:pos="2880"/>
          <w:tab w:val="clear" w:pos="3600"/>
          <w:tab w:val="clear" w:pos="4320"/>
          <w:tab w:val="clear" w:pos="5040"/>
          <w:tab w:val="clear" w:pos="5760"/>
          <w:tab w:val="clear" w:pos="6480"/>
          <w:tab w:val="clear" w:pos="7200"/>
          <w:tab w:val="clear" w:pos="7920"/>
          <w:tab w:val="clear" w:pos="8640"/>
        </w:tabs>
        <w:spacing w:after="160" w:line="259" w:lineRule="auto"/>
        <w:jc w:val="both"/>
        <w:rPr>
          <w:w w:val="100"/>
          <w:sz w:val="22"/>
          <w:szCs w:val="22"/>
        </w:rPr>
      </w:pPr>
      <w:r w:rsidRPr="00173F0A">
        <w:rPr>
          <w:w w:val="100"/>
          <w:sz w:val="22"/>
          <w:szCs w:val="22"/>
        </w:rPr>
        <w:t>The length of the relationship</w:t>
      </w:r>
      <w:r w:rsidR="003865EC">
        <w:rPr>
          <w:w w:val="100"/>
          <w:sz w:val="22"/>
          <w:szCs w:val="22"/>
        </w:rPr>
        <w:t>,</w:t>
      </w:r>
    </w:p>
    <w:p w14:paraId="2D1F2305" w14:textId="77777777" w:rsidR="000C27E3" w:rsidRPr="00173F0A" w:rsidRDefault="000C27E3" w:rsidP="007F177E">
      <w:pPr>
        <w:pStyle w:val="Bodywide-dash"/>
        <w:keepNext/>
        <w:numPr>
          <w:ilvl w:val="0"/>
          <w:numId w:val="196"/>
        </w:numPr>
        <w:tabs>
          <w:tab w:val="clear" w:pos="360"/>
          <w:tab w:val="clear" w:pos="540"/>
          <w:tab w:val="clear" w:pos="2880"/>
          <w:tab w:val="clear" w:pos="3600"/>
          <w:tab w:val="clear" w:pos="4320"/>
          <w:tab w:val="clear" w:pos="5040"/>
          <w:tab w:val="clear" w:pos="5760"/>
          <w:tab w:val="clear" w:pos="6480"/>
          <w:tab w:val="clear" w:pos="7200"/>
          <w:tab w:val="clear" w:pos="7920"/>
          <w:tab w:val="clear" w:pos="8640"/>
        </w:tabs>
        <w:spacing w:after="160" w:line="259" w:lineRule="auto"/>
        <w:jc w:val="both"/>
        <w:rPr>
          <w:w w:val="100"/>
          <w:sz w:val="22"/>
          <w:szCs w:val="22"/>
        </w:rPr>
      </w:pPr>
      <w:r w:rsidRPr="00173F0A">
        <w:rPr>
          <w:w w:val="100"/>
          <w:sz w:val="22"/>
          <w:szCs w:val="22"/>
        </w:rPr>
        <w:t>The type of relationship</w:t>
      </w:r>
      <w:r w:rsidR="003865EC">
        <w:rPr>
          <w:w w:val="100"/>
          <w:sz w:val="22"/>
          <w:szCs w:val="22"/>
        </w:rPr>
        <w:t>,</w:t>
      </w:r>
    </w:p>
    <w:p w14:paraId="1E8F3B4E" w14:textId="77777777" w:rsidR="000C27E3" w:rsidRPr="00173F0A" w:rsidRDefault="000C27E3" w:rsidP="007F177E">
      <w:pPr>
        <w:pStyle w:val="Bodywide-dash"/>
        <w:keepNext/>
        <w:numPr>
          <w:ilvl w:val="0"/>
          <w:numId w:val="196"/>
        </w:numPr>
        <w:tabs>
          <w:tab w:val="clear" w:pos="360"/>
          <w:tab w:val="clear" w:pos="540"/>
          <w:tab w:val="clear" w:pos="2880"/>
          <w:tab w:val="clear" w:pos="3600"/>
          <w:tab w:val="clear" w:pos="4320"/>
          <w:tab w:val="clear" w:pos="5040"/>
          <w:tab w:val="clear" w:pos="5760"/>
          <w:tab w:val="clear" w:pos="6480"/>
          <w:tab w:val="clear" w:pos="7200"/>
          <w:tab w:val="clear" w:pos="7920"/>
          <w:tab w:val="clear" w:pos="8640"/>
        </w:tabs>
        <w:spacing w:after="160" w:line="259" w:lineRule="auto"/>
        <w:jc w:val="both"/>
        <w:rPr>
          <w:w w:val="100"/>
          <w:sz w:val="22"/>
          <w:szCs w:val="22"/>
        </w:rPr>
      </w:pPr>
      <w:r w:rsidRPr="00173F0A">
        <w:rPr>
          <w:w w:val="100"/>
          <w:sz w:val="22"/>
          <w:szCs w:val="22"/>
        </w:rPr>
        <w:t>The frequency of interaction between the persons involved in the relationship</w:t>
      </w:r>
      <w:r w:rsidR="003865EC">
        <w:rPr>
          <w:w w:val="100"/>
          <w:sz w:val="22"/>
          <w:szCs w:val="22"/>
        </w:rPr>
        <w:t>.</w:t>
      </w:r>
    </w:p>
    <w:p w14:paraId="77E2D38F" w14:textId="77777777" w:rsidR="00AA397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w w:val="100"/>
          <w:sz w:val="22"/>
          <w:szCs w:val="22"/>
        </w:rPr>
      </w:pPr>
      <w:r w:rsidRPr="00173F0A">
        <w:rPr>
          <w:rFonts w:ascii="Arial" w:hAnsi="Arial" w:cs="Arial"/>
          <w:b/>
          <w:bCs/>
          <w:i/>
          <w:iCs/>
          <w:w w:val="100"/>
          <w:sz w:val="22"/>
          <w:szCs w:val="22"/>
        </w:rPr>
        <w:t xml:space="preserve">Day laborer. </w:t>
      </w:r>
      <w:r w:rsidRPr="00173F0A">
        <w:rPr>
          <w:rFonts w:ascii="Arial" w:hAnsi="Arial" w:cs="Arial"/>
          <w:w w:val="100"/>
          <w:sz w:val="22"/>
          <w:szCs w:val="22"/>
        </w:rPr>
        <w:t>An individual hired and paid one day at a time without an agreement that the individual will be hired or work again in the future.</w:t>
      </w:r>
    </w:p>
    <w:p w14:paraId="208FD226" w14:textId="1CCEA12F" w:rsidR="00360C13" w:rsidRPr="00173F0A" w:rsidRDefault="00360C1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w w:val="100"/>
          <w:sz w:val="22"/>
          <w:szCs w:val="22"/>
        </w:rPr>
      </w:pPr>
      <w:r>
        <w:rPr>
          <w:rFonts w:ascii="Arial" w:hAnsi="Arial" w:cs="Arial"/>
          <w:b/>
          <w:bCs/>
          <w:i/>
          <w:iCs/>
          <w:w w:val="100"/>
          <w:sz w:val="22"/>
          <w:szCs w:val="22"/>
        </w:rPr>
        <w:t>De minimis error.</w:t>
      </w:r>
      <w:r>
        <w:rPr>
          <w:rFonts w:ascii="Arial" w:hAnsi="Arial" w:cs="Arial"/>
          <w:w w:val="100"/>
          <w:sz w:val="22"/>
          <w:szCs w:val="22"/>
        </w:rPr>
        <w:t xml:space="preserve"> An error that results in a difference in the determination of a family’s adjusted income of $30 or less per month.</w:t>
      </w:r>
    </w:p>
    <w:p w14:paraId="53DB05F1" w14:textId="77777777" w:rsidR="00AA397A"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w w:val="100"/>
          <w:sz w:val="22"/>
          <w:szCs w:val="22"/>
        </w:rPr>
      </w:pPr>
      <w:r w:rsidRPr="00173F0A">
        <w:rPr>
          <w:rFonts w:ascii="Arial" w:hAnsi="Arial" w:cs="Arial"/>
          <w:b/>
          <w:bCs/>
          <w:i/>
          <w:iCs/>
          <w:w w:val="100"/>
          <w:sz w:val="22"/>
          <w:szCs w:val="22"/>
        </w:rPr>
        <w:t>Dependent</w:t>
      </w:r>
      <w:r w:rsidRPr="00173F0A">
        <w:rPr>
          <w:rFonts w:ascii="Arial" w:hAnsi="Arial" w:cs="Arial"/>
          <w:b/>
          <w:w w:val="100"/>
          <w:sz w:val="22"/>
          <w:szCs w:val="22"/>
        </w:rPr>
        <w:t>.</w:t>
      </w:r>
      <w:r w:rsidRPr="00173F0A">
        <w:rPr>
          <w:rFonts w:ascii="Arial" w:hAnsi="Arial" w:cs="Arial"/>
          <w:w w:val="100"/>
          <w:sz w:val="22"/>
          <w:szCs w:val="22"/>
        </w:rPr>
        <w:t xml:space="preserve"> A member of the family (which excludes foster children and foster adults) other than the family head or spouse, who is under 18 years of age, or is a person with a disability, or is a full-time student.</w:t>
      </w:r>
    </w:p>
    <w:p w14:paraId="147FC519" w14:textId="77777777" w:rsidR="00AA397A"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w w:val="100"/>
          <w:sz w:val="22"/>
          <w:szCs w:val="22"/>
        </w:rPr>
      </w:pPr>
      <w:r w:rsidRPr="00173F0A">
        <w:rPr>
          <w:rFonts w:ascii="Arial" w:hAnsi="Arial" w:cs="Arial"/>
          <w:b/>
          <w:bCs/>
          <w:i/>
          <w:iCs/>
          <w:sz w:val="22"/>
          <w:szCs w:val="22"/>
        </w:rPr>
        <w:t xml:space="preserve">Dependent child. </w:t>
      </w:r>
      <w:r w:rsidRPr="00173F0A">
        <w:rPr>
          <w:rFonts w:ascii="Arial" w:hAnsi="Arial" w:cs="Arial"/>
          <w:sz w:val="22"/>
          <w:szCs w:val="22"/>
        </w:rPr>
        <w:t>In the context of the student eligibility restrictions</w:t>
      </w:r>
      <w:r w:rsidRPr="00173F0A">
        <w:rPr>
          <w:rFonts w:ascii="Arial" w:hAnsi="Arial" w:cs="Arial"/>
          <w:i/>
          <w:iCs/>
          <w:sz w:val="22"/>
          <w:szCs w:val="22"/>
        </w:rPr>
        <w:t xml:space="preserve">, </w:t>
      </w:r>
      <w:r w:rsidRPr="00173F0A">
        <w:rPr>
          <w:rFonts w:ascii="Arial" w:hAnsi="Arial" w:cs="Arial"/>
          <w:sz w:val="22"/>
          <w:szCs w:val="22"/>
        </w:rPr>
        <w:t xml:space="preserve">a dependent child of a student enrolled in an institution of higher education. The dependent child must also meet the definition of </w:t>
      </w:r>
      <w:r w:rsidRPr="00173F0A">
        <w:rPr>
          <w:rFonts w:ascii="Arial" w:hAnsi="Arial" w:cs="Arial"/>
          <w:i/>
          <w:iCs/>
          <w:sz w:val="22"/>
          <w:szCs w:val="22"/>
        </w:rPr>
        <w:t xml:space="preserve">dependent </w:t>
      </w:r>
      <w:r w:rsidRPr="00173F0A">
        <w:rPr>
          <w:rFonts w:ascii="Arial" w:hAnsi="Arial" w:cs="Arial"/>
          <w:sz w:val="22"/>
          <w:szCs w:val="22"/>
        </w:rPr>
        <w:t>as specified above</w:t>
      </w:r>
      <w:r w:rsidR="00AA397A" w:rsidRPr="00173F0A">
        <w:rPr>
          <w:rFonts w:ascii="Arial" w:hAnsi="Arial" w:cs="Arial"/>
          <w:sz w:val="22"/>
          <w:szCs w:val="22"/>
        </w:rPr>
        <w:t>,</w:t>
      </w:r>
    </w:p>
    <w:p w14:paraId="04B8FBB2" w14:textId="77777777" w:rsidR="000C27E3"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w w:val="100"/>
          <w:sz w:val="22"/>
          <w:szCs w:val="22"/>
        </w:rPr>
      </w:pPr>
      <w:r w:rsidRPr="00173F0A">
        <w:rPr>
          <w:rFonts w:ascii="Arial" w:hAnsi="Arial" w:cs="Arial"/>
          <w:b/>
          <w:bCs/>
          <w:i/>
          <w:iCs/>
          <w:w w:val="100"/>
          <w:sz w:val="22"/>
          <w:szCs w:val="22"/>
        </w:rPr>
        <w:t>Disability assistance expenses</w:t>
      </w:r>
      <w:r w:rsidRPr="00173F0A">
        <w:rPr>
          <w:rFonts w:ascii="Arial" w:hAnsi="Arial" w:cs="Arial"/>
          <w:b/>
          <w:bCs/>
          <w:w w:val="100"/>
          <w:sz w:val="22"/>
          <w:szCs w:val="22"/>
        </w:rPr>
        <w:t xml:space="preserve">. </w:t>
      </w:r>
      <w:r w:rsidRPr="00173F0A">
        <w:rPr>
          <w:rFonts w:ascii="Arial" w:hAnsi="Arial" w:cs="Arial"/>
          <w:w w:val="100"/>
          <w:sz w:val="22"/>
          <w:szCs w:val="22"/>
        </w:rPr>
        <w:t>Reasonable expenses that are anticipated, during the period for which annual income is computed, for attendant care and auxiliary apparatus for a disabled family member, and that are necessary to enable a family member (including the disabled member) to be employed, provided that the expenses are neither paid to a member of the family nor reimbursed by an outside source.</w:t>
      </w:r>
    </w:p>
    <w:p w14:paraId="479C8433" w14:textId="77777777" w:rsidR="000C27E3"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w w:val="100"/>
          <w:sz w:val="22"/>
          <w:szCs w:val="22"/>
        </w:rPr>
      </w:pPr>
      <w:r w:rsidRPr="00173F0A">
        <w:rPr>
          <w:rFonts w:ascii="Arial" w:hAnsi="Arial" w:cs="Arial"/>
          <w:b/>
          <w:bCs/>
          <w:i/>
          <w:iCs/>
          <w:w w:val="100"/>
          <w:sz w:val="22"/>
          <w:szCs w:val="22"/>
        </w:rPr>
        <w:t>Disabled family.</w:t>
      </w:r>
      <w:r w:rsidRPr="00173F0A">
        <w:rPr>
          <w:rFonts w:ascii="Arial" w:hAnsi="Arial" w:cs="Arial"/>
          <w:w w:val="100"/>
          <w:sz w:val="22"/>
          <w:szCs w:val="22"/>
        </w:rPr>
        <w:t xml:space="preserve"> A family whose head, cohead, spouse, or sole member is a person with disabilities; two or more persons with disabilities living together; or one or more persons with disabilities living with one or more live-in aides.</w:t>
      </w:r>
    </w:p>
    <w:p w14:paraId="5A887CA1" w14:textId="77777777" w:rsidR="000C27E3"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w w:val="100"/>
          <w:sz w:val="22"/>
          <w:szCs w:val="22"/>
        </w:rPr>
      </w:pPr>
      <w:r w:rsidRPr="00173F0A">
        <w:rPr>
          <w:rFonts w:ascii="Arial" w:hAnsi="Arial" w:cs="Arial"/>
          <w:b/>
          <w:bCs/>
          <w:i/>
          <w:iCs/>
          <w:w w:val="100"/>
          <w:sz w:val="22"/>
          <w:szCs w:val="22"/>
        </w:rPr>
        <w:t>Disabled person.</w:t>
      </w:r>
      <w:r w:rsidRPr="00173F0A">
        <w:rPr>
          <w:rFonts w:ascii="Arial" w:hAnsi="Arial" w:cs="Arial"/>
          <w:w w:val="100"/>
          <w:sz w:val="22"/>
          <w:szCs w:val="22"/>
        </w:rPr>
        <w:t xml:space="preserve"> See person with disabilities.</w:t>
      </w:r>
    </w:p>
    <w:p w14:paraId="4122201A" w14:textId="77777777" w:rsidR="000C27E3"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w w:val="100"/>
          <w:sz w:val="22"/>
          <w:szCs w:val="22"/>
        </w:rPr>
      </w:pPr>
      <w:r w:rsidRPr="000E6C91">
        <w:rPr>
          <w:rFonts w:ascii="Arial" w:hAnsi="Arial" w:cs="Arial"/>
          <w:b/>
          <w:bCs/>
          <w:i/>
          <w:iCs/>
          <w:w w:val="100"/>
          <w:sz w:val="22"/>
          <w:szCs w:val="22"/>
        </w:rPr>
        <w:t>Disallowance.</w:t>
      </w:r>
      <w:r w:rsidRPr="00173F0A">
        <w:rPr>
          <w:rFonts w:ascii="Arial" w:hAnsi="Arial" w:cs="Arial"/>
          <w:w w:val="100"/>
          <w:sz w:val="22"/>
          <w:szCs w:val="22"/>
        </w:rPr>
        <w:t xml:space="preserve"> Exclusion from annual income. </w:t>
      </w:r>
    </w:p>
    <w:p w14:paraId="553669B3" w14:textId="77777777" w:rsidR="000C27E3"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w w:val="100"/>
          <w:sz w:val="22"/>
          <w:szCs w:val="22"/>
        </w:rPr>
      </w:pPr>
      <w:r w:rsidRPr="00173F0A">
        <w:rPr>
          <w:rFonts w:ascii="Arial" w:hAnsi="Arial" w:cs="Arial"/>
          <w:b/>
          <w:bCs/>
          <w:i/>
          <w:iCs/>
          <w:w w:val="100"/>
          <w:sz w:val="22"/>
          <w:szCs w:val="22"/>
        </w:rPr>
        <w:t>Displaced family.</w:t>
      </w:r>
      <w:r w:rsidRPr="00173F0A">
        <w:rPr>
          <w:rFonts w:ascii="Arial" w:hAnsi="Arial" w:cs="Arial"/>
          <w:w w:val="100"/>
          <w:sz w:val="22"/>
          <w:szCs w:val="22"/>
        </w:rPr>
        <w:t xml:space="preserve"> A family in which each member, or whose sole member, is a person displaced by governmental action, or a person whose dwelling has been extensively damaged or destroyed as a result of a disaster declared or otherwise formally recognized pursuant to federal disaster relief laws.</w:t>
      </w:r>
    </w:p>
    <w:p w14:paraId="2381D338" w14:textId="77777777" w:rsidR="000C27E3"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w w:val="100"/>
          <w:sz w:val="22"/>
          <w:szCs w:val="22"/>
        </w:rPr>
      </w:pPr>
      <w:r w:rsidRPr="00173F0A">
        <w:rPr>
          <w:rFonts w:ascii="Arial" w:hAnsi="Arial" w:cs="Arial"/>
          <w:b/>
          <w:bCs/>
          <w:i/>
          <w:iCs/>
          <w:w w:val="100"/>
          <w:sz w:val="22"/>
          <w:szCs w:val="22"/>
        </w:rPr>
        <w:t>Domestic violence.</w:t>
      </w:r>
      <w:r w:rsidRPr="00173F0A">
        <w:rPr>
          <w:rFonts w:ascii="Arial" w:hAnsi="Arial" w:cs="Arial"/>
          <w:w w:val="100"/>
          <w:sz w:val="22"/>
          <w:szCs w:val="22"/>
        </w:rPr>
        <w:t xml:space="preserve"> Felony or misdemeanor crimes committed by a current or former spouse or intimate partner of the victim under the family or domestic violence laws of the jurisdiction receiving grant funding, and in the case of victim services, includes the user or attempted use of physical abuse or sexual abuse, or a pattern of any other coercive behavior committed, enabled, or solicited to gain or maintain power and control over a victim, including verbal, psychological, economic, or technological abuse that may or may not constitute criminal behavior, by a person who is:</w:t>
      </w:r>
    </w:p>
    <w:p w14:paraId="4690C0FE" w14:textId="77777777" w:rsidR="000C27E3" w:rsidRPr="00173F0A" w:rsidRDefault="000C27E3" w:rsidP="007F177E">
      <w:pPr>
        <w:pStyle w:val="Bodywide-dash"/>
        <w:keepNext/>
        <w:numPr>
          <w:ilvl w:val="0"/>
          <w:numId w:val="197"/>
        </w:numPr>
        <w:tabs>
          <w:tab w:val="clear" w:pos="360"/>
          <w:tab w:val="clear" w:pos="540"/>
          <w:tab w:val="clear" w:pos="2880"/>
          <w:tab w:val="clear" w:pos="3600"/>
          <w:tab w:val="clear" w:pos="4320"/>
          <w:tab w:val="clear" w:pos="5040"/>
          <w:tab w:val="clear" w:pos="5760"/>
          <w:tab w:val="clear" w:pos="6480"/>
          <w:tab w:val="clear" w:pos="7200"/>
          <w:tab w:val="clear" w:pos="7920"/>
          <w:tab w:val="clear" w:pos="8640"/>
        </w:tabs>
        <w:spacing w:after="160" w:line="259" w:lineRule="auto"/>
        <w:jc w:val="both"/>
        <w:rPr>
          <w:w w:val="100"/>
          <w:sz w:val="22"/>
          <w:szCs w:val="22"/>
        </w:rPr>
      </w:pPr>
      <w:r w:rsidRPr="00173F0A">
        <w:rPr>
          <w:w w:val="100"/>
          <w:sz w:val="22"/>
          <w:szCs w:val="22"/>
        </w:rPr>
        <w:t>The current or former spouse or intimate partner of the victim, or person similarly situated to a spouse or intimate partner of the victim</w:t>
      </w:r>
      <w:r w:rsidR="00E04A68" w:rsidRPr="00173F0A">
        <w:rPr>
          <w:w w:val="100"/>
          <w:sz w:val="22"/>
          <w:szCs w:val="22"/>
        </w:rPr>
        <w:t>;</w:t>
      </w:r>
    </w:p>
    <w:p w14:paraId="3A48AC36" w14:textId="77777777" w:rsidR="000C27E3" w:rsidRPr="00173F0A" w:rsidRDefault="000C27E3" w:rsidP="007F177E">
      <w:pPr>
        <w:pStyle w:val="Bodywide-dash"/>
        <w:keepNext/>
        <w:numPr>
          <w:ilvl w:val="0"/>
          <w:numId w:val="197"/>
        </w:numPr>
        <w:tabs>
          <w:tab w:val="clear" w:pos="360"/>
          <w:tab w:val="clear" w:pos="540"/>
          <w:tab w:val="clear" w:pos="2880"/>
          <w:tab w:val="clear" w:pos="3600"/>
          <w:tab w:val="clear" w:pos="4320"/>
          <w:tab w:val="clear" w:pos="5040"/>
          <w:tab w:val="clear" w:pos="5760"/>
          <w:tab w:val="clear" w:pos="6480"/>
          <w:tab w:val="clear" w:pos="7200"/>
          <w:tab w:val="clear" w:pos="7920"/>
          <w:tab w:val="clear" w:pos="8640"/>
        </w:tabs>
        <w:spacing w:after="160" w:line="259" w:lineRule="auto"/>
        <w:jc w:val="both"/>
        <w:rPr>
          <w:w w:val="100"/>
          <w:sz w:val="22"/>
          <w:szCs w:val="22"/>
        </w:rPr>
      </w:pPr>
      <w:r w:rsidRPr="00173F0A">
        <w:rPr>
          <w:w w:val="100"/>
          <w:sz w:val="22"/>
          <w:szCs w:val="22"/>
        </w:rPr>
        <w:t>A person who is cohabitating or has cohabitated with the victim as a spouse or intimate partner</w:t>
      </w:r>
      <w:r w:rsidR="00E04A68" w:rsidRPr="00173F0A">
        <w:rPr>
          <w:w w:val="100"/>
          <w:sz w:val="22"/>
          <w:szCs w:val="22"/>
        </w:rPr>
        <w:t>;</w:t>
      </w:r>
    </w:p>
    <w:p w14:paraId="11036897" w14:textId="77777777" w:rsidR="000C27E3" w:rsidRPr="00173F0A" w:rsidRDefault="000C27E3" w:rsidP="007F177E">
      <w:pPr>
        <w:pStyle w:val="Bodywide-dash"/>
        <w:keepNext/>
        <w:numPr>
          <w:ilvl w:val="0"/>
          <w:numId w:val="197"/>
        </w:numPr>
        <w:tabs>
          <w:tab w:val="clear" w:pos="360"/>
          <w:tab w:val="clear" w:pos="540"/>
          <w:tab w:val="clear" w:pos="2880"/>
          <w:tab w:val="clear" w:pos="3600"/>
          <w:tab w:val="clear" w:pos="4320"/>
          <w:tab w:val="clear" w:pos="5040"/>
          <w:tab w:val="clear" w:pos="5760"/>
          <w:tab w:val="clear" w:pos="6480"/>
          <w:tab w:val="clear" w:pos="7200"/>
          <w:tab w:val="clear" w:pos="7920"/>
          <w:tab w:val="clear" w:pos="8640"/>
        </w:tabs>
        <w:spacing w:after="160" w:line="259" w:lineRule="auto"/>
        <w:jc w:val="both"/>
        <w:rPr>
          <w:w w:val="100"/>
          <w:sz w:val="22"/>
          <w:szCs w:val="22"/>
        </w:rPr>
      </w:pPr>
      <w:r w:rsidRPr="00173F0A">
        <w:rPr>
          <w:w w:val="100"/>
          <w:sz w:val="22"/>
          <w:szCs w:val="22"/>
        </w:rPr>
        <w:t>A person with whom the victim shares a child in common</w:t>
      </w:r>
      <w:r w:rsidR="00E04A68" w:rsidRPr="00173F0A">
        <w:rPr>
          <w:w w:val="100"/>
          <w:sz w:val="22"/>
          <w:szCs w:val="22"/>
        </w:rPr>
        <w:t>; and/or</w:t>
      </w:r>
    </w:p>
    <w:p w14:paraId="4AD01B95" w14:textId="77777777" w:rsidR="000C27E3" w:rsidRPr="00173F0A" w:rsidRDefault="000C27E3" w:rsidP="007F177E">
      <w:pPr>
        <w:pStyle w:val="Bodywide-dash"/>
        <w:keepNext/>
        <w:numPr>
          <w:ilvl w:val="0"/>
          <w:numId w:val="197"/>
        </w:numPr>
        <w:tabs>
          <w:tab w:val="clear" w:pos="360"/>
          <w:tab w:val="clear" w:pos="540"/>
          <w:tab w:val="clear" w:pos="2880"/>
          <w:tab w:val="clear" w:pos="3600"/>
          <w:tab w:val="clear" w:pos="4320"/>
          <w:tab w:val="clear" w:pos="5040"/>
          <w:tab w:val="clear" w:pos="5760"/>
          <w:tab w:val="clear" w:pos="6480"/>
          <w:tab w:val="clear" w:pos="7200"/>
          <w:tab w:val="clear" w:pos="7920"/>
          <w:tab w:val="clear" w:pos="8640"/>
        </w:tabs>
        <w:spacing w:after="160" w:line="259" w:lineRule="auto"/>
        <w:jc w:val="both"/>
        <w:rPr>
          <w:w w:val="100"/>
          <w:sz w:val="22"/>
          <w:szCs w:val="22"/>
        </w:rPr>
      </w:pPr>
      <w:r w:rsidRPr="00173F0A">
        <w:rPr>
          <w:w w:val="100"/>
          <w:sz w:val="22"/>
          <w:szCs w:val="22"/>
        </w:rPr>
        <w:t>A person who commits acts against a youth or adult victim who is protected from those acts under the domestic or family violence laws of the jurisdiction</w:t>
      </w:r>
      <w:r w:rsidR="00E04A68" w:rsidRPr="00173F0A">
        <w:rPr>
          <w:w w:val="100"/>
          <w:sz w:val="22"/>
          <w:szCs w:val="22"/>
        </w:rPr>
        <w:t>.</w:t>
      </w:r>
    </w:p>
    <w:p w14:paraId="2CBEFBD8" w14:textId="77777777" w:rsidR="00AA397A"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b/>
          <w:bCs/>
          <w:i/>
          <w:iCs/>
          <w:w w:val="100"/>
          <w:sz w:val="22"/>
          <w:szCs w:val="22"/>
        </w:rPr>
      </w:pPr>
      <w:r w:rsidRPr="00173F0A">
        <w:rPr>
          <w:rFonts w:ascii="Arial" w:hAnsi="Arial" w:cs="Arial"/>
          <w:b/>
          <w:bCs/>
          <w:i/>
          <w:iCs/>
          <w:w w:val="100"/>
          <w:sz w:val="22"/>
          <w:szCs w:val="22"/>
        </w:rPr>
        <w:t xml:space="preserve">Domicile. </w:t>
      </w:r>
      <w:r w:rsidRPr="00173F0A">
        <w:rPr>
          <w:rFonts w:ascii="Arial" w:hAnsi="Arial" w:cs="Arial"/>
          <w:w w:val="100"/>
          <w:sz w:val="22"/>
          <w:szCs w:val="22"/>
        </w:rPr>
        <w:t>The legal residence of the household head or spouse as determined in accordance with state and local law.</w:t>
      </w:r>
    </w:p>
    <w:p w14:paraId="35D069B5" w14:textId="77777777" w:rsidR="00AA397A"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b/>
          <w:bCs/>
          <w:i/>
          <w:iCs/>
          <w:w w:val="100"/>
          <w:sz w:val="22"/>
          <w:szCs w:val="22"/>
        </w:rPr>
      </w:pPr>
      <w:r w:rsidRPr="00173F0A">
        <w:rPr>
          <w:rFonts w:ascii="Arial" w:hAnsi="Arial" w:cs="Arial"/>
          <w:b/>
          <w:bCs/>
          <w:i/>
          <w:iCs/>
          <w:w w:val="100"/>
          <w:sz w:val="22"/>
          <w:szCs w:val="22"/>
        </w:rPr>
        <w:t>Drug-related criminal activity</w:t>
      </w:r>
      <w:r w:rsidRPr="00173F0A">
        <w:rPr>
          <w:rFonts w:ascii="Arial" w:hAnsi="Arial" w:cs="Arial"/>
          <w:b/>
          <w:i/>
          <w:iCs/>
          <w:w w:val="100"/>
          <w:sz w:val="22"/>
          <w:szCs w:val="22"/>
        </w:rPr>
        <w:t>.</w:t>
      </w:r>
      <w:r w:rsidRPr="00173F0A">
        <w:rPr>
          <w:rFonts w:ascii="Arial" w:hAnsi="Arial" w:cs="Arial"/>
          <w:i/>
          <w:iCs/>
          <w:w w:val="100"/>
          <w:sz w:val="22"/>
          <w:szCs w:val="22"/>
        </w:rPr>
        <w:t xml:space="preserve"> </w:t>
      </w:r>
      <w:r w:rsidRPr="00173F0A">
        <w:rPr>
          <w:rFonts w:ascii="Arial" w:hAnsi="Arial" w:cs="Arial"/>
          <w:w w:val="100"/>
          <w:sz w:val="22"/>
          <w:szCs w:val="22"/>
        </w:rPr>
        <w:t>The illegal manufacture, sale, distribution, or use of a drug, or the possession of a drug with intent to manufacture, sell, distribute, or use the drug</w:t>
      </w:r>
    </w:p>
    <w:p w14:paraId="17740F3C" w14:textId="77777777" w:rsidR="00AA397A"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b/>
          <w:bCs/>
          <w:i/>
          <w:iCs/>
          <w:w w:val="100"/>
          <w:sz w:val="22"/>
          <w:szCs w:val="22"/>
        </w:rPr>
      </w:pPr>
      <w:r w:rsidRPr="00173F0A">
        <w:rPr>
          <w:rFonts w:ascii="Arial" w:hAnsi="Arial" w:cs="Arial"/>
          <w:b/>
          <w:bCs/>
          <w:i/>
          <w:iCs/>
          <w:sz w:val="22"/>
          <w:szCs w:val="22"/>
        </w:rPr>
        <w:t>Earned income</w:t>
      </w:r>
      <w:r w:rsidRPr="00173F0A">
        <w:rPr>
          <w:rFonts w:ascii="Arial" w:hAnsi="Arial" w:cs="Arial"/>
          <w:bCs/>
          <w:iCs/>
          <w:sz w:val="22"/>
          <w:szCs w:val="22"/>
        </w:rPr>
        <w:t>. Income or earnings from wages, tips, salaries, other employee compensation, and net income from self-employment. Earned income does not include any pension or annuity, transfer payments (meaning payments made or income received in which no goods or services are being paid for, such as welfare, Social Security, and governmental subsidies for certain benefits), or any cash or in-kind benefits.</w:t>
      </w:r>
    </w:p>
    <w:p w14:paraId="5A793967" w14:textId="77777777" w:rsidR="000C27E3"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b/>
          <w:bCs/>
          <w:i/>
          <w:iCs/>
          <w:w w:val="100"/>
          <w:sz w:val="22"/>
          <w:szCs w:val="22"/>
        </w:rPr>
      </w:pPr>
      <w:r w:rsidRPr="00173F0A">
        <w:rPr>
          <w:rFonts w:ascii="Arial" w:hAnsi="Arial" w:cs="Arial"/>
          <w:b/>
          <w:bCs/>
          <w:i/>
          <w:iCs/>
          <w:w w:val="100"/>
          <w:sz w:val="22"/>
          <w:szCs w:val="22"/>
        </w:rPr>
        <w:t xml:space="preserve">Economic abuse. </w:t>
      </w:r>
      <w:r w:rsidRPr="00173F0A">
        <w:rPr>
          <w:rFonts w:ascii="Arial" w:hAnsi="Arial" w:cs="Arial"/>
          <w:w w:val="100"/>
          <w:sz w:val="22"/>
          <w:szCs w:val="22"/>
        </w:rPr>
        <w:t>Behavior that is coercive, deceptive, or unreasonably controls or restrains a person’s ability to acquire, use, or maintain economic resources to which they are entitle, including using coercion, fraud, and manipulation to:</w:t>
      </w:r>
    </w:p>
    <w:p w14:paraId="779BFEA1" w14:textId="77777777" w:rsidR="000C27E3" w:rsidRPr="00173F0A" w:rsidRDefault="000C27E3" w:rsidP="007F177E">
      <w:pPr>
        <w:pStyle w:val="Bodywide-dash"/>
        <w:keepNext/>
        <w:numPr>
          <w:ilvl w:val="0"/>
          <w:numId w:val="198"/>
        </w:numPr>
        <w:tabs>
          <w:tab w:val="clear" w:pos="360"/>
          <w:tab w:val="clear" w:pos="540"/>
          <w:tab w:val="clear" w:pos="2880"/>
          <w:tab w:val="clear" w:pos="3600"/>
          <w:tab w:val="clear" w:pos="4320"/>
          <w:tab w:val="clear" w:pos="5040"/>
          <w:tab w:val="clear" w:pos="5760"/>
          <w:tab w:val="clear" w:pos="6480"/>
          <w:tab w:val="clear" w:pos="7200"/>
          <w:tab w:val="clear" w:pos="7920"/>
          <w:tab w:val="clear" w:pos="8640"/>
        </w:tabs>
        <w:spacing w:after="160" w:line="259" w:lineRule="auto"/>
        <w:jc w:val="both"/>
        <w:rPr>
          <w:w w:val="100"/>
          <w:sz w:val="22"/>
          <w:szCs w:val="22"/>
        </w:rPr>
      </w:pPr>
      <w:r w:rsidRPr="00173F0A">
        <w:rPr>
          <w:w w:val="100"/>
          <w:sz w:val="22"/>
          <w:szCs w:val="22"/>
        </w:rPr>
        <w:t>Restrict a person’s access to money, assets, credit, or financial information</w:t>
      </w:r>
      <w:r w:rsidR="00E04A68" w:rsidRPr="00173F0A">
        <w:rPr>
          <w:w w:val="100"/>
          <w:sz w:val="22"/>
          <w:szCs w:val="22"/>
        </w:rPr>
        <w:t>;</w:t>
      </w:r>
    </w:p>
    <w:p w14:paraId="36845B01" w14:textId="77777777" w:rsidR="000C27E3" w:rsidRPr="00173F0A" w:rsidRDefault="000C27E3" w:rsidP="007F177E">
      <w:pPr>
        <w:pStyle w:val="Bodywide-dash"/>
        <w:keepNext/>
        <w:numPr>
          <w:ilvl w:val="0"/>
          <w:numId w:val="198"/>
        </w:numPr>
        <w:tabs>
          <w:tab w:val="clear" w:pos="360"/>
          <w:tab w:val="clear" w:pos="540"/>
          <w:tab w:val="clear" w:pos="2880"/>
          <w:tab w:val="clear" w:pos="3600"/>
          <w:tab w:val="clear" w:pos="4320"/>
          <w:tab w:val="clear" w:pos="5040"/>
          <w:tab w:val="clear" w:pos="5760"/>
          <w:tab w:val="clear" w:pos="6480"/>
          <w:tab w:val="clear" w:pos="7200"/>
          <w:tab w:val="clear" w:pos="7920"/>
          <w:tab w:val="clear" w:pos="8640"/>
        </w:tabs>
        <w:spacing w:after="160" w:line="259" w:lineRule="auto"/>
        <w:jc w:val="both"/>
        <w:rPr>
          <w:w w:val="100"/>
          <w:sz w:val="22"/>
          <w:szCs w:val="22"/>
        </w:rPr>
      </w:pPr>
      <w:r w:rsidRPr="00173F0A">
        <w:rPr>
          <w:w w:val="100"/>
          <w:sz w:val="22"/>
          <w:szCs w:val="22"/>
        </w:rPr>
        <w:t>Unfairly use a person’s personal economic resources, including money, assets, and credit, for one’s own advantage</w:t>
      </w:r>
      <w:r w:rsidR="00E04A68" w:rsidRPr="00173F0A">
        <w:rPr>
          <w:w w:val="100"/>
          <w:sz w:val="22"/>
          <w:szCs w:val="22"/>
        </w:rPr>
        <w:t>; and/or</w:t>
      </w:r>
    </w:p>
    <w:p w14:paraId="0EA3FA3A" w14:textId="77777777" w:rsidR="000C27E3" w:rsidRPr="00173F0A" w:rsidRDefault="000C27E3" w:rsidP="007F177E">
      <w:pPr>
        <w:pStyle w:val="Bodywide-dash"/>
        <w:numPr>
          <w:ilvl w:val="0"/>
          <w:numId w:val="198"/>
        </w:numPr>
        <w:tabs>
          <w:tab w:val="clear" w:pos="360"/>
          <w:tab w:val="clear" w:pos="540"/>
          <w:tab w:val="clear" w:pos="2880"/>
          <w:tab w:val="clear" w:pos="3600"/>
          <w:tab w:val="clear" w:pos="4320"/>
          <w:tab w:val="clear" w:pos="5040"/>
          <w:tab w:val="clear" w:pos="5760"/>
          <w:tab w:val="clear" w:pos="6480"/>
          <w:tab w:val="clear" w:pos="7200"/>
          <w:tab w:val="clear" w:pos="7920"/>
          <w:tab w:val="clear" w:pos="8640"/>
        </w:tabs>
        <w:spacing w:after="160" w:line="259" w:lineRule="auto"/>
        <w:jc w:val="both"/>
        <w:rPr>
          <w:w w:val="100"/>
          <w:sz w:val="22"/>
          <w:szCs w:val="22"/>
        </w:rPr>
      </w:pPr>
      <w:r w:rsidRPr="00173F0A">
        <w:rPr>
          <w:w w:val="100"/>
          <w:sz w:val="22"/>
          <w:szCs w:val="22"/>
        </w:rPr>
        <w:t>Exert undue influence over a person’s financial and economic behavior or decisions, including forcing default on joint or other financial obligations, exploiting powers of attorney, guardianship, or conservatorship, or to whom one has a fiduciary duty</w:t>
      </w:r>
      <w:r w:rsidR="00E04A68" w:rsidRPr="00173F0A">
        <w:rPr>
          <w:w w:val="100"/>
          <w:sz w:val="22"/>
          <w:szCs w:val="22"/>
        </w:rPr>
        <w:t>.</w:t>
      </w:r>
    </w:p>
    <w:p w14:paraId="43C333C6" w14:textId="77777777" w:rsidR="00AA397A"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w w:val="100"/>
          <w:sz w:val="22"/>
          <w:szCs w:val="22"/>
        </w:rPr>
      </w:pPr>
      <w:r w:rsidRPr="00173F0A">
        <w:rPr>
          <w:rFonts w:ascii="Arial" w:hAnsi="Arial" w:cs="Arial"/>
          <w:b/>
          <w:bCs/>
          <w:i/>
          <w:iCs/>
          <w:w w:val="100"/>
          <w:sz w:val="22"/>
          <w:szCs w:val="22"/>
        </w:rPr>
        <w:t>Economic self-sufficiency program.</w:t>
      </w:r>
      <w:r w:rsidRPr="00173F0A">
        <w:rPr>
          <w:rFonts w:ascii="Arial" w:hAnsi="Arial" w:cs="Arial"/>
          <w:w w:val="100"/>
          <w:sz w:val="22"/>
          <w:szCs w:val="22"/>
        </w:rPr>
        <w:t xml:space="preserve"> Any program designed to encourage, assist, train, or facilitate the economic independence of assisted families, or to provide work for such families. Can include job training, employment counseling, work placement, basic skills training, education, English proficiency, Workfare, financial or household management, apprenticeship, or any other program necessary to ready a participant to work (such as treatment for drug abuse or mental health treatment). Includes any work activities as defined in the Social Security Act (42 U.S.C. 607(d)). Also see 24 CFR 5.603(c).</w:t>
      </w:r>
    </w:p>
    <w:p w14:paraId="32A60F51" w14:textId="77777777" w:rsidR="00AA397A"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w w:val="100"/>
          <w:sz w:val="22"/>
          <w:szCs w:val="22"/>
        </w:rPr>
      </w:pPr>
      <w:r w:rsidRPr="00173F0A">
        <w:rPr>
          <w:rFonts w:ascii="Arial" w:hAnsi="Arial" w:cs="Arial"/>
          <w:b/>
          <w:bCs/>
          <w:i/>
          <w:iCs/>
          <w:w w:val="100"/>
          <w:sz w:val="22"/>
          <w:szCs w:val="22"/>
        </w:rPr>
        <w:t xml:space="preserve">Effective date. </w:t>
      </w:r>
      <w:r w:rsidRPr="00173F0A">
        <w:rPr>
          <w:rFonts w:ascii="Arial" w:hAnsi="Arial" w:cs="Arial"/>
          <w:bCs/>
          <w:iCs/>
          <w:w w:val="100"/>
          <w:sz w:val="22"/>
          <w:szCs w:val="22"/>
        </w:rPr>
        <w:t xml:space="preserve">The </w:t>
      </w:r>
      <w:r w:rsidRPr="00173F0A">
        <w:rPr>
          <w:rFonts w:ascii="Arial" w:hAnsi="Arial" w:cs="Arial"/>
          <w:bCs/>
          <w:i/>
          <w:w w:val="100"/>
          <w:sz w:val="22"/>
          <w:szCs w:val="22"/>
        </w:rPr>
        <w:t>effective date</w:t>
      </w:r>
      <w:r w:rsidRPr="00173F0A">
        <w:rPr>
          <w:rFonts w:ascii="Arial" w:hAnsi="Arial" w:cs="Arial"/>
          <w:bCs/>
          <w:iCs/>
          <w:w w:val="100"/>
          <w:sz w:val="22"/>
          <w:szCs w:val="22"/>
        </w:rPr>
        <w:t xml:space="preserve"> of an examination or reexamination refers to: (i) in the case of an examination for admission, the date of initial occupancy and (ii) in the case of reexamination of an existing tenant, the date the redetermined rent becomes effective.</w:t>
      </w:r>
    </w:p>
    <w:p w14:paraId="27A66ED8" w14:textId="77777777" w:rsidR="00AA397A"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w w:val="100"/>
          <w:sz w:val="22"/>
          <w:szCs w:val="22"/>
        </w:rPr>
      </w:pPr>
      <w:r w:rsidRPr="00173F0A">
        <w:rPr>
          <w:rFonts w:ascii="Arial" w:hAnsi="Arial" w:cs="Arial"/>
          <w:b/>
          <w:bCs/>
          <w:i/>
          <w:iCs/>
          <w:w w:val="100"/>
          <w:sz w:val="22"/>
          <w:szCs w:val="22"/>
        </w:rPr>
        <w:t>Elderly</w:t>
      </w:r>
      <w:r w:rsidRPr="00173F0A">
        <w:rPr>
          <w:rFonts w:ascii="Arial" w:hAnsi="Arial" w:cs="Arial"/>
          <w:i/>
          <w:iCs/>
          <w:w w:val="100"/>
          <w:sz w:val="22"/>
          <w:szCs w:val="22"/>
        </w:rPr>
        <w:t xml:space="preserve"> </w:t>
      </w:r>
      <w:r w:rsidRPr="00173F0A">
        <w:rPr>
          <w:rFonts w:ascii="Arial" w:hAnsi="Arial" w:cs="Arial"/>
          <w:b/>
          <w:bCs/>
          <w:i/>
          <w:iCs/>
          <w:w w:val="100"/>
          <w:sz w:val="22"/>
          <w:szCs w:val="22"/>
        </w:rPr>
        <w:t>family</w:t>
      </w:r>
      <w:r w:rsidRPr="00173F0A">
        <w:rPr>
          <w:rFonts w:ascii="Arial" w:hAnsi="Arial" w:cs="Arial"/>
          <w:b/>
          <w:w w:val="100"/>
          <w:sz w:val="22"/>
          <w:szCs w:val="22"/>
        </w:rPr>
        <w:t>.</w:t>
      </w:r>
      <w:r w:rsidRPr="00173F0A">
        <w:rPr>
          <w:rFonts w:ascii="Arial" w:hAnsi="Arial" w:cs="Arial"/>
          <w:w w:val="100"/>
          <w:sz w:val="22"/>
          <w:szCs w:val="22"/>
        </w:rPr>
        <w:t xml:space="preserve"> A family whose head, cohead, spouse, or sole member is a person who is at least 62 years of age; two or more persons who are at least 62 years of age living together; or one or more persons who are at least 62 years of age living with one or more live-in aides.</w:t>
      </w:r>
    </w:p>
    <w:p w14:paraId="36F714D5" w14:textId="77777777" w:rsidR="00AA397A"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w w:val="100"/>
          <w:sz w:val="22"/>
          <w:szCs w:val="22"/>
        </w:rPr>
      </w:pPr>
      <w:r w:rsidRPr="00173F0A">
        <w:rPr>
          <w:rFonts w:ascii="Arial" w:hAnsi="Arial" w:cs="Arial"/>
          <w:b/>
          <w:bCs/>
          <w:i/>
          <w:iCs/>
          <w:w w:val="100"/>
          <w:sz w:val="22"/>
          <w:szCs w:val="22"/>
        </w:rPr>
        <w:t>Elderly person</w:t>
      </w:r>
      <w:r w:rsidRPr="00173F0A">
        <w:rPr>
          <w:rFonts w:ascii="Arial" w:hAnsi="Arial" w:cs="Arial"/>
          <w:b/>
          <w:bCs/>
          <w:w w:val="100"/>
          <w:sz w:val="22"/>
          <w:szCs w:val="22"/>
        </w:rPr>
        <w:t xml:space="preserve">. </w:t>
      </w:r>
      <w:r w:rsidRPr="00173F0A">
        <w:rPr>
          <w:rFonts w:ascii="Arial" w:hAnsi="Arial" w:cs="Arial"/>
          <w:w w:val="100"/>
          <w:sz w:val="22"/>
          <w:szCs w:val="22"/>
        </w:rPr>
        <w:t>An individual who is at least 62 years of age.</w:t>
      </w:r>
    </w:p>
    <w:p w14:paraId="3FE70A58" w14:textId="77777777" w:rsidR="00AA397A"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w w:val="100"/>
          <w:sz w:val="22"/>
          <w:szCs w:val="22"/>
        </w:rPr>
      </w:pPr>
      <w:r w:rsidRPr="00173F0A">
        <w:rPr>
          <w:rFonts w:ascii="Arial" w:hAnsi="Arial" w:cs="Arial"/>
          <w:b/>
          <w:bCs/>
          <w:i/>
          <w:iCs/>
          <w:w w:val="100"/>
          <w:sz w:val="22"/>
          <w:szCs w:val="22"/>
        </w:rPr>
        <w:t>Eligible family</w:t>
      </w:r>
      <w:r w:rsidRPr="00173F0A">
        <w:rPr>
          <w:rFonts w:ascii="Arial" w:hAnsi="Arial" w:cs="Arial"/>
          <w:w w:val="100"/>
          <w:sz w:val="22"/>
          <w:szCs w:val="22"/>
        </w:rPr>
        <w:t xml:space="preserve"> (Family). A family that is income eligible and meets the other requirements of the 1937 Act and Part 5 of 24 CFR.</w:t>
      </w:r>
    </w:p>
    <w:p w14:paraId="1D849914" w14:textId="77777777" w:rsidR="00AA397A"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w w:val="100"/>
          <w:sz w:val="22"/>
          <w:szCs w:val="22"/>
        </w:rPr>
      </w:pPr>
      <w:r w:rsidRPr="00173F0A">
        <w:rPr>
          <w:rFonts w:ascii="Arial" w:hAnsi="Arial" w:cs="Arial"/>
          <w:b/>
          <w:bCs/>
          <w:i/>
          <w:iCs/>
          <w:w w:val="100"/>
          <w:sz w:val="22"/>
          <w:szCs w:val="22"/>
        </w:rPr>
        <w:t>Employer identification number (EIN)</w:t>
      </w:r>
      <w:r w:rsidRPr="00173F0A">
        <w:rPr>
          <w:rFonts w:ascii="Arial" w:hAnsi="Arial" w:cs="Arial"/>
          <w:b/>
          <w:bCs/>
          <w:w w:val="100"/>
          <w:sz w:val="22"/>
          <w:szCs w:val="22"/>
        </w:rPr>
        <w:t xml:space="preserve">. </w:t>
      </w:r>
      <w:r w:rsidRPr="00173F0A">
        <w:rPr>
          <w:rFonts w:ascii="Arial" w:hAnsi="Arial" w:cs="Arial"/>
          <w:w w:val="100"/>
          <w:sz w:val="22"/>
          <w:szCs w:val="22"/>
        </w:rPr>
        <w:t>The nine-digit taxpayer identifying number that is assigned to an individual, trust, estate, partnership, association, company, or corporation.</w:t>
      </w:r>
    </w:p>
    <w:p w14:paraId="02F15635" w14:textId="77777777" w:rsidR="00AA397A"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w w:val="100"/>
          <w:sz w:val="22"/>
          <w:szCs w:val="22"/>
        </w:rPr>
      </w:pPr>
      <w:r w:rsidRPr="00173F0A">
        <w:rPr>
          <w:rFonts w:ascii="Arial" w:hAnsi="Arial" w:cs="Arial"/>
          <w:b/>
          <w:bCs/>
          <w:i/>
          <w:iCs/>
          <w:w w:val="100"/>
          <w:sz w:val="22"/>
          <w:szCs w:val="22"/>
        </w:rPr>
        <w:t>Evidence of citizenship or eligible status</w:t>
      </w:r>
      <w:r w:rsidRPr="00173F0A">
        <w:rPr>
          <w:rFonts w:ascii="Arial" w:hAnsi="Arial" w:cs="Arial"/>
          <w:b/>
          <w:bCs/>
          <w:w w:val="100"/>
          <w:sz w:val="22"/>
          <w:szCs w:val="22"/>
        </w:rPr>
        <w:t>.</w:t>
      </w:r>
      <w:r w:rsidRPr="00173F0A">
        <w:rPr>
          <w:rFonts w:ascii="Arial" w:hAnsi="Arial" w:cs="Arial"/>
          <w:w w:val="100"/>
          <w:sz w:val="22"/>
          <w:szCs w:val="22"/>
        </w:rPr>
        <w:t xml:space="preserve"> The documents which must be submitted as evidence of citizenship or eligible immigration status. (See 24 CFR 5.508(b).) </w:t>
      </w:r>
    </w:p>
    <w:p w14:paraId="7F84DCBB" w14:textId="77777777" w:rsidR="00AA397A"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w w:val="100"/>
          <w:sz w:val="22"/>
          <w:szCs w:val="22"/>
        </w:rPr>
      </w:pPr>
      <w:r w:rsidRPr="00173F0A">
        <w:rPr>
          <w:rFonts w:ascii="Arial" w:hAnsi="Arial" w:cs="Arial"/>
          <w:b/>
          <w:bCs/>
          <w:i/>
          <w:iCs/>
          <w:w w:val="100"/>
          <w:sz w:val="22"/>
          <w:szCs w:val="22"/>
        </w:rPr>
        <w:t>Extremely low-income family.</w:t>
      </w:r>
      <w:r w:rsidRPr="00173F0A">
        <w:rPr>
          <w:rFonts w:ascii="Arial" w:hAnsi="Arial" w:cs="Arial"/>
          <w:w w:val="100"/>
          <w:sz w:val="22"/>
          <w:szCs w:val="22"/>
        </w:rPr>
        <w:t xml:space="preserve"> A family whose annual income does not exceed the federal poverty level or 30 percent of the median income for the area as determined by HUD, whichever number is higher, with adjustments for smaller and larger families.</w:t>
      </w:r>
      <w:r w:rsidRPr="00173F0A">
        <w:rPr>
          <w:rFonts w:ascii="Arial" w:hAnsi="Arial" w:cs="Arial"/>
          <w:i/>
          <w:iCs/>
          <w:w w:val="100"/>
          <w:sz w:val="22"/>
          <w:szCs w:val="22"/>
        </w:rPr>
        <w:t xml:space="preserve"> </w:t>
      </w:r>
      <w:r w:rsidRPr="00173F0A">
        <w:rPr>
          <w:rFonts w:ascii="Arial" w:hAnsi="Arial" w:cs="Arial"/>
          <w:w w:val="100"/>
          <w:sz w:val="22"/>
          <w:szCs w:val="22"/>
        </w:rPr>
        <w:t xml:space="preserve">HUD may establish income ceilings higher or lower than 30 percent of median income if HUD finds such variations are necessary due to unusually high or low family incomes. </w:t>
      </w:r>
      <w:r w:rsidRPr="00173F0A">
        <w:rPr>
          <w:rFonts w:ascii="Arial" w:hAnsi="Arial" w:cs="Arial"/>
          <w:iCs/>
          <w:w w:val="100"/>
          <w:sz w:val="22"/>
          <w:szCs w:val="22"/>
        </w:rPr>
        <w:t>(See 24</w:t>
      </w:r>
      <w:r w:rsidR="00E04A68" w:rsidRPr="00173F0A">
        <w:rPr>
          <w:rFonts w:ascii="Arial" w:hAnsi="Arial" w:cs="Arial"/>
          <w:iCs/>
          <w:w w:val="100"/>
          <w:sz w:val="22"/>
          <w:szCs w:val="22"/>
        </w:rPr>
        <w:t xml:space="preserve"> </w:t>
      </w:r>
      <w:r w:rsidRPr="00173F0A">
        <w:rPr>
          <w:rFonts w:ascii="Arial" w:hAnsi="Arial" w:cs="Arial"/>
          <w:iCs/>
          <w:w w:val="100"/>
          <w:sz w:val="22"/>
          <w:szCs w:val="22"/>
        </w:rPr>
        <w:t>CFR</w:t>
      </w:r>
      <w:r w:rsidR="00E04A68" w:rsidRPr="00173F0A">
        <w:rPr>
          <w:rFonts w:ascii="Arial" w:hAnsi="Arial" w:cs="Arial"/>
          <w:iCs/>
          <w:w w:val="100"/>
          <w:sz w:val="22"/>
          <w:szCs w:val="22"/>
        </w:rPr>
        <w:t xml:space="preserve"> </w:t>
      </w:r>
      <w:r w:rsidRPr="00173F0A">
        <w:rPr>
          <w:rFonts w:ascii="Arial" w:hAnsi="Arial" w:cs="Arial"/>
          <w:iCs/>
          <w:w w:val="100"/>
          <w:sz w:val="22"/>
          <w:szCs w:val="22"/>
        </w:rPr>
        <w:t>5.603.)</w:t>
      </w:r>
    </w:p>
    <w:p w14:paraId="2714FBF5" w14:textId="77777777" w:rsidR="00AA397A"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w w:val="100"/>
          <w:sz w:val="22"/>
          <w:szCs w:val="22"/>
        </w:rPr>
      </w:pPr>
      <w:r w:rsidRPr="00173F0A">
        <w:rPr>
          <w:rFonts w:ascii="Arial" w:hAnsi="Arial" w:cs="Arial"/>
          <w:b/>
          <w:bCs/>
          <w:i/>
          <w:iCs/>
          <w:w w:val="100"/>
          <w:sz w:val="22"/>
          <w:szCs w:val="22"/>
        </w:rPr>
        <w:t>Facility</w:t>
      </w:r>
      <w:r w:rsidRPr="00173F0A">
        <w:rPr>
          <w:rFonts w:ascii="Arial" w:hAnsi="Arial" w:cs="Arial"/>
          <w:b/>
          <w:i/>
          <w:iCs/>
          <w:w w:val="100"/>
          <w:sz w:val="22"/>
          <w:szCs w:val="22"/>
        </w:rPr>
        <w:t>.</w:t>
      </w:r>
      <w:r w:rsidRPr="00173F0A">
        <w:rPr>
          <w:rFonts w:ascii="Arial" w:hAnsi="Arial" w:cs="Arial"/>
          <w:w w:val="100"/>
          <w:sz w:val="22"/>
          <w:szCs w:val="22"/>
        </w:rPr>
        <w:t xml:space="preserve"> All or any portion of buildings, structures, equipment, roads, walks, parking lots, rolling stock, or other real or personal property or interest in the property.</w:t>
      </w:r>
    </w:p>
    <w:p w14:paraId="6B12A085" w14:textId="77777777" w:rsidR="00AA397A"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w w:val="100"/>
          <w:sz w:val="22"/>
          <w:szCs w:val="22"/>
        </w:rPr>
      </w:pPr>
      <w:r w:rsidRPr="00173F0A">
        <w:rPr>
          <w:rFonts w:ascii="Arial" w:hAnsi="Arial" w:cs="Arial"/>
          <w:b/>
          <w:bCs/>
          <w:i/>
          <w:iCs/>
          <w:w w:val="100"/>
          <w:sz w:val="22"/>
          <w:szCs w:val="22"/>
        </w:rPr>
        <w:t xml:space="preserve">Fair Housing Act. </w:t>
      </w:r>
      <w:r w:rsidRPr="00173F0A">
        <w:rPr>
          <w:rFonts w:ascii="Arial" w:hAnsi="Arial" w:cs="Arial"/>
          <w:i/>
          <w:iCs/>
          <w:w w:val="100"/>
          <w:sz w:val="22"/>
          <w:szCs w:val="22"/>
        </w:rPr>
        <w:t xml:space="preserve"> </w:t>
      </w:r>
      <w:r w:rsidRPr="00173F0A">
        <w:rPr>
          <w:rFonts w:ascii="Arial" w:hAnsi="Arial" w:cs="Arial"/>
          <w:w w:val="100"/>
          <w:sz w:val="22"/>
          <w:szCs w:val="22"/>
        </w:rPr>
        <w:t>Title VIII of the Civil Rights Act of 1968, as amended by the Fair Housing Amendments Act of 1988.</w:t>
      </w:r>
    </w:p>
    <w:p w14:paraId="44A50933" w14:textId="77777777" w:rsidR="00AA397A"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w w:val="100"/>
          <w:sz w:val="22"/>
          <w:szCs w:val="22"/>
        </w:rPr>
      </w:pPr>
      <w:r w:rsidRPr="00173F0A">
        <w:rPr>
          <w:rFonts w:ascii="Arial" w:hAnsi="Arial" w:cs="Arial"/>
          <w:b/>
          <w:bCs/>
          <w:i/>
          <w:iCs/>
          <w:w w:val="100"/>
          <w:sz w:val="22"/>
          <w:szCs w:val="22"/>
        </w:rPr>
        <w:t>Fair market rent (FMR)</w:t>
      </w:r>
      <w:r w:rsidRPr="00173F0A">
        <w:rPr>
          <w:rFonts w:ascii="Arial" w:hAnsi="Arial" w:cs="Arial"/>
          <w:b/>
          <w:bCs/>
          <w:w w:val="100"/>
          <w:sz w:val="22"/>
          <w:szCs w:val="22"/>
        </w:rPr>
        <w:t>.</w:t>
      </w:r>
      <w:r w:rsidRPr="00173F0A">
        <w:rPr>
          <w:rFonts w:ascii="Arial" w:hAnsi="Arial" w:cs="Arial"/>
          <w:w w:val="100"/>
          <w:sz w:val="22"/>
          <w:szCs w:val="22"/>
        </w:rPr>
        <w:t xml:space="preserve"> The rent, including the cost of utilities (except telephone), as established by HUD for units of varying sizes (by number of bedrooms), that must be paid in the housing market area to rent privately owned, existing, decent, safe, and sanitary rental housing of modest (non-luxury) nature with suitable amenities. See periodic publications in the </w:t>
      </w:r>
      <w:r w:rsidRPr="00173F0A">
        <w:rPr>
          <w:rFonts w:ascii="Arial" w:hAnsi="Arial" w:cs="Arial"/>
          <w:i/>
          <w:w w:val="100"/>
          <w:sz w:val="22"/>
          <w:szCs w:val="22"/>
        </w:rPr>
        <w:t>Federal Register</w:t>
      </w:r>
      <w:r w:rsidRPr="00173F0A">
        <w:rPr>
          <w:rFonts w:ascii="Arial" w:hAnsi="Arial" w:cs="Arial"/>
          <w:w w:val="100"/>
          <w:sz w:val="22"/>
          <w:szCs w:val="22"/>
        </w:rPr>
        <w:t xml:space="preserve"> in accordance with 24 CFR Part 888.</w:t>
      </w:r>
    </w:p>
    <w:p w14:paraId="0A5EBF2D" w14:textId="77777777" w:rsidR="000C27E3"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w w:val="100"/>
          <w:sz w:val="22"/>
          <w:szCs w:val="22"/>
        </w:rPr>
      </w:pPr>
      <w:r w:rsidRPr="00173F0A">
        <w:rPr>
          <w:rFonts w:ascii="Arial" w:hAnsi="Arial" w:cs="Arial"/>
          <w:b/>
          <w:bCs/>
          <w:i/>
          <w:iCs/>
          <w:w w:val="100"/>
          <w:sz w:val="22"/>
          <w:szCs w:val="22"/>
        </w:rPr>
        <w:t>Family</w:t>
      </w:r>
      <w:r w:rsidRPr="00173F0A">
        <w:rPr>
          <w:rFonts w:ascii="Arial" w:hAnsi="Arial" w:cs="Arial"/>
          <w:b/>
          <w:bCs/>
          <w:w w:val="100"/>
          <w:sz w:val="22"/>
          <w:szCs w:val="22"/>
        </w:rPr>
        <w:t>.</w:t>
      </w:r>
      <w:r w:rsidRPr="00173F0A">
        <w:rPr>
          <w:rFonts w:ascii="Arial" w:hAnsi="Arial" w:cs="Arial"/>
          <w:w w:val="100"/>
          <w:sz w:val="22"/>
          <w:szCs w:val="22"/>
        </w:rPr>
        <w:t xml:space="preserve"> Includes but is not limited to the following, regardless of actual or perceived sexual orientation, gender identity, or marital status, and can be further defined in PHA policy.</w:t>
      </w:r>
    </w:p>
    <w:p w14:paraId="6FD8C60F" w14:textId="77777777" w:rsidR="000C27E3" w:rsidRPr="00173F0A" w:rsidRDefault="000C27E3" w:rsidP="007F177E">
      <w:pPr>
        <w:pStyle w:val="Bodywide-dash"/>
        <w:keepNext/>
        <w:numPr>
          <w:ilvl w:val="0"/>
          <w:numId w:val="199"/>
        </w:numPr>
        <w:tabs>
          <w:tab w:val="clear" w:pos="360"/>
          <w:tab w:val="clear" w:pos="540"/>
          <w:tab w:val="clear" w:pos="2880"/>
          <w:tab w:val="clear" w:pos="3600"/>
          <w:tab w:val="clear" w:pos="4320"/>
          <w:tab w:val="clear" w:pos="5040"/>
          <w:tab w:val="clear" w:pos="5760"/>
          <w:tab w:val="clear" w:pos="6480"/>
          <w:tab w:val="clear" w:pos="7200"/>
          <w:tab w:val="clear" w:pos="7920"/>
          <w:tab w:val="clear" w:pos="8640"/>
        </w:tabs>
        <w:spacing w:after="160" w:line="259" w:lineRule="auto"/>
        <w:jc w:val="both"/>
        <w:rPr>
          <w:w w:val="100"/>
          <w:sz w:val="22"/>
          <w:szCs w:val="22"/>
        </w:rPr>
      </w:pPr>
      <w:r w:rsidRPr="00173F0A">
        <w:rPr>
          <w:w w:val="100"/>
          <w:sz w:val="22"/>
          <w:szCs w:val="22"/>
        </w:rPr>
        <w:t>A single person, who may be:</w:t>
      </w:r>
    </w:p>
    <w:p w14:paraId="6A332DCD" w14:textId="77777777" w:rsidR="000C27E3" w:rsidRPr="00173F0A" w:rsidRDefault="000C27E3" w:rsidP="007F177E">
      <w:pPr>
        <w:pStyle w:val="Bodywide-dash"/>
        <w:keepNext/>
        <w:numPr>
          <w:ilvl w:val="1"/>
          <w:numId w:val="201"/>
        </w:numPr>
        <w:tabs>
          <w:tab w:val="clear" w:pos="360"/>
          <w:tab w:val="clear" w:pos="540"/>
          <w:tab w:val="clear" w:pos="2880"/>
          <w:tab w:val="clear" w:pos="3600"/>
          <w:tab w:val="clear" w:pos="4320"/>
          <w:tab w:val="clear" w:pos="5040"/>
          <w:tab w:val="clear" w:pos="5760"/>
          <w:tab w:val="clear" w:pos="6480"/>
          <w:tab w:val="clear" w:pos="7200"/>
          <w:tab w:val="clear" w:pos="7920"/>
          <w:tab w:val="clear" w:pos="8640"/>
        </w:tabs>
        <w:spacing w:after="160" w:line="259" w:lineRule="auto"/>
        <w:jc w:val="both"/>
        <w:rPr>
          <w:w w:val="100"/>
          <w:sz w:val="22"/>
          <w:szCs w:val="22"/>
        </w:rPr>
      </w:pPr>
      <w:r w:rsidRPr="00173F0A">
        <w:rPr>
          <w:w w:val="100"/>
          <w:sz w:val="22"/>
          <w:szCs w:val="22"/>
        </w:rPr>
        <w:t>An elderly person, displaced person, disabled person, near-elderly person, or any other single person;</w:t>
      </w:r>
    </w:p>
    <w:p w14:paraId="4870F128" w14:textId="77777777" w:rsidR="000C27E3" w:rsidRPr="00173F0A" w:rsidRDefault="000C27E3" w:rsidP="007F177E">
      <w:pPr>
        <w:pStyle w:val="Bodywide-dash"/>
        <w:keepNext/>
        <w:numPr>
          <w:ilvl w:val="1"/>
          <w:numId w:val="201"/>
        </w:numPr>
        <w:tabs>
          <w:tab w:val="clear" w:pos="360"/>
          <w:tab w:val="clear" w:pos="540"/>
          <w:tab w:val="clear" w:pos="2880"/>
          <w:tab w:val="clear" w:pos="3600"/>
          <w:tab w:val="clear" w:pos="4320"/>
          <w:tab w:val="clear" w:pos="5040"/>
          <w:tab w:val="clear" w:pos="5760"/>
          <w:tab w:val="clear" w:pos="6480"/>
          <w:tab w:val="clear" w:pos="7200"/>
          <w:tab w:val="clear" w:pos="7920"/>
          <w:tab w:val="clear" w:pos="8640"/>
        </w:tabs>
        <w:spacing w:after="160" w:line="259" w:lineRule="auto"/>
        <w:jc w:val="both"/>
        <w:rPr>
          <w:w w:val="100"/>
          <w:sz w:val="22"/>
          <w:szCs w:val="22"/>
        </w:rPr>
      </w:pPr>
      <w:r w:rsidRPr="00173F0A">
        <w:rPr>
          <w:w w:val="100"/>
          <w:sz w:val="22"/>
          <w:szCs w:val="22"/>
        </w:rPr>
        <w:t>An otherwise eligible youth who has attained at least 18 years of age and not more than 24 years of age and who has left foster care, or will leave foster care within 90 days, in accordance with a transition plan described in section 475(5)(H) of the Social Security Act (42 U.S.C. 675(5)(H)), and is homeless or is at risk of becoming homeless at age 16 or older; or</w:t>
      </w:r>
    </w:p>
    <w:p w14:paraId="2FE063A6" w14:textId="77777777" w:rsidR="000C27E3" w:rsidRPr="00173F0A" w:rsidRDefault="000C27E3" w:rsidP="007F177E">
      <w:pPr>
        <w:pStyle w:val="Bodywide-dash"/>
        <w:keepNext/>
        <w:numPr>
          <w:ilvl w:val="0"/>
          <w:numId w:val="200"/>
        </w:numPr>
        <w:tabs>
          <w:tab w:val="clear" w:pos="360"/>
          <w:tab w:val="clear" w:pos="540"/>
          <w:tab w:val="clear" w:pos="2880"/>
          <w:tab w:val="clear" w:pos="3600"/>
          <w:tab w:val="clear" w:pos="4320"/>
          <w:tab w:val="clear" w:pos="5040"/>
          <w:tab w:val="clear" w:pos="5760"/>
          <w:tab w:val="clear" w:pos="6480"/>
          <w:tab w:val="clear" w:pos="7200"/>
          <w:tab w:val="clear" w:pos="7920"/>
          <w:tab w:val="clear" w:pos="8640"/>
        </w:tabs>
        <w:spacing w:after="160" w:line="259" w:lineRule="auto"/>
        <w:jc w:val="both"/>
        <w:rPr>
          <w:w w:val="100"/>
          <w:sz w:val="22"/>
          <w:szCs w:val="22"/>
        </w:rPr>
      </w:pPr>
      <w:r w:rsidRPr="00173F0A">
        <w:rPr>
          <w:w w:val="100"/>
          <w:sz w:val="22"/>
          <w:szCs w:val="22"/>
        </w:rPr>
        <w:t>A group of persons residing together, and such group includes, but is not limited to:</w:t>
      </w:r>
    </w:p>
    <w:p w14:paraId="4E5BA228" w14:textId="77777777" w:rsidR="000C27E3" w:rsidRPr="00173F0A" w:rsidRDefault="000C27E3" w:rsidP="007F177E">
      <w:pPr>
        <w:pStyle w:val="Bodywide-dash"/>
        <w:keepNext/>
        <w:numPr>
          <w:ilvl w:val="1"/>
          <w:numId w:val="201"/>
        </w:numPr>
        <w:tabs>
          <w:tab w:val="clear" w:pos="360"/>
          <w:tab w:val="clear" w:pos="540"/>
          <w:tab w:val="clear" w:pos="2880"/>
          <w:tab w:val="clear" w:pos="3600"/>
          <w:tab w:val="clear" w:pos="4320"/>
          <w:tab w:val="clear" w:pos="5040"/>
          <w:tab w:val="clear" w:pos="5760"/>
          <w:tab w:val="clear" w:pos="6480"/>
          <w:tab w:val="clear" w:pos="7200"/>
          <w:tab w:val="clear" w:pos="7920"/>
          <w:tab w:val="clear" w:pos="8640"/>
        </w:tabs>
        <w:spacing w:after="160" w:line="259" w:lineRule="auto"/>
        <w:jc w:val="both"/>
        <w:rPr>
          <w:w w:val="100"/>
          <w:sz w:val="22"/>
          <w:szCs w:val="22"/>
        </w:rPr>
      </w:pPr>
      <w:r w:rsidRPr="00173F0A">
        <w:rPr>
          <w:w w:val="100"/>
          <w:sz w:val="22"/>
          <w:szCs w:val="22"/>
        </w:rPr>
        <w:t>A family with or without children (a child who is temporarily away from the home because of placement in foster care is considered a member of the family);</w:t>
      </w:r>
    </w:p>
    <w:p w14:paraId="2C68C3FB" w14:textId="77777777" w:rsidR="000C27E3" w:rsidRPr="00173F0A" w:rsidRDefault="000C27E3" w:rsidP="007F177E">
      <w:pPr>
        <w:pStyle w:val="Bodywide-dash"/>
        <w:keepNext/>
        <w:numPr>
          <w:ilvl w:val="1"/>
          <w:numId w:val="201"/>
        </w:numPr>
        <w:tabs>
          <w:tab w:val="clear" w:pos="360"/>
          <w:tab w:val="clear" w:pos="540"/>
          <w:tab w:val="clear" w:pos="2880"/>
          <w:tab w:val="clear" w:pos="3600"/>
          <w:tab w:val="clear" w:pos="4320"/>
          <w:tab w:val="clear" w:pos="5040"/>
          <w:tab w:val="clear" w:pos="5760"/>
          <w:tab w:val="clear" w:pos="6480"/>
          <w:tab w:val="clear" w:pos="7200"/>
          <w:tab w:val="clear" w:pos="7920"/>
          <w:tab w:val="clear" w:pos="8640"/>
        </w:tabs>
        <w:spacing w:after="160" w:line="259" w:lineRule="auto"/>
        <w:jc w:val="both"/>
        <w:rPr>
          <w:w w:val="100"/>
          <w:sz w:val="22"/>
          <w:szCs w:val="22"/>
        </w:rPr>
      </w:pPr>
      <w:r w:rsidRPr="00173F0A">
        <w:rPr>
          <w:w w:val="100"/>
          <w:sz w:val="22"/>
          <w:szCs w:val="22"/>
        </w:rPr>
        <w:t>An elderly family;</w:t>
      </w:r>
    </w:p>
    <w:p w14:paraId="4A3339CB" w14:textId="77777777" w:rsidR="000C27E3" w:rsidRPr="00173F0A" w:rsidRDefault="000C27E3" w:rsidP="007F177E">
      <w:pPr>
        <w:pStyle w:val="Bodywide-dash"/>
        <w:keepNext/>
        <w:numPr>
          <w:ilvl w:val="1"/>
          <w:numId w:val="201"/>
        </w:numPr>
        <w:tabs>
          <w:tab w:val="clear" w:pos="360"/>
          <w:tab w:val="clear" w:pos="540"/>
          <w:tab w:val="clear" w:pos="2880"/>
          <w:tab w:val="clear" w:pos="3600"/>
          <w:tab w:val="clear" w:pos="4320"/>
          <w:tab w:val="clear" w:pos="5040"/>
          <w:tab w:val="clear" w:pos="5760"/>
          <w:tab w:val="clear" w:pos="6480"/>
          <w:tab w:val="clear" w:pos="7200"/>
          <w:tab w:val="clear" w:pos="7920"/>
          <w:tab w:val="clear" w:pos="8640"/>
        </w:tabs>
        <w:spacing w:after="160" w:line="259" w:lineRule="auto"/>
        <w:jc w:val="both"/>
        <w:rPr>
          <w:w w:val="100"/>
          <w:sz w:val="22"/>
          <w:szCs w:val="22"/>
        </w:rPr>
      </w:pPr>
      <w:r w:rsidRPr="00173F0A">
        <w:rPr>
          <w:w w:val="100"/>
          <w:sz w:val="22"/>
          <w:szCs w:val="22"/>
        </w:rPr>
        <w:t>A near-elderly family;</w:t>
      </w:r>
    </w:p>
    <w:p w14:paraId="2A3CF0C5" w14:textId="77777777" w:rsidR="000C27E3" w:rsidRPr="00173F0A" w:rsidRDefault="000C27E3" w:rsidP="007F177E">
      <w:pPr>
        <w:pStyle w:val="Bodywide-dash"/>
        <w:keepNext/>
        <w:numPr>
          <w:ilvl w:val="1"/>
          <w:numId w:val="201"/>
        </w:numPr>
        <w:tabs>
          <w:tab w:val="clear" w:pos="360"/>
          <w:tab w:val="clear" w:pos="540"/>
          <w:tab w:val="clear" w:pos="2880"/>
          <w:tab w:val="clear" w:pos="3600"/>
          <w:tab w:val="clear" w:pos="4320"/>
          <w:tab w:val="clear" w:pos="5040"/>
          <w:tab w:val="clear" w:pos="5760"/>
          <w:tab w:val="clear" w:pos="6480"/>
          <w:tab w:val="clear" w:pos="7200"/>
          <w:tab w:val="clear" w:pos="7920"/>
          <w:tab w:val="clear" w:pos="8640"/>
        </w:tabs>
        <w:spacing w:after="160" w:line="259" w:lineRule="auto"/>
        <w:jc w:val="both"/>
        <w:rPr>
          <w:w w:val="100"/>
          <w:sz w:val="22"/>
          <w:szCs w:val="22"/>
        </w:rPr>
      </w:pPr>
      <w:r w:rsidRPr="00173F0A">
        <w:rPr>
          <w:w w:val="100"/>
          <w:sz w:val="22"/>
          <w:szCs w:val="22"/>
        </w:rPr>
        <w:t>A disabled family;</w:t>
      </w:r>
    </w:p>
    <w:p w14:paraId="7EED8F1A" w14:textId="77777777" w:rsidR="000C27E3" w:rsidRPr="00173F0A" w:rsidRDefault="000C27E3" w:rsidP="007F177E">
      <w:pPr>
        <w:pStyle w:val="Bodywide-dash"/>
        <w:keepNext/>
        <w:numPr>
          <w:ilvl w:val="1"/>
          <w:numId w:val="201"/>
        </w:numPr>
        <w:tabs>
          <w:tab w:val="clear" w:pos="360"/>
          <w:tab w:val="clear" w:pos="540"/>
          <w:tab w:val="clear" w:pos="2880"/>
          <w:tab w:val="clear" w:pos="3600"/>
          <w:tab w:val="clear" w:pos="4320"/>
          <w:tab w:val="clear" w:pos="5040"/>
          <w:tab w:val="clear" w:pos="5760"/>
          <w:tab w:val="clear" w:pos="6480"/>
          <w:tab w:val="clear" w:pos="7200"/>
          <w:tab w:val="clear" w:pos="7920"/>
          <w:tab w:val="clear" w:pos="8640"/>
        </w:tabs>
        <w:spacing w:after="160" w:line="259" w:lineRule="auto"/>
        <w:jc w:val="both"/>
        <w:rPr>
          <w:w w:val="100"/>
          <w:sz w:val="22"/>
          <w:szCs w:val="22"/>
        </w:rPr>
      </w:pPr>
      <w:r w:rsidRPr="00173F0A">
        <w:rPr>
          <w:w w:val="100"/>
          <w:sz w:val="22"/>
          <w:szCs w:val="22"/>
        </w:rPr>
        <w:t>A displaced family; and</w:t>
      </w:r>
    </w:p>
    <w:p w14:paraId="7A97DAF8" w14:textId="77777777" w:rsidR="000C27E3" w:rsidRPr="00173F0A" w:rsidRDefault="000C27E3" w:rsidP="007F177E">
      <w:pPr>
        <w:pStyle w:val="Bodywide-dash"/>
        <w:keepNext/>
        <w:numPr>
          <w:ilvl w:val="1"/>
          <w:numId w:val="201"/>
        </w:numPr>
        <w:tabs>
          <w:tab w:val="clear" w:pos="360"/>
          <w:tab w:val="clear" w:pos="540"/>
          <w:tab w:val="clear" w:pos="2880"/>
          <w:tab w:val="clear" w:pos="3600"/>
          <w:tab w:val="clear" w:pos="4320"/>
          <w:tab w:val="clear" w:pos="5040"/>
          <w:tab w:val="clear" w:pos="5760"/>
          <w:tab w:val="clear" w:pos="6480"/>
          <w:tab w:val="clear" w:pos="7200"/>
          <w:tab w:val="clear" w:pos="7920"/>
          <w:tab w:val="clear" w:pos="8640"/>
        </w:tabs>
        <w:spacing w:after="160" w:line="259" w:lineRule="auto"/>
        <w:rPr>
          <w:w w:val="100"/>
          <w:sz w:val="22"/>
          <w:szCs w:val="22"/>
        </w:rPr>
      </w:pPr>
      <w:r w:rsidRPr="00173F0A">
        <w:rPr>
          <w:w w:val="100"/>
          <w:sz w:val="22"/>
          <w:szCs w:val="22"/>
        </w:rPr>
        <w:t>The remaining member of a tenant family.</w:t>
      </w:r>
    </w:p>
    <w:p w14:paraId="2EB8461E" w14:textId="77777777" w:rsidR="00154655" w:rsidRPr="00173F0A" w:rsidRDefault="00154655" w:rsidP="007F177E">
      <w:pPr>
        <w:pStyle w:val="Bodywide-dash"/>
        <w:keepNext/>
        <w:numPr>
          <w:ilvl w:val="0"/>
          <w:numId w:val="200"/>
        </w:numPr>
        <w:tabs>
          <w:tab w:val="clear" w:pos="360"/>
          <w:tab w:val="clear" w:pos="540"/>
          <w:tab w:val="clear" w:pos="2880"/>
          <w:tab w:val="clear" w:pos="3600"/>
          <w:tab w:val="clear" w:pos="4320"/>
          <w:tab w:val="clear" w:pos="5040"/>
          <w:tab w:val="clear" w:pos="5760"/>
          <w:tab w:val="clear" w:pos="6480"/>
          <w:tab w:val="clear" w:pos="7200"/>
          <w:tab w:val="clear" w:pos="7920"/>
          <w:tab w:val="clear" w:pos="8640"/>
        </w:tabs>
        <w:spacing w:after="160" w:line="259" w:lineRule="auto"/>
        <w:jc w:val="both"/>
        <w:rPr>
          <w:w w:val="100"/>
          <w:sz w:val="22"/>
          <w:szCs w:val="22"/>
        </w:rPr>
      </w:pPr>
      <w:r w:rsidRPr="00173F0A">
        <w:rPr>
          <w:w w:val="100"/>
          <w:sz w:val="22"/>
          <w:szCs w:val="22"/>
        </w:rPr>
        <w:t>A family also includes two or more individuals who are not related by blood, marriage, adoption, or other operation of law, but who either can demonstrate that they have lived together previously or certify that each individual’s income and other resources will be available to meet the needs of the family.</w:t>
      </w:r>
    </w:p>
    <w:p w14:paraId="6E66C7A2" w14:textId="77777777" w:rsidR="00154655"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w w:val="100"/>
          <w:sz w:val="22"/>
          <w:szCs w:val="22"/>
        </w:rPr>
      </w:pPr>
      <w:r w:rsidRPr="00173F0A">
        <w:rPr>
          <w:rFonts w:ascii="Arial" w:hAnsi="Arial" w:cs="Arial"/>
          <w:b/>
          <w:bCs/>
          <w:i/>
          <w:iCs/>
          <w:w w:val="100"/>
          <w:sz w:val="22"/>
          <w:szCs w:val="22"/>
        </w:rPr>
        <w:t>Family self-sufficiency program (FSS program).</w:t>
      </w:r>
      <w:r w:rsidRPr="00173F0A">
        <w:rPr>
          <w:rFonts w:ascii="Arial" w:hAnsi="Arial" w:cs="Arial"/>
          <w:w w:val="100"/>
          <w:sz w:val="22"/>
          <w:szCs w:val="22"/>
        </w:rPr>
        <w:t xml:space="preserve"> The program established by a PHA within its jurisdiction to promote self-sufficiency among participating families, including the coordination of supportive services to these families (24 CFR 984.103).</w:t>
      </w:r>
    </w:p>
    <w:p w14:paraId="780590C7" w14:textId="77777777" w:rsidR="00154655"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w w:val="100"/>
          <w:sz w:val="22"/>
          <w:szCs w:val="22"/>
        </w:rPr>
      </w:pPr>
      <w:r w:rsidRPr="00173F0A">
        <w:rPr>
          <w:rFonts w:ascii="Arial" w:hAnsi="Arial" w:cs="Arial"/>
          <w:b/>
          <w:bCs/>
          <w:i/>
          <w:iCs/>
          <w:w w:val="100"/>
          <w:sz w:val="22"/>
          <w:szCs w:val="22"/>
        </w:rPr>
        <w:t>Federal agency</w:t>
      </w:r>
      <w:r w:rsidRPr="00173F0A">
        <w:rPr>
          <w:rFonts w:ascii="Arial" w:hAnsi="Arial" w:cs="Arial"/>
          <w:b/>
          <w:bCs/>
          <w:w w:val="100"/>
          <w:sz w:val="22"/>
          <w:szCs w:val="22"/>
        </w:rPr>
        <w:t xml:space="preserve">. </w:t>
      </w:r>
      <w:r w:rsidRPr="00173F0A">
        <w:rPr>
          <w:rFonts w:ascii="Arial" w:hAnsi="Arial" w:cs="Arial"/>
          <w:w w:val="100"/>
          <w:sz w:val="22"/>
          <w:szCs w:val="22"/>
        </w:rPr>
        <w:t>A department of the executive branch of the federal government.</w:t>
      </w:r>
    </w:p>
    <w:p w14:paraId="0890171C" w14:textId="77777777" w:rsidR="00154655"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w w:val="100"/>
          <w:sz w:val="22"/>
          <w:szCs w:val="22"/>
        </w:rPr>
      </w:pPr>
      <w:r w:rsidRPr="00173F0A">
        <w:rPr>
          <w:rFonts w:ascii="Arial" w:hAnsi="Arial" w:cs="Arial"/>
          <w:b/>
          <w:bCs/>
          <w:i/>
          <w:iCs/>
          <w:w w:val="100"/>
          <w:sz w:val="22"/>
          <w:szCs w:val="22"/>
        </w:rPr>
        <w:t xml:space="preserve">Flat rent. </w:t>
      </w:r>
      <w:r w:rsidRPr="00173F0A">
        <w:rPr>
          <w:rFonts w:ascii="Arial" w:hAnsi="Arial" w:cs="Arial"/>
          <w:bCs/>
          <w:iCs/>
          <w:w w:val="100"/>
          <w:sz w:val="22"/>
          <w:szCs w:val="22"/>
        </w:rPr>
        <w:t>Rent that is based on the market rent charged for comparable units in the private unassisted rental market, set at no less than 80 percent of the current fair market rent (FMR), 80 percent of the small area fair market rent (SAFMR), or 80 percent of the unadjusted rent, with utility allowances applied as necessary. The unadjusted rent is the FMR estimated directly from source data that HUD uses to calculate FMRs in nonmetropolitan areas.</w:t>
      </w:r>
    </w:p>
    <w:p w14:paraId="1AD3478B" w14:textId="77777777" w:rsidR="00154655"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w w:val="100"/>
          <w:sz w:val="22"/>
          <w:szCs w:val="22"/>
        </w:rPr>
      </w:pPr>
      <w:r w:rsidRPr="00173F0A">
        <w:rPr>
          <w:rFonts w:ascii="Arial" w:hAnsi="Arial" w:cs="Arial"/>
          <w:b/>
          <w:bCs/>
          <w:i/>
          <w:iCs/>
          <w:color w:val="auto"/>
          <w:w w:val="100"/>
          <w:sz w:val="22"/>
          <w:szCs w:val="22"/>
        </w:rPr>
        <w:t xml:space="preserve">Foster adult. </w:t>
      </w:r>
      <w:r w:rsidRPr="00173F0A">
        <w:rPr>
          <w:rFonts w:ascii="Arial" w:hAnsi="Arial" w:cs="Arial"/>
          <w:color w:val="auto"/>
          <w:w w:val="100"/>
          <w:sz w:val="22"/>
          <w:szCs w:val="22"/>
        </w:rPr>
        <w:t>A member of the household who is 18 years of age or older and meets the definition of a foster adult under State law. In general, a foster adult is a person who is 18 years of age or older</w:t>
      </w:r>
      <w:r w:rsidRPr="00173F0A">
        <w:rPr>
          <w:rFonts w:ascii="Arial" w:hAnsi="Arial" w:cs="Arial"/>
          <w:w w:val="100"/>
          <w:sz w:val="22"/>
          <w:szCs w:val="22"/>
        </w:rPr>
        <w:t>, is unable to live independently due to a debilitating physical or mental condition and is placed with the family by an authorized placement agency or by judgment, decree, or other order of any court of competent jurisdiction.</w:t>
      </w:r>
    </w:p>
    <w:p w14:paraId="366C6614" w14:textId="77777777" w:rsidR="00154655"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w w:val="100"/>
          <w:sz w:val="22"/>
          <w:szCs w:val="22"/>
        </w:rPr>
      </w:pPr>
      <w:r w:rsidRPr="00173F0A">
        <w:rPr>
          <w:rFonts w:ascii="Arial" w:hAnsi="Arial" w:cs="Arial"/>
          <w:b/>
          <w:bCs/>
          <w:i/>
          <w:iCs/>
          <w:w w:val="100"/>
          <w:sz w:val="22"/>
          <w:szCs w:val="22"/>
        </w:rPr>
        <w:t xml:space="preserve">Foster child. </w:t>
      </w:r>
      <w:r w:rsidRPr="00173F0A">
        <w:rPr>
          <w:rFonts w:ascii="Arial" w:hAnsi="Arial" w:cs="Arial"/>
          <w:w w:val="100"/>
          <w:sz w:val="22"/>
          <w:szCs w:val="22"/>
        </w:rPr>
        <w:t>A member of the household who meets the definition of a foster child under State law. In general, a foster child is placed with the family by an authorized placement agency (e.g., public child welfare agency) or by judgment, decree, or other order of any court of competent jurisdiction.</w:t>
      </w:r>
    </w:p>
    <w:p w14:paraId="7794EB26" w14:textId="77777777" w:rsidR="00154655"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w w:val="100"/>
          <w:sz w:val="22"/>
          <w:szCs w:val="22"/>
        </w:rPr>
      </w:pPr>
      <w:r w:rsidRPr="00173F0A">
        <w:rPr>
          <w:rFonts w:ascii="Arial" w:hAnsi="Arial" w:cs="Arial"/>
          <w:b/>
          <w:bCs/>
          <w:i/>
          <w:iCs/>
          <w:w w:val="100"/>
          <w:sz w:val="22"/>
          <w:szCs w:val="22"/>
        </w:rPr>
        <w:t>Foster child care payment</w:t>
      </w:r>
      <w:r w:rsidRPr="00173F0A">
        <w:rPr>
          <w:rFonts w:ascii="Arial" w:hAnsi="Arial" w:cs="Arial"/>
          <w:b/>
          <w:bCs/>
          <w:w w:val="100"/>
          <w:sz w:val="22"/>
          <w:szCs w:val="22"/>
        </w:rPr>
        <w:t>.</w:t>
      </w:r>
      <w:r w:rsidRPr="00173F0A">
        <w:rPr>
          <w:rFonts w:ascii="Arial" w:hAnsi="Arial" w:cs="Arial"/>
          <w:w w:val="100"/>
          <w:sz w:val="22"/>
          <w:szCs w:val="22"/>
        </w:rPr>
        <w:t xml:space="preserve"> A payment to eligible households by state, local, or private agencies appointed by the state to administer payments for the care of foster children.</w:t>
      </w:r>
    </w:p>
    <w:p w14:paraId="270E0180" w14:textId="77777777" w:rsidR="00154655"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w w:val="100"/>
          <w:sz w:val="22"/>
          <w:szCs w:val="22"/>
        </w:rPr>
      </w:pPr>
      <w:r w:rsidRPr="00173F0A">
        <w:rPr>
          <w:rFonts w:ascii="Arial" w:hAnsi="Arial" w:cs="Arial"/>
          <w:b/>
          <w:bCs/>
          <w:i/>
          <w:iCs/>
          <w:w w:val="100"/>
          <w:sz w:val="22"/>
          <w:szCs w:val="22"/>
        </w:rPr>
        <w:t>Full-time student.</w:t>
      </w:r>
      <w:r w:rsidRPr="00173F0A">
        <w:rPr>
          <w:rFonts w:ascii="Arial" w:hAnsi="Arial" w:cs="Arial"/>
          <w:b/>
          <w:bCs/>
          <w:w w:val="100"/>
          <w:sz w:val="22"/>
          <w:szCs w:val="22"/>
        </w:rPr>
        <w:t xml:space="preserve"> </w:t>
      </w:r>
      <w:r w:rsidRPr="00173F0A">
        <w:rPr>
          <w:rFonts w:ascii="Arial" w:hAnsi="Arial" w:cs="Arial"/>
          <w:w w:val="100"/>
          <w:sz w:val="22"/>
          <w:szCs w:val="22"/>
        </w:rPr>
        <w:t xml:space="preserve">A person who is attending school or vocational training on a full-time basis (carrying a subject load that is considered full-time for day students under the standards and practices of the educational institution attended). (See 24 </w:t>
      </w:r>
      <w:r w:rsidRPr="00173F0A">
        <w:rPr>
          <w:rFonts w:ascii="Arial" w:hAnsi="Arial" w:cs="Arial"/>
          <w:iCs/>
          <w:w w:val="100"/>
          <w:sz w:val="22"/>
          <w:szCs w:val="22"/>
        </w:rPr>
        <w:t>CFR 5.603</w:t>
      </w:r>
      <w:r w:rsidRPr="00173F0A">
        <w:rPr>
          <w:rFonts w:ascii="Arial" w:hAnsi="Arial" w:cs="Arial"/>
          <w:w w:val="100"/>
          <w:sz w:val="22"/>
          <w:szCs w:val="22"/>
        </w:rPr>
        <w:t>)</w:t>
      </w:r>
    </w:p>
    <w:p w14:paraId="5F5C462B" w14:textId="77777777" w:rsidR="00154655"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w w:val="100"/>
          <w:sz w:val="22"/>
          <w:szCs w:val="22"/>
        </w:rPr>
      </w:pPr>
      <w:r w:rsidRPr="00173F0A">
        <w:rPr>
          <w:rFonts w:ascii="Arial" w:hAnsi="Arial" w:cs="Arial"/>
          <w:b/>
          <w:bCs/>
          <w:i/>
          <w:iCs/>
          <w:w w:val="100"/>
          <w:sz w:val="22"/>
          <w:szCs w:val="22"/>
        </w:rPr>
        <w:t xml:space="preserve">Gender identity. </w:t>
      </w:r>
      <w:r w:rsidRPr="00173F0A">
        <w:rPr>
          <w:rFonts w:ascii="Arial" w:hAnsi="Arial" w:cs="Arial"/>
          <w:bCs/>
          <w:iCs/>
          <w:w w:val="100"/>
          <w:sz w:val="22"/>
          <w:szCs w:val="22"/>
        </w:rPr>
        <w:t>Actual or perceived gender-related characteristics.</w:t>
      </w:r>
    </w:p>
    <w:p w14:paraId="71FCC213" w14:textId="77777777" w:rsidR="00154655"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w w:val="100"/>
          <w:sz w:val="22"/>
          <w:szCs w:val="22"/>
        </w:rPr>
      </w:pPr>
      <w:r w:rsidRPr="00173F0A">
        <w:rPr>
          <w:rFonts w:ascii="Arial" w:hAnsi="Arial" w:cs="Arial"/>
          <w:b/>
          <w:bCs/>
          <w:i/>
          <w:iCs/>
          <w:w w:val="100"/>
          <w:sz w:val="22"/>
          <w:szCs w:val="22"/>
        </w:rPr>
        <w:t>Handicap</w:t>
      </w:r>
      <w:r w:rsidRPr="00173F0A">
        <w:rPr>
          <w:rFonts w:ascii="Arial" w:hAnsi="Arial" w:cs="Arial"/>
          <w:b/>
          <w:w w:val="100"/>
          <w:sz w:val="22"/>
          <w:szCs w:val="22"/>
        </w:rPr>
        <w:t>.</w:t>
      </w:r>
      <w:r w:rsidRPr="00173F0A">
        <w:rPr>
          <w:rFonts w:ascii="Arial" w:hAnsi="Arial" w:cs="Arial"/>
          <w:w w:val="100"/>
          <w:sz w:val="22"/>
          <w:szCs w:val="22"/>
        </w:rPr>
        <w:t xml:space="preserve"> Any condition or characteristic that renders a person an individual with handicaps. (See </w:t>
      </w:r>
      <w:r w:rsidRPr="00173F0A">
        <w:rPr>
          <w:rFonts w:ascii="Arial" w:hAnsi="Arial" w:cs="Arial"/>
          <w:i/>
          <w:w w:val="100"/>
          <w:sz w:val="22"/>
          <w:szCs w:val="22"/>
        </w:rPr>
        <w:t>person with disabilities</w:t>
      </w:r>
      <w:r w:rsidRPr="00173F0A">
        <w:rPr>
          <w:rFonts w:ascii="Arial" w:hAnsi="Arial" w:cs="Arial"/>
          <w:w w:val="100"/>
          <w:sz w:val="22"/>
          <w:szCs w:val="22"/>
        </w:rPr>
        <w:t>.)</w:t>
      </w:r>
    </w:p>
    <w:p w14:paraId="08AE46AC" w14:textId="77777777" w:rsidR="00154655"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w w:val="100"/>
          <w:sz w:val="22"/>
          <w:szCs w:val="22"/>
        </w:rPr>
      </w:pPr>
      <w:r w:rsidRPr="00173F0A">
        <w:rPr>
          <w:rFonts w:ascii="Arial" w:hAnsi="Arial" w:cs="Arial"/>
          <w:b/>
          <w:bCs/>
          <w:i/>
          <w:iCs/>
          <w:w w:val="100"/>
          <w:sz w:val="22"/>
          <w:szCs w:val="22"/>
        </w:rPr>
        <w:t>Head of household</w:t>
      </w:r>
      <w:r w:rsidRPr="00173F0A">
        <w:rPr>
          <w:rFonts w:ascii="Arial" w:hAnsi="Arial" w:cs="Arial"/>
          <w:b/>
          <w:i/>
          <w:iCs/>
          <w:w w:val="100"/>
          <w:sz w:val="22"/>
          <w:szCs w:val="22"/>
        </w:rPr>
        <w:t>.</w:t>
      </w:r>
      <w:r w:rsidRPr="00173F0A">
        <w:rPr>
          <w:rFonts w:ascii="Arial" w:hAnsi="Arial" w:cs="Arial"/>
          <w:i/>
          <w:iCs/>
          <w:w w:val="100"/>
          <w:sz w:val="22"/>
          <w:szCs w:val="22"/>
        </w:rPr>
        <w:t xml:space="preserve"> </w:t>
      </w:r>
      <w:r w:rsidRPr="00173F0A">
        <w:rPr>
          <w:rFonts w:ascii="Arial" w:hAnsi="Arial" w:cs="Arial"/>
          <w:w w:val="100"/>
          <w:sz w:val="22"/>
          <w:szCs w:val="22"/>
        </w:rPr>
        <w:t>The adult member of the family who is the head of the household for purposes of determining income eligibility and rent.</w:t>
      </w:r>
    </w:p>
    <w:p w14:paraId="20D9DA07" w14:textId="77777777" w:rsidR="00154655"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w w:val="100"/>
          <w:sz w:val="22"/>
          <w:szCs w:val="22"/>
        </w:rPr>
      </w:pPr>
      <w:r w:rsidRPr="00173F0A">
        <w:rPr>
          <w:rFonts w:ascii="Arial" w:hAnsi="Arial" w:cs="Arial"/>
          <w:b/>
          <w:bCs/>
          <w:i/>
          <w:iCs/>
          <w:w w:val="100"/>
          <w:sz w:val="22"/>
          <w:szCs w:val="22"/>
        </w:rPr>
        <w:t xml:space="preserve">Health and medical care expenses. </w:t>
      </w:r>
      <w:r w:rsidRPr="00173F0A">
        <w:rPr>
          <w:rFonts w:ascii="Arial" w:hAnsi="Arial" w:cs="Arial"/>
          <w:w w:val="100"/>
          <w:sz w:val="22"/>
          <w:szCs w:val="22"/>
        </w:rPr>
        <w:t>Health and medical care expenses are any costs incurred in the diagnosis, cure, mitigation, treatment, or prevention of disease or payments for treatments affecting any structure or function of the body. Health and medical care expenses include medical insurance premiums and long-term care premiums that are paid or anticipated during the period for which annual income is computed.</w:t>
      </w:r>
    </w:p>
    <w:p w14:paraId="608DF218" w14:textId="77777777" w:rsidR="00154655"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w w:val="100"/>
          <w:sz w:val="22"/>
          <w:szCs w:val="22"/>
        </w:rPr>
      </w:pPr>
      <w:r w:rsidRPr="00173F0A">
        <w:rPr>
          <w:rFonts w:ascii="Arial" w:hAnsi="Arial" w:cs="Arial"/>
          <w:b/>
          <w:bCs/>
          <w:i/>
          <w:iCs/>
          <w:w w:val="100"/>
          <w:sz w:val="22"/>
          <w:szCs w:val="22"/>
        </w:rPr>
        <w:t xml:space="preserve">Household. </w:t>
      </w:r>
      <w:r w:rsidRPr="00173F0A">
        <w:rPr>
          <w:rFonts w:ascii="Arial" w:hAnsi="Arial" w:cs="Arial"/>
          <w:bCs/>
          <w:iCs/>
          <w:w w:val="100"/>
          <w:sz w:val="22"/>
          <w:szCs w:val="22"/>
        </w:rPr>
        <w:t>A household includes additional people other than the family who, with the PHA’s permission, live in an assisted unit, such as live-in aides, foster children, and foster adults.</w:t>
      </w:r>
    </w:p>
    <w:p w14:paraId="408D5B5C" w14:textId="77777777" w:rsidR="00154655"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w w:val="100"/>
          <w:sz w:val="22"/>
          <w:szCs w:val="22"/>
        </w:rPr>
      </w:pPr>
      <w:r w:rsidRPr="00173F0A">
        <w:rPr>
          <w:rFonts w:ascii="Arial" w:hAnsi="Arial" w:cs="Arial"/>
          <w:b/>
          <w:bCs/>
          <w:i/>
          <w:iCs/>
          <w:w w:val="100"/>
          <w:sz w:val="22"/>
          <w:szCs w:val="22"/>
        </w:rPr>
        <w:t xml:space="preserve">Housing agency (HA). </w:t>
      </w:r>
      <w:r w:rsidRPr="00173F0A">
        <w:rPr>
          <w:rFonts w:ascii="Arial" w:hAnsi="Arial" w:cs="Arial"/>
          <w:iCs/>
          <w:w w:val="100"/>
          <w:sz w:val="22"/>
          <w:szCs w:val="22"/>
        </w:rPr>
        <w:t xml:space="preserve">See </w:t>
      </w:r>
      <w:r w:rsidRPr="00173F0A">
        <w:rPr>
          <w:rFonts w:ascii="Arial" w:hAnsi="Arial" w:cs="Arial"/>
          <w:i/>
          <w:iCs/>
          <w:w w:val="100"/>
          <w:sz w:val="22"/>
          <w:szCs w:val="22"/>
        </w:rPr>
        <w:t>public housing agency.</w:t>
      </w:r>
    </w:p>
    <w:p w14:paraId="09F6ADB2" w14:textId="77777777" w:rsidR="00154655"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w w:val="100"/>
          <w:sz w:val="22"/>
          <w:szCs w:val="22"/>
        </w:rPr>
      </w:pPr>
      <w:r w:rsidRPr="00173F0A">
        <w:rPr>
          <w:rFonts w:ascii="Arial" w:hAnsi="Arial" w:cs="Arial"/>
          <w:b/>
          <w:bCs/>
          <w:i/>
          <w:iCs/>
          <w:w w:val="100"/>
          <w:sz w:val="22"/>
          <w:szCs w:val="22"/>
        </w:rPr>
        <w:t>HUD.</w:t>
      </w:r>
      <w:r w:rsidRPr="00173F0A">
        <w:rPr>
          <w:rFonts w:ascii="Arial" w:hAnsi="Arial" w:cs="Arial"/>
          <w:w w:val="100"/>
          <w:sz w:val="22"/>
          <w:szCs w:val="22"/>
        </w:rPr>
        <w:t xml:space="preserve"> The U.S. Department of Housing and Urban Development.</w:t>
      </w:r>
    </w:p>
    <w:p w14:paraId="57722DE6" w14:textId="77777777" w:rsidR="000C27E3"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w w:val="100"/>
          <w:sz w:val="22"/>
          <w:szCs w:val="22"/>
        </w:rPr>
      </w:pPr>
      <w:r w:rsidRPr="00173F0A">
        <w:rPr>
          <w:rFonts w:ascii="Arial" w:hAnsi="Arial" w:cs="Arial"/>
          <w:b/>
          <w:bCs/>
          <w:i/>
          <w:iCs/>
          <w:w w:val="100"/>
          <w:sz w:val="22"/>
          <w:szCs w:val="22"/>
        </w:rPr>
        <w:t xml:space="preserve">Human trafficking. </w:t>
      </w:r>
      <w:r w:rsidRPr="00173F0A">
        <w:rPr>
          <w:rFonts w:ascii="Arial" w:hAnsi="Arial" w:cs="Arial"/>
          <w:w w:val="100"/>
          <w:sz w:val="22"/>
          <w:szCs w:val="22"/>
        </w:rPr>
        <w:t xml:space="preserve">A crime involving the exploitation of a person for labor, services, or commercial sex. The </w:t>
      </w:r>
      <w:r w:rsidRPr="00173F0A">
        <w:rPr>
          <w:rFonts w:ascii="Arial" w:hAnsi="Arial" w:cs="Arial"/>
          <w:bCs/>
          <w:iCs/>
          <w:w w:val="100"/>
          <w:sz w:val="22"/>
          <w:szCs w:val="22"/>
        </w:rPr>
        <w:t>Trafficking</w:t>
      </w:r>
      <w:r w:rsidRPr="00173F0A">
        <w:rPr>
          <w:rFonts w:ascii="Arial" w:hAnsi="Arial" w:cs="Arial"/>
          <w:w w:val="100"/>
          <w:sz w:val="22"/>
          <w:szCs w:val="22"/>
        </w:rPr>
        <w:t xml:space="preserve"> Victims Protection Act of 2000 and its subsequent reauthorizations recognize and define two primary forms of human trafficking:</w:t>
      </w:r>
    </w:p>
    <w:p w14:paraId="5257BF26" w14:textId="77777777" w:rsidR="000C27E3" w:rsidRPr="00173F0A" w:rsidRDefault="000C27E3" w:rsidP="007F177E">
      <w:pPr>
        <w:pStyle w:val="Bodywide-dash"/>
        <w:keepNext/>
        <w:numPr>
          <w:ilvl w:val="0"/>
          <w:numId w:val="202"/>
        </w:numPr>
        <w:tabs>
          <w:tab w:val="clear" w:pos="360"/>
          <w:tab w:val="clear" w:pos="540"/>
          <w:tab w:val="clear" w:pos="2880"/>
          <w:tab w:val="clear" w:pos="3600"/>
          <w:tab w:val="clear" w:pos="4320"/>
          <w:tab w:val="clear" w:pos="5040"/>
          <w:tab w:val="clear" w:pos="5760"/>
          <w:tab w:val="clear" w:pos="6480"/>
          <w:tab w:val="clear" w:pos="7200"/>
          <w:tab w:val="clear" w:pos="7920"/>
          <w:tab w:val="clear" w:pos="8640"/>
        </w:tabs>
        <w:spacing w:after="160" w:line="259" w:lineRule="auto"/>
        <w:jc w:val="both"/>
        <w:rPr>
          <w:w w:val="100"/>
          <w:sz w:val="22"/>
          <w:szCs w:val="22"/>
        </w:rPr>
      </w:pPr>
      <w:r w:rsidRPr="00173F0A">
        <w:rPr>
          <w:w w:val="100"/>
          <w:sz w:val="22"/>
          <w:szCs w:val="22"/>
        </w:rPr>
        <w:t>Sex trafficking is the recruitment, harboring, transportation, provision, obtaining, patronizing, or soliciting of a person for the purpose of a commercial sex act in which a commercial sex act is induced by force, fraud, or coercion, or in which the person induced to perform such act has not attained 18 years of age. See 22 U.S.C. § 7102(11)(A).</w:t>
      </w:r>
    </w:p>
    <w:p w14:paraId="0B4CF28B" w14:textId="77777777" w:rsidR="000C27E3" w:rsidRPr="00173F0A" w:rsidRDefault="000C27E3" w:rsidP="007F177E">
      <w:pPr>
        <w:pStyle w:val="Bodywide-dash"/>
        <w:keepNext/>
        <w:numPr>
          <w:ilvl w:val="0"/>
          <w:numId w:val="202"/>
        </w:numPr>
        <w:tabs>
          <w:tab w:val="clear" w:pos="360"/>
          <w:tab w:val="clear" w:pos="540"/>
          <w:tab w:val="clear" w:pos="2880"/>
          <w:tab w:val="clear" w:pos="3600"/>
          <w:tab w:val="clear" w:pos="4320"/>
          <w:tab w:val="clear" w:pos="5040"/>
          <w:tab w:val="clear" w:pos="5760"/>
          <w:tab w:val="clear" w:pos="6480"/>
          <w:tab w:val="clear" w:pos="7200"/>
          <w:tab w:val="clear" w:pos="7920"/>
          <w:tab w:val="clear" w:pos="8640"/>
        </w:tabs>
        <w:spacing w:after="160" w:line="259" w:lineRule="auto"/>
        <w:jc w:val="both"/>
        <w:rPr>
          <w:w w:val="100"/>
          <w:sz w:val="22"/>
          <w:szCs w:val="22"/>
        </w:rPr>
      </w:pPr>
      <w:r w:rsidRPr="00173F0A">
        <w:rPr>
          <w:w w:val="100"/>
          <w:sz w:val="22"/>
          <w:szCs w:val="22"/>
        </w:rPr>
        <w:t>Forced labor is the recruitment, harboring, transportation, provision, or obtaining of a person for labor or services, through the use of force, fraud, or coercion for the purpose of subjection to involuntary servitude, peonage, debt bondage, or slavery. See 22 U.S.C. § 7102(11)(B).</w:t>
      </w:r>
    </w:p>
    <w:p w14:paraId="22017AE4" w14:textId="77777777" w:rsidR="00154655"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w w:val="100"/>
          <w:sz w:val="22"/>
          <w:szCs w:val="22"/>
        </w:rPr>
      </w:pPr>
      <w:r w:rsidRPr="00173F0A">
        <w:rPr>
          <w:rFonts w:ascii="Arial" w:hAnsi="Arial" w:cs="Arial"/>
          <w:b/>
          <w:bCs/>
          <w:i/>
          <w:iCs/>
          <w:w w:val="100"/>
          <w:sz w:val="22"/>
          <w:szCs w:val="22"/>
        </w:rPr>
        <w:t>Imputed asset.</w:t>
      </w:r>
      <w:r w:rsidRPr="00173F0A">
        <w:rPr>
          <w:rFonts w:ascii="Arial" w:hAnsi="Arial" w:cs="Arial"/>
          <w:w w:val="100"/>
          <w:sz w:val="22"/>
          <w:szCs w:val="22"/>
        </w:rPr>
        <w:t xml:space="preserve"> An asset disposed of for less than fair market value during the two years preceding examination or reexamination.</w:t>
      </w:r>
    </w:p>
    <w:p w14:paraId="2DD43FBE" w14:textId="77777777" w:rsidR="00154655"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w w:val="100"/>
          <w:sz w:val="22"/>
          <w:szCs w:val="22"/>
        </w:rPr>
      </w:pPr>
      <w:r w:rsidRPr="00173F0A">
        <w:rPr>
          <w:rFonts w:ascii="Arial" w:hAnsi="Arial" w:cs="Arial"/>
          <w:b/>
          <w:bCs/>
          <w:i/>
          <w:iCs/>
          <w:w w:val="100"/>
          <w:sz w:val="22"/>
          <w:szCs w:val="22"/>
        </w:rPr>
        <w:t xml:space="preserve">Imputed asset income. </w:t>
      </w:r>
      <w:r w:rsidRPr="00173F0A">
        <w:rPr>
          <w:rFonts w:ascii="Arial" w:hAnsi="Arial" w:cs="Arial"/>
          <w:w w:val="100"/>
          <w:sz w:val="22"/>
          <w:szCs w:val="22"/>
        </w:rPr>
        <w:t>When the value of net family assets exceeds $50,000 and the actual returns from a given asset cannot be calculated, imputed returns on the asset based on the current passbook savings rate, as determined by HUD.</w:t>
      </w:r>
    </w:p>
    <w:p w14:paraId="429E175E" w14:textId="77777777" w:rsidR="00154655"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w w:val="100"/>
          <w:sz w:val="22"/>
          <w:szCs w:val="22"/>
        </w:rPr>
      </w:pPr>
      <w:r w:rsidRPr="00173F0A">
        <w:rPr>
          <w:rFonts w:ascii="Arial" w:hAnsi="Arial" w:cs="Arial"/>
          <w:b/>
          <w:bCs/>
          <w:i/>
          <w:iCs/>
          <w:w w:val="100"/>
          <w:sz w:val="22"/>
          <w:szCs w:val="22"/>
        </w:rPr>
        <w:t>Imputed welfare income.</w:t>
      </w:r>
      <w:r w:rsidRPr="00173F0A">
        <w:rPr>
          <w:rFonts w:ascii="Arial" w:hAnsi="Arial" w:cs="Arial"/>
          <w:w w:val="100"/>
          <w:sz w:val="22"/>
          <w:szCs w:val="22"/>
        </w:rPr>
        <w:t xml:space="preserve"> An amount of annual income that is not actually received by a family as a result of a specified welfare benefit reduction but is included in the family’s annual income and therefore reflected in the family’s rental contribution.</w:t>
      </w:r>
    </w:p>
    <w:p w14:paraId="45F34598" w14:textId="77777777" w:rsidR="00154655"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w w:val="100"/>
          <w:sz w:val="22"/>
          <w:szCs w:val="22"/>
        </w:rPr>
      </w:pPr>
      <w:r w:rsidRPr="00173F0A">
        <w:rPr>
          <w:rFonts w:ascii="Arial" w:hAnsi="Arial" w:cs="Arial"/>
          <w:b/>
          <w:bCs/>
          <w:i/>
          <w:iCs/>
          <w:w w:val="100"/>
          <w:sz w:val="22"/>
          <w:szCs w:val="22"/>
        </w:rPr>
        <w:t xml:space="preserve">Income-based rent. </w:t>
      </w:r>
      <w:r w:rsidRPr="00173F0A">
        <w:rPr>
          <w:rFonts w:ascii="Arial" w:hAnsi="Arial" w:cs="Arial"/>
          <w:bCs/>
          <w:iCs/>
          <w:w w:val="100"/>
          <w:sz w:val="22"/>
          <w:szCs w:val="22"/>
        </w:rPr>
        <w:t>A tenant rent that is based on the family’s income and the PHA’s rent policies for determination of such rents.</w:t>
      </w:r>
    </w:p>
    <w:p w14:paraId="20C1A6E5" w14:textId="77777777" w:rsidR="000C27E3"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w w:val="100"/>
          <w:sz w:val="22"/>
          <w:szCs w:val="22"/>
        </w:rPr>
      </w:pPr>
      <w:r w:rsidRPr="00173F0A">
        <w:rPr>
          <w:rFonts w:ascii="Arial" w:hAnsi="Arial" w:cs="Arial"/>
          <w:b/>
          <w:bCs/>
          <w:i/>
          <w:iCs/>
          <w:w w:val="100"/>
          <w:sz w:val="22"/>
          <w:szCs w:val="22"/>
        </w:rPr>
        <w:t>Income information</w:t>
      </w:r>
      <w:r w:rsidRPr="00173F0A">
        <w:rPr>
          <w:rFonts w:ascii="Arial" w:hAnsi="Arial" w:cs="Arial"/>
          <w:w w:val="100"/>
          <w:sz w:val="22"/>
          <w:szCs w:val="22"/>
        </w:rPr>
        <w:t xml:space="preserve"> means information relating to an individual’s income, including: </w:t>
      </w:r>
    </w:p>
    <w:p w14:paraId="402C6E64" w14:textId="77777777" w:rsidR="000C27E3" w:rsidRPr="00173F0A" w:rsidRDefault="000C27E3" w:rsidP="007F177E">
      <w:pPr>
        <w:pStyle w:val="Bodywide-dash"/>
        <w:keepNext/>
        <w:numPr>
          <w:ilvl w:val="0"/>
          <w:numId w:val="203"/>
        </w:numPr>
        <w:tabs>
          <w:tab w:val="clear" w:pos="360"/>
          <w:tab w:val="clear" w:pos="540"/>
          <w:tab w:val="clear" w:pos="2880"/>
          <w:tab w:val="clear" w:pos="3600"/>
          <w:tab w:val="clear" w:pos="4320"/>
          <w:tab w:val="clear" w:pos="5040"/>
          <w:tab w:val="clear" w:pos="5760"/>
          <w:tab w:val="clear" w:pos="6480"/>
          <w:tab w:val="clear" w:pos="7200"/>
          <w:tab w:val="clear" w:pos="7920"/>
          <w:tab w:val="clear" w:pos="8640"/>
        </w:tabs>
        <w:spacing w:after="160" w:line="259" w:lineRule="auto"/>
        <w:jc w:val="both"/>
        <w:rPr>
          <w:w w:val="100"/>
          <w:sz w:val="22"/>
          <w:szCs w:val="22"/>
        </w:rPr>
      </w:pPr>
      <w:r w:rsidRPr="00173F0A">
        <w:rPr>
          <w:w w:val="100"/>
          <w:sz w:val="22"/>
          <w:szCs w:val="22"/>
        </w:rPr>
        <w:t>All employment income information known to current or previous employers or other income sources</w:t>
      </w:r>
      <w:r w:rsidR="003865EC">
        <w:rPr>
          <w:w w:val="100"/>
          <w:sz w:val="22"/>
          <w:szCs w:val="22"/>
        </w:rPr>
        <w:t>;</w:t>
      </w:r>
    </w:p>
    <w:p w14:paraId="0393CBF2" w14:textId="77777777" w:rsidR="000C27E3" w:rsidRPr="00173F0A" w:rsidRDefault="000C27E3" w:rsidP="007F177E">
      <w:pPr>
        <w:pStyle w:val="Bodywide-dash"/>
        <w:keepNext/>
        <w:numPr>
          <w:ilvl w:val="0"/>
          <w:numId w:val="203"/>
        </w:numPr>
        <w:tabs>
          <w:tab w:val="clear" w:pos="360"/>
          <w:tab w:val="clear" w:pos="540"/>
          <w:tab w:val="clear" w:pos="2880"/>
          <w:tab w:val="clear" w:pos="3600"/>
          <w:tab w:val="clear" w:pos="4320"/>
          <w:tab w:val="clear" w:pos="5040"/>
          <w:tab w:val="clear" w:pos="5760"/>
          <w:tab w:val="clear" w:pos="6480"/>
          <w:tab w:val="clear" w:pos="7200"/>
          <w:tab w:val="clear" w:pos="7920"/>
          <w:tab w:val="clear" w:pos="8640"/>
        </w:tabs>
        <w:spacing w:after="160" w:line="259" w:lineRule="auto"/>
        <w:jc w:val="both"/>
        <w:rPr>
          <w:w w:val="100"/>
          <w:sz w:val="22"/>
          <w:szCs w:val="22"/>
        </w:rPr>
      </w:pPr>
      <w:r w:rsidRPr="00173F0A">
        <w:rPr>
          <w:w w:val="100"/>
          <w:sz w:val="22"/>
          <w:szCs w:val="22"/>
        </w:rPr>
        <w:t>All information about wages, as defined in the state's unemployment compensation law, including any social security number; name of the employee; quarterly wages of the employee; and the name, full address, telephone number, and, when known, employer identification number of an employer reporting wages under a state unemployment compensation law</w:t>
      </w:r>
      <w:r w:rsidR="003865EC">
        <w:rPr>
          <w:w w:val="100"/>
          <w:sz w:val="22"/>
          <w:szCs w:val="22"/>
        </w:rPr>
        <w:t>;</w:t>
      </w:r>
    </w:p>
    <w:p w14:paraId="5803BFAE" w14:textId="77777777" w:rsidR="000C27E3" w:rsidRPr="00173F0A" w:rsidRDefault="000C27E3" w:rsidP="007F177E">
      <w:pPr>
        <w:pStyle w:val="Bodywide-dash"/>
        <w:keepNext/>
        <w:numPr>
          <w:ilvl w:val="0"/>
          <w:numId w:val="203"/>
        </w:numPr>
        <w:tabs>
          <w:tab w:val="clear" w:pos="360"/>
          <w:tab w:val="clear" w:pos="540"/>
          <w:tab w:val="clear" w:pos="2880"/>
          <w:tab w:val="clear" w:pos="3600"/>
          <w:tab w:val="clear" w:pos="4320"/>
          <w:tab w:val="clear" w:pos="5040"/>
          <w:tab w:val="clear" w:pos="5760"/>
          <w:tab w:val="clear" w:pos="6480"/>
          <w:tab w:val="clear" w:pos="7200"/>
          <w:tab w:val="clear" w:pos="7920"/>
          <w:tab w:val="clear" w:pos="8640"/>
        </w:tabs>
        <w:spacing w:after="160" w:line="259" w:lineRule="auto"/>
        <w:jc w:val="both"/>
        <w:rPr>
          <w:w w:val="100"/>
          <w:sz w:val="22"/>
          <w:szCs w:val="22"/>
        </w:rPr>
      </w:pPr>
      <w:r w:rsidRPr="00173F0A">
        <w:rPr>
          <w:w w:val="100"/>
          <w:sz w:val="22"/>
          <w:szCs w:val="22"/>
        </w:rPr>
        <w:t>Whether an individual is receiving, has received, or has applied for unemployment compensation, and the amount and the period received</w:t>
      </w:r>
      <w:r w:rsidR="003865EC">
        <w:rPr>
          <w:w w:val="100"/>
          <w:sz w:val="22"/>
          <w:szCs w:val="22"/>
        </w:rPr>
        <w:t>;</w:t>
      </w:r>
    </w:p>
    <w:p w14:paraId="22DD5BF7" w14:textId="77777777" w:rsidR="000C27E3" w:rsidRPr="00173F0A" w:rsidRDefault="000C27E3" w:rsidP="007F177E">
      <w:pPr>
        <w:pStyle w:val="Bodywide-dash"/>
        <w:keepNext/>
        <w:numPr>
          <w:ilvl w:val="0"/>
          <w:numId w:val="203"/>
        </w:numPr>
        <w:tabs>
          <w:tab w:val="clear" w:pos="360"/>
          <w:tab w:val="clear" w:pos="540"/>
          <w:tab w:val="clear" w:pos="2880"/>
          <w:tab w:val="clear" w:pos="3600"/>
          <w:tab w:val="clear" w:pos="4320"/>
          <w:tab w:val="clear" w:pos="5040"/>
          <w:tab w:val="clear" w:pos="5760"/>
          <w:tab w:val="clear" w:pos="6480"/>
          <w:tab w:val="clear" w:pos="7200"/>
          <w:tab w:val="clear" w:pos="7920"/>
          <w:tab w:val="clear" w:pos="8640"/>
        </w:tabs>
        <w:spacing w:after="160" w:line="259" w:lineRule="auto"/>
        <w:jc w:val="both"/>
        <w:rPr>
          <w:w w:val="100"/>
          <w:sz w:val="22"/>
          <w:szCs w:val="22"/>
        </w:rPr>
      </w:pPr>
      <w:r w:rsidRPr="00173F0A">
        <w:rPr>
          <w:w w:val="100"/>
          <w:sz w:val="22"/>
          <w:szCs w:val="22"/>
        </w:rPr>
        <w:t>Unearned IRS income and self-employment wages and retirement income</w:t>
      </w:r>
      <w:r w:rsidR="003865EC">
        <w:rPr>
          <w:w w:val="100"/>
          <w:sz w:val="22"/>
          <w:szCs w:val="22"/>
        </w:rPr>
        <w:t>;</w:t>
      </w:r>
    </w:p>
    <w:p w14:paraId="211DDFD5" w14:textId="77777777" w:rsidR="000C27E3" w:rsidRPr="00173F0A" w:rsidRDefault="000C27E3" w:rsidP="007F177E">
      <w:pPr>
        <w:pStyle w:val="Bodywide-dash"/>
        <w:keepNext/>
        <w:numPr>
          <w:ilvl w:val="0"/>
          <w:numId w:val="203"/>
        </w:numPr>
        <w:tabs>
          <w:tab w:val="clear" w:pos="360"/>
          <w:tab w:val="clear" w:pos="540"/>
          <w:tab w:val="clear" w:pos="2880"/>
          <w:tab w:val="clear" w:pos="3600"/>
          <w:tab w:val="clear" w:pos="4320"/>
          <w:tab w:val="clear" w:pos="5040"/>
          <w:tab w:val="clear" w:pos="5760"/>
          <w:tab w:val="clear" w:pos="6480"/>
          <w:tab w:val="clear" w:pos="7200"/>
          <w:tab w:val="clear" w:pos="7920"/>
          <w:tab w:val="clear" w:pos="8640"/>
        </w:tabs>
        <w:spacing w:after="160" w:line="259" w:lineRule="auto"/>
        <w:jc w:val="both"/>
        <w:rPr>
          <w:w w:val="100"/>
          <w:sz w:val="22"/>
          <w:szCs w:val="22"/>
        </w:rPr>
      </w:pPr>
      <w:r w:rsidRPr="00173F0A">
        <w:rPr>
          <w:w w:val="100"/>
          <w:sz w:val="22"/>
          <w:szCs w:val="22"/>
        </w:rPr>
        <w:t xml:space="preserve">Wage, </w:t>
      </w:r>
      <w:r w:rsidR="003865EC">
        <w:rPr>
          <w:w w:val="100"/>
          <w:sz w:val="22"/>
          <w:szCs w:val="22"/>
        </w:rPr>
        <w:t>S</w:t>
      </w:r>
      <w:r w:rsidRPr="00173F0A">
        <w:rPr>
          <w:w w:val="100"/>
          <w:sz w:val="22"/>
          <w:szCs w:val="22"/>
        </w:rPr>
        <w:t xml:space="preserve">ocial </w:t>
      </w:r>
      <w:r w:rsidR="003865EC">
        <w:rPr>
          <w:w w:val="100"/>
          <w:sz w:val="22"/>
          <w:szCs w:val="22"/>
        </w:rPr>
        <w:t>S</w:t>
      </w:r>
      <w:r w:rsidRPr="00173F0A">
        <w:rPr>
          <w:w w:val="100"/>
          <w:sz w:val="22"/>
          <w:szCs w:val="22"/>
        </w:rPr>
        <w:t xml:space="preserve">ecurity, and </w:t>
      </w:r>
      <w:r w:rsidR="003865EC">
        <w:rPr>
          <w:w w:val="100"/>
          <w:sz w:val="22"/>
          <w:szCs w:val="22"/>
        </w:rPr>
        <w:t>S</w:t>
      </w:r>
      <w:r w:rsidRPr="00173F0A">
        <w:rPr>
          <w:w w:val="100"/>
          <w:sz w:val="22"/>
          <w:szCs w:val="22"/>
        </w:rPr>
        <w:t xml:space="preserve">upplemental </w:t>
      </w:r>
      <w:r w:rsidR="003865EC">
        <w:rPr>
          <w:w w:val="100"/>
          <w:sz w:val="22"/>
          <w:szCs w:val="22"/>
        </w:rPr>
        <w:t>S</w:t>
      </w:r>
      <w:r w:rsidRPr="00173F0A">
        <w:rPr>
          <w:w w:val="100"/>
          <w:sz w:val="22"/>
          <w:szCs w:val="22"/>
        </w:rPr>
        <w:t xml:space="preserve">ecurity </w:t>
      </w:r>
      <w:r w:rsidR="003865EC">
        <w:rPr>
          <w:w w:val="100"/>
          <w:sz w:val="22"/>
          <w:szCs w:val="22"/>
        </w:rPr>
        <w:t>I</w:t>
      </w:r>
      <w:r w:rsidRPr="00173F0A">
        <w:rPr>
          <w:w w:val="100"/>
          <w:sz w:val="22"/>
          <w:szCs w:val="22"/>
        </w:rPr>
        <w:t>ncome data obtained from the Social Security Administration.</w:t>
      </w:r>
    </w:p>
    <w:p w14:paraId="1220C4B3" w14:textId="77777777" w:rsidR="00154655"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w w:val="100"/>
          <w:sz w:val="22"/>
          <w:szCs w:val="22"/>
        </w:rPr>
      </w:pPr>
      <w:r w:rsidRPr="00173F0A">
        <w:rPr>
          <w:rFonts w:ascii="Arial" w:hAnsi="Arial" w:cs="Arial"/>
          <w:b/>
          <w:bCs/>
          <w:i/>
          <w:iCs/>
          <w:w w:val="100"/>
          <w:sz w:val="22"/>
          <w:szCs w:val="22"/>
        </w:rPr>
        <w:t>Income Validation Tool (IVT)</w:t>
      </w:r>
      <w:r w:rsidR="00154655" w:rsidRPr="00173F0A">
        <w:rPr>
          <w:rFonts w:ascii="Arial" w:hAnsi="Arial" w:cs="Arial"/>
          <w:b/>
          <w:bCs/>
          <w:i/>
          <w:iCs/>
          <w:w w:val="100"/>
          <w:sz w:val="22"/>
          <w:szCs w:val="22"/>
        </w:rPr>
        <w:t>.</w:t>
      </w:r>
      <w:r w:rsidRPr="00173F0A">
        <w:rPr>
          <w:rFonts w:ascii="Arial" w:hAnsi="Arial" w:cs="Arial"/>
          <w:w w:val="100"/>
          <w:sz w:val="22"/>
          <w:szCs w:val="22"/>
        </w:rPr>
        <w:t xml:space="preserve"> Accessible through HUD's EIV system, provides validation of tenant reported wages, unemployment compensation, and Social Security benefits by comparing the income reported in IMS-PIC via form HUD-50058 to information received from the Department of Health and Human Services’ (HHS) National Directory of New Hires (NDNH), and the Social Security Administration (SSA) data sharing agreements.</w:t>
      </w:r>
    </w:p>
    <w:p w14:paraId="0E26C419" w14:textId="77777777" w:rsidR="00FE5F3B"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w w:val="100"/>
          <w:sz w:val="22"/>
          <w:szCs w:val="22"/>
        </w:rPr>
      </w:pPr>
      <w:r w:rsidRPr="00173F0A">
        <w:rPr>
          <w:rFonts w:ascii="Arial" w:hAnsi="Arial" w:cs="Arial"/>
          <w:b/>
          <w:bCs/>
          <w:i/>
          <w:iCs/>
          <w:w w:val="100"/>
          <w:sz w:val="22"/>
          <w:szCs w:val="22"/>
        </w:rPr>
        <w:t xml:space="preserve">Independent contractor. </w:t>
      </w:r>
      <w:r w:rsidRPr="00173F0A">
        <w:rPr>
          <w:rFonts w:ascii="Arial" w:hAnsi="Arial" w:cs="Arial"/>
          <w:w w:val="100"/>
          <w:sz w:val="22"/>
          <w:szCs w:val="22"/>
        </w:rPr>
        <w:t>An individual who qualifies as an independent contractor instead of an employee in accordance with the Internal Revenue Code Federal income tax requirements and whose earnings are consequently subject to the Self-Employment Tax. In general, an individual is an independent contractor if the payer has the right to control or direct only the result of the work and not what will be done and how it will be done.</w:t>
      </w:r>
    </w:p>
    <w:p w14:paraId="003DA7FC" w14:textId="77777777" w:rsidR="00FE5F3B"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w w:val="100"/>
          <w:sz w:val="22"/>
          <w:szCs w:val="22"/>
        </w:rPr>
      </w:pPr>
      <w:r w:rsidRPr="00173F0A">
        <w:rPr>
          <w:rFonts w:ascii="Arial" w:hAnsi="Arial" w:cs="Arial"/>
          <w:b/>
          <w:bCs/>
          <w:i/>
          <w:iCs/>
          <w:w w:val="100"/>
          <w:sz w:val="22"/>
          <w:szCs w:val="22"/>
        </w:rPr>
        <w:t>Individual with handicaps</w:t>
      </w:r>
      <w:r w:rsidRPr="00173F0A">
        <w:rPr>
          <w:rFonts w:ascii="Arial" w:hAnsi="Arial" w:cs="Arial"/>
          <w:b/>
          <w:bCs/>
          <w:w w:val="100"/>
          <w:sz w:val="22"/>
          <w:szCs w:val="22"/>
        </w:rPr>
        <w:t xml:space="preserve">. </w:t>
      </w:r>
      <w:r w:rsidRPr="00173F0A">
        <w:rPr>
          <w:rFonts w:ascii="Arial" w:hAnsi="Arial" w:cs="Arial"/>
          <w:w w:val="100"/>
          <w:sz w:val="22"/>
          <w:szCs w:val="22"/>
        </w:rPr>
        <w:t xml:space="preserve">See </w:t>
      </w:r>
      <w:r w:rsidRPr="00173F0A">
        <w:rPr>
          <w:rFonts w:ascii="Arial" w:hAnsi="Arial" w:cs="Arial"/>
          <w:i/>
          <w:w w:val="100"/>
          <w:sz w:val="22"/>
          <w:szCs w:val="22"/>
        </w:rPr>
        <w:t>person with disabilities.</w:t>
      </w:r>
    </w:p>
    <w:p w14:paraId="58622B2A" w14:textId="77777777" w:rsidR="00FE5F3B"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w w:val="100"/>
          <w:sz w:val="22"/>
          <w:szCs w:val="22"/>
        </w:rPr>
      </w:pPr>
      <w:r w:rsidRPr="00173F0A">
        <w:rPr>
          <w:rFonts w:ascii="Arial" w:hAnsi="Arial" w:cs="Arial"/>
          <w:b/>
          <w:bCs/>
          <w:i/>
          <w:iCs/>
          <w:w w:val="100"/>
          <w:sz w:val="22"/>
          <w:szCs w:val="22"/>
        </w:rPr>
        <w:t>Jurisdiction</w:t>
      </w:r>
      <w:r w:rsidRPr="00173F0A">
        <w:rPr>
          <w:rFonts w:ascii="Arial" w:hAnsi="Arial" w:cs="Arial"/>
          <w:b/>
          <w:w w:val="100"/>
          <w:sz w:val="22"/>
          <w:szCs w:val="22"/>
        </w:rPr>
        <w:t>.</w:t>
      </w:r>
      <w:r w:rsidRPr="00173F0A">
        <w:rPr>
          <w:rFonts w:ascii="Arial" w:hAnsi="Arial" w:cs="Arial"/>
          <w:w w:val="100"/>
          <w:sz w:val="22"/>
          <w:szCs w:val="22"/>
        </w:rPr>
        <w:t xml:space="preserve"> The area in which the PHA has authority under state and local law to administer the program.</w:t>
      </w:r>
    </w:p>
    <w:p w14:paraId="491EC213" w14:textId="77777777" w:rsidR="00FE5F3B"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w w:val="100"/>
          <w:sz w:val="22"/>
          <w:szCs w:val="22"/>
        </w:rPr>
      </w:pPr>
      <w:r w:rsidRPr="00173F0A">
        <w:rPr>
          <w:rFonts w:ascii="Arial" w:hAnsi="Arial" w:cs="Arial"/>
          <w:b/>
          <w:bCs/>
          <w:i/>
          <w:iCs/>
          <w:w w:val="100"/>
          <w:sz w:val="22"/>
          <w:szCs w:val="22"/>
        </w:rPr>
        <w:t>Lease</w:t>
      </w:r>
      <w:r w:rsidRPr="00173F0A">
        <w:rPr>
          <w:rFonts w:ascii="Arial" w:hAnsi="Arial" w:cs="Arial"/>
          <w:b/>
          <w:w w:val="100"/>
          <w:sz w:val="22"/>
          <w:szCs w:val="22"/>
        </w:rPr>
        <w:t>.</w:t>
      </w:r>
      <w:r w:rsidRPr="00173F0A">
        <w:rPr>
          <w:rFonts w:ascii="Arial" w:hAnsi="Arial" w:cs="Arial"/>
          <w:w w:val="100"/>
          <w:sz w:val="22"/>
          <w:szCs w:val="22"/>
        </w:rPr>
        <w:t xml:space="preserve"> A written agreement between the PHA and  a tenant family for the leasing a  public housing unit. The lease establishes the legal relationship between the PHA and the tenant</w:t>
      </w:r>
      <w:r w:rsidR="00FE5F3B" w:rsidRPr="00173F0A">
        <w:rPr>
          <w:rFonts w:ascii="Arial" w:hAnsi="Arial" w:cs="Arial"/>
          <w:w w:val="100"/>
          <w:sz w:val="22"/>
          <w:szCs w:val="22"/>
        </w:rPr>
        <w:t xml:space="preserve"> </w:t>
      </w:r>
      <w:r w:rsidRPr="00173F0A">
        <w:rPr>
          <w:rFonts w:ascii="Arial" w:hAnsi="Arial" w:cs="Arial"/>
          <w:w w:val="100"/>
          <w:sz w:val="22"/>
          <w:szCs w:val="22"/>
        </w:rPr>
        <w:t>family.</w:t>
      </w:r>
    </w:p>
    <w:p w14:paraId="3C0836A2" w14:textId="77777777" w:rsidR="000C27E3"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w w:val="100"/>
          <w:sz w:val="22"/>
          <w:szCs w:val="22"/>
        </w:rPr>
      </w:pPr>
      <w:r w:rsidRPr="00173F0A">
        <w:rPr>
          <w:rFonts w:ascii="Arial" w:hAnsi="Arial" w:cs="Arial"/>
          <w:b/>
          <w:bCs/>
          <w:i/>
          <w:iCs/>
          <w:w w:val="100"/>
          <w:sz w:val="22"/>
          <w:szCs w:val="22"/>
        </w:rPr>
        <w:t>Live-in aide</w:t>
      </w:r>
      <w:r w:rsidRPr="00173F0A">
        <w:rPr>
          <w:rFonts w:ascii="Arial" w:hAnsi="Arial" w:cs="Arial"/>
          <w:b/>
          <w:w w:val="100"/>
          <w:sz w:val="22"/>
          <w:szCs w:val="22"/>
        </w:rPr>
        <w:t>.</w:t>
      </w:r>
      <w:r w:rsidRPr="00173F0A">
        <w:rPr>
          <w:rFonts w:ascii="Arial" w:hAnsi="Arial" w:cs="Arial"/>
          <w:w w:val="100"/>
          <w:sz w:val="22"/>
          <w:szCs w:val="22"/>
        </w:rPr>
        <w:t xml:space="preserve"> A person who resides with one or more elderly persons, or near-elderly persons, or persons with disabilities, and who: </w:t>
      </w:r>
    </w:p>
    <w:p w14:paraId="2224B5A0" w14:textId="77777777" w:rsidR="000C27E3" w:rsidRPr="00173F0A" w:rsidRDefault="000C27E3" w:rsidP="007F177E">
      <w:pPr>
        <w:pStyle w:val="Bodywide-dash"/>
        <w:keepNext/>
        <w:numPr>
          <w:ilvl w:val="0"/>
          <w:numId w:val="204"/>
        </w:numPr>
        <w:tabs>
          <w:tab w:val="clear" w:pos="360"/>
          <w:tab w:val="clear" w:pos="540"/>
          <w:tab w:val="clear" w:pos="2880"/>
          <w:tab w:val="clear" w:pos="3600"/>
          <w:tab w:val="clear" w:pos="4320"/>
          <w:tab w:val="clear" w:pos="5040"/>
          <w:tab w:val="clear" w:pos="5760"/>
          <w:tab w:val="clear" w:pos="6480"/>
          <w:tab w:val="clear" w:pos="7200"/>
          <w:tab w:val="clear" w:pos="7920"/>
          <w:tab w:val="clear" w:pos="8640"/>
        </w:tabs>
        <w:spacing w:after="160" w:line="259" w:lineRule="auto"/>
        <w:jc w:val="both"/>
        <w:rPr>
          <w:w w:val="100"/>
          <w:sz w:val="22"/>
          <w:szCs w:val="22"/>
        </w:rPr>
      </w:pPr>
      <w:r w:rsidRPr="00173F0A">
        <w:rPr>
          <w:w w:val="100"/>
          <w:sz w:val="22"/>
          <w:szCs w:val="22"/>
        </w:rPr>
        <w:t xml:space="preserve">Is determined to be essential to the care and well-being of the persons; </w:t>
      </w:r>
    </w:p>
    <w:p w14:paraId="75588D9E" w14:textId="77777777" w:rsidR="000C27E3" w:rsidRPr="00173F0A" w:rsidRDefault="000C27E3" w:rsidP="007F177E">
      <w:pPr>
        <w:pStyle w:val="Bodywide-dash"/>
        <w:keepNext/>
        <w:numPr>
          <w:ilvl w:val="0"/>
          <w:numId w:val="204"/>
        </w:numPr>
        <w:tabs>
          <w:tab w:val="clear" w:pos="360"/>
          <w:tab w:val="clear" w:pos="540"/>
          <w:tab w:val="clear" w:pos="2880"/>
          <w:tab w:val="clear" w:pos="3600"/>
          <w:tab w:val="clear" w:pos="4320"/>
          <w:tab w:val="clear" w:pos="5040"/>
          <w:tab w:val="clear" w:pos="5760"/>
          <w:tab w:val="clear" w:pos="6480"/>
          <w:tab w:val="clear" w:pos="7200"/>
          <w:tab w:val="clear" w:pos="7920"/>
          <w:tab w:val="clear" w:pos="8640"/>
        </w:tabs>
        <w:spacing w:after="160" w:line="259" w:lineRule="auto"/>
        <w:jc w:val="both"/>
        <w:rPr>
          <w:w w:val="100"/>
          <w:sz w:val="22"/>
          <w:szCs w:val="22"/>
        </w:rPr>
      </w:pPr>
      <w:r w:rsidRPr="00173F0A">
        <w:rPr>
          <w:w w:val="100"/>
          <w:sz w:val="22"/>
          <w:szCs w:val="22"/>
        </w:rPr>
        <w:t xml:space="preserve">Is not obligated for the support of the persons; and </w:t>
      </w:r>
    </w:p>
    <w:p w14:paraId="613DE613" w14:textId="77777777" w:rsidR="000C27E3" w:rsidRPr="00173F0A" w:rsidRDefault="000C27E3" w:rsidP="007F177E">
      <w:pPr>
        <w:pStyle w:val="Bodywide-dash"/>
        <w:keepNext/>
        <w:numPr>
          <w:ilvl w:val="0"/>
          <w:numId w:val="204"/>
        </w:numPr>
        <w:tabs>
          <w:tab w:val="clear" w:pos="360"/>
          <w:tab w:val="clear" w:pos="540"/>
          <w:tab w:val="clear" w:pos="2880"/>
          <w:tab w:val="clear" w:pos="3600"/>
          <w:tab w:val="clear" w:pos="4320"/>
          <w:tab w:val="clear" w:pos="5040"/>
          <w:tab w:val="clear" w:pos="5760"/>
          <w:tab w:val="clear" w:pos="6480"/>
          <w:tab w:val="clear" w:pos="7200"/>
          <w:tab w:val="clear" w:pos="7920"/>
          <w:tab w:val="clear" w:pos="8640"/>
        </w:tabs>
        <w:spacing w:after="160" w:line="259" w:lineRule="auto"/>
        <w:jc w:val="both"/>
        <w:rPr>
          <w:w w:val="100"/>
          <w:sz w:val="22"/>
          <w:szCs w:val="22"/>
        </w:rPr>
      </w:pPr>
      <w:r w:rsidRPr="00173F0A">
        <w:rPr>
          <w:w w:val="100"/>
          <w:sz w:val="22"/>
          <w:szCs w:val="22"/>
        </w:rPr>
        <w:t>Would not be living in the unit except to provide the necessary supportive services.</w:t>
      </w:r>
    </w:p>
    <w:p w14:paraId="1EB05486" w14:textId="77777777" w:rsidR="0092532A"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w w:val="100"/>
          <w:sz w:val="22"/>
          <w:szCs w:val="22"/>
        </w:rPr>
      </w:pPr>
      <w:r w:rsidRPr="00173F0A">
        <w:rPr>
          <w:rFonts w:ascii="Arial" w:hAnsi="Arial" w:cs="Arial"/>
          <w:b/>
          <w:bCs/>
          <w:i/>
          <w:iCs/>
          <w:w w:val="100"/>
          <w:sz w:val="22"/>
          <w:szCs w:val="22"/>
        </w:rPr>
        <w:t xml:space="preserve">Local preference. </w:t>
      </w:r>
      <w:r w:rsidRPr="00173F0A">
        <w:rPr>
          <w:rFonts w:ascii="Arial" w:hAnsi="Arial" w:cs="Arial"/>
          <w:w w:val="100"/>
          <w:sz w:val="22"/>
          <w:szCs w:val="22"/>
        </w:rPr>
        <w:t>A preference used by the PHA to select among applicant families.</w:t>
      </w:r>
    </w:p>
    <w:p w14:paraId="6DA7688D" w14:textId="77777777" w:rsidR="00BB7574"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w w:val="100"/>
          <w:sz w:val="22"/>
          <w:szCs w:val="22"/>
        </w:rPr>
      </w:pPr>
      <w:r w:rsidRPr="00173F0A">
        <w:rPr>
          <w:rFonts w:ascii="Arial" w:hAnsi="Arial" w:cs="Arial"/>
          <w:b/>
          <w:bCs/>
          <w:i/>
          <w:iCs/>
          <w:w w:val="100"/>
          <w:sz w:val="22"/>
          <w:szCs w:val="22"/>
        </w:rPr>
        <w:t>Low-income family.</w:t>
      </w:r>
      <w:r w:rsidRPr="00173F0A">
        <w:rPr>
          <w:rFonts w:ascii="Arial" w:hAnsi="Arial" w:cs="Arial"/>
          <w:i/>
          <w:iCs/>
          <w:w w:val="100"/>
          <w:sz w:val="22"/>
          <w:szCs w:val="22"/>
        </w:rPr>
        <w:t xml:space="preserve"> </w:t>
      </w:r>
      <w:r w:rsidRPr="00173F0A">
        <w:rPr>
          <w:rFonts w:ascii="Arial" w:hAnsi="Arial" w:cs="Arial"/>
          <w:w w:val="100"/>
          <w:sz w:val="22"/>
          <w:szCs w:val="22"/>
        </w:rPr>
        <w:t>A family whose income does not exceed 80 percent of the median income for the area as determined by HUD with adjustments for smaller or larger families, except that HUD may establish income limits higher or lower than 80 percent for areas with unusually high or low incomes.</w:t>
      </w:r>
    </w:p>
    <w:p w14:paraId="4A62DB30" w14:textId="77777777" w:rsidR="00BB7574"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w w:val="100"/>
          <w:sz w:val="22"/>
          <w:szCs w:val="22"/>
        </w:rPr>
      </w:pPr>
      <w:r w:rsidRPr="00173F0A">
        <w:rPr>
          <w:rFonts w:ascii="Arial" w:hAnsi="Arial" w:cs="Arial"/>
          <w:b/>
          <w:bCs/>
          <w:i/>
          <w:iCs/>
          <w:w w:val="100"/>
          <w:sz w:val="22"/>
          <w:szCs w:val="22"/>
        </w:rPr>
        <w:t xml:space="preserve">Minimum rent. </w:t>
      </w:r>
      <w:r w:rsidRPr="00173F0A">
        <w:rPr>
          <w:rFonts w:ascii="Arial" w:hAnsi="Arial" w:cs="Arial"/>
          <w:bCs/>
          <w:iCs/>
          <w:w w:val="100"/>
          <w:sz w:val="22"/>
          <w:szCs w:val="22"/>
        </w:rPr>
        <w:t>An amount established by the PHA of zero to $50.</w:t>
      </w:r>
    </w:p>
    <w:p w14:paraId="4D7FA4EA" w14:textId="77777777" w:rsidR="00BB7574"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w w:val="100"/>
          <w:sz w:val="22"/>
          <w:szCs w:val="22"/>
        </w:rPr>
      </w:pPr>
      <w:r w:rsidRPr="00173F0A">
        <w:rPr>
          <w:rFonts w:ascii="Arial" w:hAnsi="Arial" w:cs="Arial"/>
          <w:b/>
          <w:bCs/>
          <w:i/>
          <w:iCs/>
          <w:w w:val="100"/>
          <w:sz w:val="22"/>
          <w:szCs w:val="22"/>
        </w:rPr>
        <w:t>Minor</w:t>
      </w:r>
      <w:r w:rsidRPr="00173F0A">
        <w:rPr>
          <w:rFonts w:ascii="Arial" w:hAnsi="Arial" w:cs="Arial"/>
          <w:b/>
          <w:bCs/>
          <w:w w:val="100"/>
          <w:sz w:val="22"/>
          <w:szCs w:val="22"/>
        </w:rPr>
        <w:t>.</w:t>
      </w:r>
      <w:r w:rsidRPr="00173F0A">
        <w:rPr>
          <w:rFonts w:ascii="Arial" w:hAnsi="Arial" w:cs="Arial"/>
          <w:w w:val="100"/>
          <w:sz w:val="22"/>
          <w:szCs w:val="22"/>
        </w:rPr>
        <w:t xml:space="preserve"> A member of the family household other than the family head or spouse, who is under 18 years of age.</w:t>
      </w:r>
    </w:p>
    <w:p w14:paraId="34E6951A" w14:textId="77777777" w:rsidR="00BB7574"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w w:val="100"/>
          <w:sz w:val="22"/>
          <w:szCs w:val="22"/>
        </w:rPr>
      </w:pPr>
      <w:r w:rsidRPr="00173F0A">
        <w:rPr>
          <w:rFonts w:ascii="Arial" w:hAnsi="Arial" w:cs="Arial"/>
          <w:b/>
          <w:bCs/>
          <w:i/>
          <w:iCs/>
          <w:w w:val="100"/>
          <w:sz w:val="22"/>
          <w:szCs w:val="22"/>
        </w:rPr>
        <w:t>Mixed family</w:t>
      </w:r>
      <w:r w:rsidRPr="00173F0A">
        <w:rPr>
          <w:rFonts w:ascii="Arial" w:hAnsi="Arial" w:cs="Arial"/>
          <w:b/>
          <w:i/>
          <w:iCs/>
          <w:w w:val="100"/>
          <w:sz w:val="22"/>
          <w:szCs w:val="22"/>
        </w:rPr>
        <w:t>.</w:t>
      </w:r>
      <w:r w:rsidRPr="00173F0A">
        <w:rPr>
          <w:rFonts w:ascii="Arial" w:hAnsi="Arial" w:cs="Arial"/>
          <w:i/>
          <w:iCs/>
          <w:w w:val="100"/>
          <w:sz w:val="22"/>
          <w:szCs w:val="22"/>
        </w:rPr>
        <w:t xml:space="preserve"> A</w:t>
      </w:r>
      <w:r w:rsidRPr="00173F0A">
        <w:rPr>
          <w:rFonts w:ascii="Arial" w:hAnsi="Arial" w:cs="Arial"/>
          <w:w w:val="100"/>
          <w:sz w:val="22"/>
          <w:szCs w:val="22"/>
        </w:rPr>
        <w:t xml:space="preserve"> family whose members include those with citizenship or eligible immigration status, and those without citizenship or eligible immigration status.</w:t>
      </w:r>
    </w:p>
    <w:p w14:paraId="0CF2D619" w14:textId="77777777" w:rsidR="00BB7574"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w w:val="100"/>
          <w:sz w:val="22"/>
          <w:szCs w:val="22"/>
        </w:rPr>
      </w:pPr>
      <w:r w:rsidRPr="00173F0A">
        <w:rPr>
          <w:rFonts w:ascii="Arial" w:hAnsi="Arial" w:cs="Arial"/>
          <w:b/>
          <w:bCs/>
          <w:i/>
          <w:iCs/>
          <w:w w:val="100"/>
          <w:sz w:val="22"/>
          <w:szCs w:val="22"/>
        </w:rPr>
        <w:t>Monthly adjusted income</w:t>
      </w:r>
      <w:r w:rsidRPr="00173F0A">
        <w:rPr>
          <w:rFonts w:ascii="Arial" w:hAnsi="Arial" w:cs="Arial"/>
          <w:b/>
          <w:bCs/>
          <w:w w:val="100"/>
          <w:sz w:val="22"/>
          <w:szCs w:val="22"/>
        </w:rPr>
        <w:t xml:space="preserve">. </w:t>
      </w:r>
      <w:r w:rsidRPr="00173F0A">
        <w:rPr>
          <w:rFonts w:ascii="Arial" w:hAnsi="Arial" w:cs="Arial"/>
          <w:w w:val="100"/>
          <w:sz w:val="22"/>
          <w:szCs w:val="22"/>
        </w:rPr>
        <w:t>One twelfth of adjusted income.</w:t>
      </w:r>
    </w:p>
    <w:p w14:paraId="5B0C33C7" w14:textId="77777777" w:rsidR="00BB7574"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w w:val="100"/>
          <w:sz w:val="22"/>
          <w:szCs w:val="22"/>
        </w:rPr>
      </w:pPr>
      <w:r w:rsidRPr="00173F0A">
        <w:rPr>
          <w:rFonts w:ascii="Arial" w:hAnsi="Arial" w:cs="Arial"/>
          <w:b/>
          <w:bCs/>
          <w:i/>
          <w:iCs/>
          <w:w w:val="100"/>
          <w:sz w:val="22"/>
          <w:szCs w:val="22"/>
        </w:rPr>
        <w:t>Monthly income</w:t>
      </w:r>
      <w:r w:rsidRPr="00173F0A">
        <w:rPr>
          <w:rFonts w:ascii="Arial" w:hAnsi="Arial" w:cs="Arial"/>
          <w:b/>
          <w:bCs/>
          <w:w w:val="100"/>
          <w:sz w:val="22"/>
          <w:szCs w:val="22"/>
        </w:rPr>
        <w:t xml:space="preserve">. </w:t>
      </w:r>
      <w:r w:rsidRPr="00173F0A">
        <w:rPr>
          <w:rFonts w:ascii="Arial" w:hAnsi="Arial" w:cs="Arial"/>
          <w:w w:val="100"/>
          <w:sz w:val="22"/>
          <w:szCs w:val="22"/>
        </w:rPr>
        <w:t>One twelfth of annual income.</w:t>
      </w:r>
    </w:p>
    <w:p w14:paraId="7E2B4A0E" w14:textId="77777777" w:rsidR="00BB7574"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w w:val="100"/>
          <w:sz w:val="22"/>
          <w:szCs w:val="22"/>
        </w:rPr>
      </w:pPr>
      <w:r w:rsidRPr="00173F0A">
        <w:rPr>
          <w:rFonts w:ascii="Arial" w:hAnsi="Arial" w:cs="Arial"/>
          <w:b/>
          <w:bCs/>
          <w:i/>
          <w:iCs/>
          <w:w w:val="100"/>
          <w:sz w:val="22"/>
          <w:szCs w:val="22"/>
        </w:rPr>
        <w:t>National</w:t>
      </w:r>
      <w:r w:rsidRPr="00173F0A">
        <w:rPr>
          <w:rFonts w:ascii="Arial" w:hAnsi="Arial" w:cs="Arial"/>
          <w:b/>
          <w:i/>
          <w:iCs/>
          <w:w w:val="100"/>
          <w:sz w:val="22"/>
          <w:szCs w:val="22"/>
        </w:rPr>
        <w:t>.</w:t>
      </w:r>
      <w:r w:rsidRPr="00173F0A">
        <w:rPr>
          <w:rFonts w:ascii="Arial" w:hAnsi="Arial" w:cs="Arial"/>
          <w:i/>
          <w:iCs/>
          <w:w w:val="100"/>
          <w:sz w:val="22"/>
          <w:szCs w:val="22"/>
        </w:rPr>
        <w:t xml:space="preserve"> A</w:t>
      </w:r>
      <w:r w:rsidRPr="00173F0A">
        <w:rPr>
          <w:rFonts w:ascii="Arial" w:hAnsi="Arial" w:cs="Arial"/>
          <w:w w:val="100"/>
          <w:sz w:val="22"/>
          <w:szCs w:val="22"/>
        </w:rPr>
        <w:t xml:space="preserve"> person who owes permanent allegiance to the United States, for example, as a result of birth in a United States territory or possession.</w:t>
      </w:r>
    </w:p>
    <w:p w14:paraId="5DC50973" w14:textId="77777777" w:rsidR="00BB7574"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w w:val="100"/>
          <w:sz w:val="22"/>
          <w:szCs w:val="22"/>
        </w:rPr>
      </w:pPr>
      <w:r w:rsidRPr="00173F0A">
        <w:rPr>
          <w:rFonts w:ascii="Arial" w:hAnsi="Arial" w:cs="Arial"/>
          <w:b/>
          <w:bCs/>
          <w:i/>
          <w:iCs/>
          <w:w w:val="100"/>
          <w:sz w:val="22"/>
          <w:szCs w:val="22"/>
        </w:rPr>
        <w:t>Near-elderly family</w:t>
      </w:r>
      <w:r w:rsidRPr="00173F0A">
        <w:rPr>
          <w:rFonts w:ascii="Arial" w:hAnsi="Arial" w:cs="Arial"/>
          <w:b/>
          <w:w w:val="100"/>
          <w:sz w:val="22"/>
          <w:szCs w:val="22"/>
        </w:rPr>
        <w:t>.</w:t>
      </w:r>
      <w:r w:rsidRPr="00173F0A">
        <w:rPr>
          <w:rFonts w:ascii="Arial" w:hAnsi="Arial" w:cs="Arial"/>
          <w:w w:val="100"/>
          <w:sz w:val="22"/>
          <w:szCs w:val="22"/>
        </w:rPr>
        <w:t xml:space="preserve"> A family whose head, spouse, or sole member is a person who is at least 50 years of age but below the age of 62; or two or more persons, who are at least 50 years of age but below the age of 62, living together; or one or more persons who are at least 50 years of age but below the age of 62 living with one or more live-in aides.</w:t>
      </w:r>
    </w:p>
    <w:p w14:paraId="6B085F1C" w14:textId="77777777" w:rsidR="000C27E3"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w w:val="100"/>
          <w:sz w:val="22"/>
          <w:szCs w:val="22"/>
        </w:rPr>
      </w:pPr>
      <w:r w:rsidRPr="00173F0A">
        <w:rPr>
          <w:rFonts w:ascii="Arial" w:hAnsi="Arial" w:cs="Arial"/>
          <w:b/>
          <w:bCs/>
          <w:i/>
          <w:iCs/>
          <w:w w:val="100"/>
          <w:sz w:val="22"/>
          <w:szCs w:val="22"/>
        </w:rPr>
        <w:t>Net family assets.</w:t>
      </w:r>
      <w:r w:rsidRPr="00173F0A">
        <w:rPr>
          <w:rFonts w:ascii="Arial" w:hAnsi="Arial" w:cs="Arial"/>
          <w:w w:val="100"/>
          <w:sz w:val="22"/>
          <w:szCs w:val="22"/>
        </w:rPr>
        <w:t xml:space="preserve"> </w:t>
      </w:r>
    </w:p>
    <w:p w14:paraId="3B35A950" w14:textId="77777777" w:rsidR="00220939" w:rsidRPr="00173F0A" w:rsidRDefault="00220939" w:rsidP="007F177E">
      <w:pPr>
        <w:pStyle w:val="ListParagraph"/>
        <w:numPr>
          <w:ilvl w:val="2"/>
          <w:numId w:val="161"/>
        </w:numPr>
        <w:ind w:left="720"/>
        <w:contextualSpacing w:val="0"/>
        <w:rPr>
          <w:rFonts w:cs="Arial"/>
        </w:rPr>
      </w:pPr>
      <w:r w:rsidRPr="00173F0A">
        <w:rPr>
          <w:rFonts w:cs="Arial"/>
        </w:rPr>
        <w:t xml:space="preserve">Net family assets is the net cash value of all assets owned by the family, after deducting reasonable costs that would be incurred in disposing real property, savings, stocks, bonds, and other forms of capital investment. </w:t>
      </w:r>
    </w:p>
    <w:p w14:paraId="14AD2A85" w14:textId="77777777" w:rsidR="00220939" w:rsidRPr="00173F0A" w:rsidRDefault="00220939" w:rsidP="007F177E">
      <w:pPr>
        <w:pStyle w:val="ListParagraph"/>
        <w:numPr>
          <w:ilvl w:val="2"/>
          <w:numId w:val="161"/>
        </w:numPr>
        <w:ind w:left="720"/>
        <w:contextualSpacing w:val="0"/>
        <w:rPr>
          <w:rFonts w:cs="Arial"/>
        </w:rPr>
      </w:pPr>
      <w:r w:rsidRPr="00173F0A">
        <w:rPr>
          <w:rFonts w:cs="Arial"/>
        </w:rPr>
        <w:t xml:space="preserve">In determining net family assets, PHAs or owners, as applicable, must include the value of any business or family assets disposed of by an applicant or tenant for less than fair market value (including a disposition in trust, but not in a foreclosure or bankruptcy sale) during the two years preceding the date of application for the program or reexamination, as applicable, in excess of the consideration received therefor. </w:t>
      </w:r>
    </w:p>
    <w:p w14:paraId="5244FC98" w14:textId="77777777" w:rsidR="00220939" w:rsidRPr="00173F0A" w:rsidRDefault="00220939" w:rsidP="007F177E">
      <w:pPr>
        <w:pStyle w:val="ListParagraph"/>
        <w:numPr>
          <w:ilvl w:val="3"/>
          <w:numId w:val="147"/>
        </w:numPr>
        <w:contextualSpacing w:val="0"/>
        <w:rPr>
          <w:rFonts w:cs="Arial"/>
        </w:rPr>
      </w:pPr>
      <w:r w:rsidRPr="00173F0A">
        <w:rPr>
          <w:rFonts w:cs="Arial"/>
        </w:rPr>
        <w:t xml:space="preserve">In the case of a disposition as part of a separation or divorce settlement, the disposition will not be considered to be for less than fair market value if the applicant or tenant receives consideration not measurable in dollar terms. </w:t>
      </w:r>
    </w:p>
    <w:p w14:paraId="3B9B299D" w14:textId="77777777" w:rsidR="00220939" w:rsidRPr="00173F0A" w:rsidRDefault="00220939" w:rsidP="007F177E">
      <w:pPr>
        <w:pStyle w:val="ListParagraph"/>
        <w:numPr>
          <w:ilvl w:val="3"/>
          <w:numId w:val="147"/>
        </w:numPr>
        <w:contextualSpacing w:val="0"/>
        <w:rPr>
          <w:rFonts w:cs="Arial"/>
        </w:rPr>
      </w:pPr>
      <w:r w:rsidRPr="00173F0A">
        <w:rPr>
          <w:rFonts w:cs="Arial"/>
        </w:rPr>
        <w:t xml:space="preserve">Negative equity in real property or other investments does not prohibit the owner from selling the property or other investments, so negative equity alone would not justify excluding the property or other investments from family assets. </w:t>
      </w:r>
    </w:p>
    <w:p w14:paraId="4A983012" w14:textId="77777777" w:rsidR="00220939" w:rsidRPr="00173F0A" w:rsidRDefault="00220939" w:rsidP="007F177E">
      <w:pPr>
        <w:pStyle w:val="ListParagraph"/>
        <w:numPr>
          <w:ilvl w:val="2"/>
          <w:numId w:val="161"/>
        </w:numPr>
        <w:ind w:left="720"/>
        <w:contextualSpacing w:val="0"/>
        <w:rPr>
          <w:rFonts w:cs="Arial"/>
        </w:rPr>
      </w:pPr>
      <w:r w:rsidRPr="00173F0A">
        <w:rPr>
          <w:rFonts w:cs="Arial"/>
        </w:rPr>
        <w:t xml:space="preserve">Excluded from the calculation of net family assets are: </w:t>
      </w:r>
    </w:p>
    <w:p w14:paraId="4B78F9AE" w14:textId="77777777" w:rsidR="00220939" w:rsidRPr="00173F0A" w:rsidRDefault="00220939" w:rsidP="007F177E">
      <w:pPr>
        <w:pStyle w:val="ListParagraph"/>
        <w:numPr>
          <w:ilvl w:val="3"/>
          <w:numId w:val="148"/>
        </w:numPr>
        <w:contextualSpacing w:val="0"/>
        <w:rPr>
          <w:rFonts w:cs="Arial"/>
        </w:rPr>
      </w:pPr>
      <w:r w:rsidRPr="00173F0A">
        <w:rPr>
          <w:rFonts w:cs="Arial"/>
        </w:rPr>
        <w:t xml:space="preserve">The value of necessary items of personal property; </w:t>
      </w:r>
    </w:p>
    <w:p w14:paraId="7B0F6B90" w14:textId="77777777" w:rsidR="00220939" w:rsidRPr="00173F0A" w:rsidRDefault="00220939" w:rsidP="007F177E">
      <w:pPr>
        <w:pStyle w:val="ListParagraph"/>
        <w:numPr>
          <w:ilvl w:val="3"/>
          <w:numId w:val="148"/>
        </w:numPr>
        <w:contextualSpacing w:val="0"/>
        <w:rPr>
          <w:rFonts w:cs="Arial"/>
        </w:rPr>
      </w:pPr>
      <w:r w:rsidRPr="00173F0A">
        <w:rPr>
          <w:rFonts w:cs="Arial"/>
        </w:rPr>
        <w:t xml:space="preserve">The combined value of all non-necessary items of personal property if the combined total value does not exceed $50,000 (which amount will be adjusted by HUD in accordance with the Consumer Price Index for Urban Wage Earners and Clerical Workers); </w:t>
      </w:r>
    </w:p>
    <w:p w14:paraId="199E6DF9" w14:textId="77777777" w:rsidR="00220939" w:rsidRPr="00173F0A" w:rsidRDefault="00220939" w:rsidP="007F177E">
      <w:pPr>
        <w:pStyle w:val="ListParagraph"/>
        <w:numPr>
          <w:ilvl w:val="3"/>
          <w:numId w:val="148"/>
        </w:numPr>
        <w:contextualSpacing w:val="0"/>
        <w:rPr>
          <w:rFonts w:cs="Arial"/>
        </w:rPr>
      </w:pPr>
      <w:r w:rsidRPr="00173F0A">
        <w:rPr>
          <w:rFonts w:cs="Arial"/>
        </w:rPr>
        <w:t xml:space="preserve">The value of any account under a retirement plan recognized as such by the Internal Revenue Service, including individual retirement arrangements (IRAs), employer retirement plans, and retirement plans for self-employed individuals; </w:t>
      </w:r>
    </w:p>
    <w:p w14:paraId="6DEDAA44" w14:textId="77777777" w:rsidR="00220939" w:rsidRPr="00173F0A" w:rsidRDefault="00220939" w:rsidP="007F177E">
      <w:pPr>
        <w:pStyle w:val="ListParagraph"/>
        <w:numPr>
          <w:ilvl w:val="3"/>
          <w:numId w:val="148"/>
        </w:numPr>
        <w:contextualSpacing w:val="0"/>
        <w:rPr>
          <w:rFonts w:cs="Arial"/>
        </w:rPr>
      </w:pPr>
      <w:r w:rsidRPr="00173F0A">
        <w:rPr>
          <w:rFonts w:cs="Arial"/>
        </w:rPr>
        <w:t xml:space="preserve">The value of real property that the family does not have the effective legal authority to sell in the jurisdiction in which the property is located; </w:t>
      </w:r>
    </w:p>
    <w:p w14:paraId="51A9F77A" w14:textId="77777777" w:rsidR="00220939" w:rsidRPr="00173F0A" w:rsidRDefault="00220939" w:rsidP="007F177E">
      <w:pPr>
        <w:pStyle w:val="ListParagraph"/>
        <w:numPr>
          <w:ilvl w:val="3"/>
          <w:numId w:val="148"/>
        </w:numPr>
        <w:contextualSpacing w:val="0"/>
        <w:rPr>
          <w:rFonts w:cs="Arial"/>
        </w:rPr>
      </w:pPr>
      <w:r w:rsidRPr="00173F0A">
        <w:rPr>
          <w:rFonts w:cs="Arial"/>
        </w:rPr>
        <w:t xml:space="preserve">Any amounts recovered in any civil action or settlement based on a claim of malpractice, negligence, or other breach of duty owed to a family member arising out of law, that resulted in a family member being a person with a disability; </w:t>
      </w:r>
    </w:p>
    <w:p w14:paraId="0087D812" w14:textId="77777777" w:rsidR="00220939" w:rsidRPr="00173F0A" w:rsidRDefault="00220939" w:rsidP="007F177E">
      <w:pPr>
        <w:pStyle w:val="ListParagraph"/>
        <w:numPr>
          <w:ilvl w:val="3"/>
          <w:numId w:val="148"/>
        </w:numPr>
        <w:contextualSpacing w:val="0"/>
        <w:rPr>
          <w:rFonts w:cs="Arial"/>
        </w:rPr>
      </w:pPr>
      <w:r w:rsidRPr="00173F0A">
        <w:rPr>
          <w:rFonts w:cs="Arial"/>
        </w:rPr>
        <w:t xml:space="preserve">The value of any Coverdell education savings account under section 530 of the Internal Revenue Code of 1986, the value of any qualified tuition program under section 529 of such Code, the value of any Achieving a Better Life Experience (ABLE) account authorized under Section 529A of such Code, and the value of any </w:t>
      </w:r>
      <w:r w:rsidRPr="00173F0A">
        <w:rPr>
          <w:rFonts w:cs="Arial"/>
          <w:i/>
          <w:iCs/>
        </w:rPr>
        <w:t>baby bond</w:t>
      </w:r>
      <w:r w:rsidRPr="00173F0A">
        <w:rPr>
          <w:rFonts w:cs="Arial"/>
        </w:rPr>
        <w:t xml:space="preserve"> account created, authorized, or funded by Federal, State, or local government. </w:t>
      </w:r>
    </w:p>
    <w:p w14:paraId="7678C85C" w14:textId="77777777" w:rsidR="00220939" w:rsidRPr="00173F0A" w:rsidRDefault="00220939" w:rsidP="007F177E">
      <w:pPr>
        <w:pStyle w:val="ListParagraph"/>
        <w:numPr>
          <w:ilvl w:val="3"/>
          <w:numId w:val="148"/>
        </w:numPr>
        <w:contextualSpacing w:val="0"/>
        <w:rPr>
          <w:rFonts w:cs="Arial"/>
        </w:rPr>
      </w:pPr>
      <w:r w:rsidRPr="00173F0A">
        <w:rPr>
          <w:rFonts w:cs="Arial"/>
        </w:rPr>
        <w:t xml:space="preserve">Interests in Indian trust land; </w:t>
      </w:r>
    </w:p>
    <w:p w14:paraId="12AB5681" w14:textId="77777777" w:rsidR="00220939" w:rsidRPr="00173F0A" w:rsidRDefault="00220939" w:rsidP="007F177E">
      <w:pPr>
        <w:pStyle w:val="ListParagraph"/>
        <w:numPr>
          <w:ilvl w:val="3"/>
          <w:numId w:val="148"/>
        </w:numPr>
        <w:contextualSpacing w:val="0"/>
        <w:rPr>
          <w:rFonts w:cs="Arial"/>
        </w:rPr>
      </w:pPr>
      <w:r w:rsidRPr="00173F0A">
        <w:rPr>
          <w:rFonts w:cs="Arial"/>
        </w:rPr>
        <w:t xml:space="preserve">Equity in a manufactured home where the family receives assistance under 24 CFR 982; </w:t>
      </w:r>
    </w:p>
    <w:p w14:paraId="5222533A" w14:textId="77777777" w:rsidR="00220939" w:rsidRPr="00173F0A" w:rsidRDefault="00220939" w:rsidP="007F177E">
      <w:pPr>
        <w:pStyle w:val="ListParagraph"/>
        <w:numPr>
          <w:ilvl w:val="3"/>
          <w:numId w:val="148"/>
        </w:numPr>
        <w:contextualSpacing w:val="0"/>
        <w:rPr>
          <w:rFonts w:cs="Arial"/>
        </w:rPr>
      </w:pPr>
      <w:r w:rsidRPr="00173F0A">
        <w:rPr>
          <w:rFonts w:cs="Arial"/>
        </w:rPr>
        <w:t xml:space="preserve">Equity in property under the Homeownership Option for which a family receives assistance under 24 CFR 982; </w:t>
      </w:r>
    </w:p>
    <w:p w14:paraId="09DFB309" w14:textId="77777777" w:rsidR="00220939" w:rsidRPr="00173F0A" w:rsidRDefault="00220939" w:rsidP="007F177E">
      <w:pPr>
        <w:pStyle w:val="ListParagraph"/>
        <w:numPr>
          <w:ilvl w:val="3"/>
          <w:numId w:val="148"/>
        </w:numPr>
        <w:contextualSpacing w:val="0"/>
        <w:rPr>
          <w:rFonts w:cs="Arial"/>
        </w:rPr>
      </w:pPr>
      <w:r w:rsidRPr="00173F0A">
        <w:rPr>
          <w:rFonts w:cs="Arial"/>
        </w:rPr>
        <w:t xml:space="preserve">Family Self-Sufficiency Accounts; and </w:t>
      </w:r>
    </w:p>
    <w:p w14:paraId="65E42760" w14:textId="77777777" w:rsidR="00220939" w:rsidRPr="00173F0A" w:rsidRDefault="00220939" w:rsidP="007F177E">
      <w:pPr>
        <w:pStyle w:val="ListParagraph"/>
        <w:numPr>
          <w:ilvl w:val="3"/>
          <w:numId w:val="148"/>
        </w:numPr>
        <w:contextualSpacing w:val="0"/>
        <w:rPr>
          <w:rFonts w:cs="Arial"/>
        </w:rPr>
      </w:pPr>
      <w:r w:rsidRPr="00173F0A">
        <w:rPr>
          <w:rFonts w:cs="Arial"/>
        </w:rPr>
        <w:t xml:space="preserve">Federal tax refunds or refundable tax credits for a period of 12 months after receipt by the family. </w:t>
      </w:r>
    </w:p>
    <w:p w14:paraId="7CC7762C" w14:textId="77777777" w:rsidR="00220939" w:rsidRPr="00173F0A" w:rsidRDefault="00220939" w:rsidP="007F177E">
      <w:pPr>
        <w:pStyle w:val="ListParagraph"/>
        <w:numPr>
          <w:ilvl w:val="2"/>
          <w:numId w:val="161"/>
        </w:numPr>
        <w:ind w:left="720"/>
        <w:contextualSpacing w:val="0"/>
        <w:rPr>
          <w:rFonts w:cs="Arial"/>
        </w:rPr>
      </w:pPr>
      <w:r w:rsidRPr="00173F0A">
        <w:rPr>
          <w:rFonts w:cs="Arial"/>
        </w:rPr>
        <w:t>In cases where a trust fund has been established and the trust is not revocable by, or under the control of, any member of the family or household, the trust fund is not a family asset and the value of the trust is not included in the calculation of net family assets, so long as the fund continues to be held in a trust that is not revocable by, or under the control of, any member of the family or household.</w:t>
      </w:r>
    </w:p>
    <w:p w14:paraId="0B0D7032" w14:textId="77777777" w:rsidR="00BB7574"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b/>
          <w:bCs/>
          <w:i/>
          <w:iCs/>
          <w:w w:val="100"/>
          <w:sz w:val="22"/>
          <w:szCs w:val="22"/>
        </w:rPr>
      </w:pPr>
      <w:r w:rsidRPr="00173F0A">
        <w:rPr>
          <w:rFonts w:ascii="Arial" w:hAnsi="Arial" w:cs="Arial"/>
          <w:b/>
          <w:bCs/>
          <w:i/>
          <w:iCs/>
          <w:w w:val="100"/>
          <w:sz w:val="22"/>
          <w:szCs w:val="22"/>
        </w:rPr>
        <w:t xml:space="preserve">Noncitizen. </w:t>
      </w:r>
      <w:r w:rsidRPr="00173F0A">
        <w:rPr>
          <w:rFonts w:ascii="Arial" w:hAnsi="Arial" w:cs="Arial"/>
          <w:w w:val="100"/>
          <w:sz w:val="22"/>
          <w:szCs w:val="22"/>
        </w:rPr>
        <w:t>A person who is neither a citizen nor national of the United States.</w:t>
      </w:r>
    </w:p>
    <w:p w14:paraId="1D95EB88" w14:textId="77777777" w:rsidR="00BB7574"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b/>
          <w:bCs/>
          <w:i/>
          <w:iCs/>
          <w:w w:val="100"/>
          <w:sz w:val="22"/>
          <w:szCs w:val="22"/>
        </w:rPr>
      </w:pPr>
      <w:r w:rsidRPr="00173F0A">
        <w:rPr>
          <w:rFonts w:ascii="Arial" w:hAnsi="Arial" w:cs="Arial"/>
          <w:b/>
          <w:bCs/>
          <w:i/>
          <w:iCs/>
          <w:sz w:val="22"/>
          <w:szCs w:val="22"/>
        </w:rPr>
        <w:t>Non-public housing over-income family.</w:t>
      </w:r>
      <w:r w:rsidRPr="00173F0A">
        <w:rPr>
          <w:rFonts w:ascii="Arial" w:hAnsi="Arial" w:cs="Arial"/>
          <w:color w:val="FF0000"/>
          <w:sz w:val="22"/>
          <w:szCs w:val="22"/>
        </w:rPr>
        <w:t xml:space="preserve"> </w:t>
      </w:r>
      <w:r w:rsidRPr="00173F0A">
        <w:rPr>
          <w:rFonts w:ascii="Arial" w:hAnsi="Arial" w:cs="Arial"/>
          <w:sz w:val="22"/>
          <w:szCs w:val="22"/>
        </w:rPr>
        <w:t xml:space="preserve">A family </w:t>
      </w:r>
      <w:r w:rsidRPr="00173F0A">
        <w:rPr>
          <w:rFonts w:ascii="Arial" w:hAnsi="Arial" w:cs="Arial"/>
          <w:w w:val="100"/>
          <w:sz w:val="22"/>
          <w:szCs w:val="22"/>
        </w:rPr>
        <w:t>whose</w:t>
      </w:r>
      <w:r w:rsidRPr="00173F0A">
        <w:rPr>
          <w:rFonts w:ascii="Arial" w:hAnsi="Arial" w:cs="Arial"/>
          <w:sz w:val="22"/>
          <w:szCs w:val="22"/>
        </w:rPr>
        <w:t xml:space="preserve"> income exceeds the over-income limit for 24 consecutive months and is </w:t>
      </w:r>
      <w:r w:rsidRPr="00173F0A">
        <w:rPr>
          <w:rFonts w:ascii="Arial" w:hAnsi="Arial" w:cs="Arial"/>
          <w:w w:val="100"/>
          <w:sz w:val="22"/>
          <w:szCs w:val="22"/>
        </w:rPr>
        <w:t>paying</w:t>
      </w:r>
      <w:r w:rsidRPr="00173F0A">
        <w:rPr>
          <w:rFonts w:ascii="Arial" w:hAnsi="Arial" w:cs="Arial"/>
          <w:sz w:val="22"/>
          <w:szCs w:val="22"/>
        </w:rPr>
        <w:t xml:space="preserve"> the alternative non-public housing rent. </w:t>
      </w:r>
    </w:p>
    <w:p w14:paraId="1B79912E" w14:textId="77777777" w:rsidR="005353A6"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b/>
          <w:bCs/>
          <w:i/>
          <w:iCs/>
          <w:w w:val="100"/>
          <w:sz w:val="22"/>
          <w:szCs w:val="22"/>
        </w:rPr>
      </w:pPr>
      <w:r w:rsidRPr="00173F0A">
        <w:rPr>
          <w:rFonts w:ascii="Arial" w:hAnsi="Arial" w:cs="Arial"/>
          <w:b/>
          <w:bCs/>
          <w:i/>
          <w:iCs/>
          <w:w w:val="100"/>
          <w:sz w:val="22"/>
          <w:szCs w:val="22"/>
        </w:rPr>
        <w:t xml:space="preserve">Over-income family. </w:t>
      </w:r>
      <w:r w:rsidRPr="00173F0A">
        <w:rPr>
          <w:rFonts w:ascii="Arial" w:hAnsi="Arial" w:cs="Arial"/>
          <w:w w:val="100"/>
          <w:sz w:val="22"/>
          <w:szCs w:val="22"/>
        </w:rPr>
        <w:t>A family whose income exceeds the over-income limit.</w:t>
      </w:r>
    </w:p>
    <w:p w14:paraId="21C36436" w14:textId="77777777" w:rsidR="005353A6"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b/>
          <w:bCs/>
          <w:i/>
          <w:iCs/>
          <w:w w:val="100"/>
          <w:sz w:val="22"/>
          <w:szCs w:val="22"/>
        </w:rPr>
      </w:pPr>
      <w:r w:rsidRPr="00173F0A">
        <w:rPr>
          <w:rFonts w:ascii="Arial" w:hAnsi="Arial" w:cs="Arial"/>
          <w:b/>
          <w:bCs/>
          <w:i/>
          <w:iCs/>
          <w:sz w:val="22"/>
          <w:szCs w:val="22"/>
        </w:rPr>
        <w:t xml:space="preserve">Over-income limit. </w:t>
      </w:r>
      <w:r w:rsidRPr="00173F0A">
        <w:rPr>
          <w:rFonts w:ascii="Arial" w:hAnsi="Arial" w:cs="Arial"/>
          <w:sz w:val="22"/>
          <w:szCs w:val="22"/>
        </w:rPr>
        <w:t>The over-</w:t>
      </w:r>
      <w:r w:rsidRPr="00173F0A">
        <w:rPr>
          <w:rFonts w:ascii="Arial" w:hAnsi="Arial" w:cs="Arial"/>
          <w:w w:val="100"/>
          <w:sz w:val="22"/>
          <w:szCs w:val="22"/>
        </w:rPr>
        <w:t>income</w:t>
      </w:r>
      <w:r w:rsidRPr="00173F0A">
        <w:rPr>
          <w:rFonts w:ascii="Arial" w:hAnsi="Arial" w:cs="Arial"/>
          <w:sz w:val="22"/>
          <w:szCs w:val="22"/>
        </w:rPr>
        <w:t xml:space="preserve"> </w:t>
      </w:r>
      <w:r w:rsidRPr="00173F0A">
        <w:rPr>
          <w:rFonts w:ascii="Arial" w:hAnsi="Arial" w:cs="Arial"/>
          <w:w w:val="100"/>
          <w:sz w:val="22"/>
          <w:szCs w:val="22"/>
        </w:rPr>
        <w:t>limit</w:t>
      </w:r>
      <w:r w:rsidRPr="00173F0A">
        <w:rPr>
          <w:rFonts w:ascii="Arial" w:hAnsi="Arial" w:cs="Arial"/>
          <w:sz w:val="22"/>
          <w:szCs w:val="22"/>
        </w:rPr>
        <w:t xml:space="preserve"> is determined by multiplying the applicable</w:t>
      </w:r>
      <w:r w:rsidR="005353A6" w:rsidRPr="00173F0A">
        <w:rPr>
          <w:rFonts w:ascii="Arial" w:hAnsi="Arial" w:cs="Arial"/>
          <w:sz w:val="22"/>
          <w:szCs w:val="22"/>
        </w:rPr>
        <w:t xml:space="preserve"> </w:t>
      </w:r>
      <w:r w:rsidRPr="00173F0A">
        <w:rPr>
          <w:rFonts w:ascii="Arial" w:hAnsi="Arial" w:cs="Arial"/>
          <w:sz w:val="22"/>
          <w:szCs w:val="22"/>
        </w:rPr>
        <w:t>income limit for a very low-income family, as defined in 24 CFR 5.603(b), by a factor of 2.4.</w:t>
      </w:r>
    </w:p>
    <w:p w14:paraId="5FE81E91" w14:textId="77777777" w:rsidR="005353A6"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b/>
          <w:bCs/>
          <w:i/>
          <w:iCs/>
          <w:w w:val="100"/>
          <w:sz w:val="22"/>
          <w:szCs w:val="22"/>
        </w:rPr>
      </w:pPr>
      <w:r w:rsidRPr="00173F0A">
        <w:rPr>
          <w:rFonts w:ascii="Arial" w:hAnsi="Arial" w:cs="Arial"/>
          <w:b/>
          <w:bCs/>
          <w:i/>
          <w:iCs/>
          <w:w w:val="100"/>
          <w:sz w:val="22"/>
          <w:szCs w:val="22"/>
        </w:rPr>
        <w:t>PHA Plan.</w:t>
      </w:r>
      <w:r w:rsidRPr="00173F0A">
        <w:rPr>
          <w:rFonts w:ascii="Arial" w:hAnsi="Arial" w:cs="Arial"/>
          <w:w w:val="100"/>
          <w:sz w:val="22"/>
          <w:szCs w:val="22"/>
        </w:rPr>
        <w:t xml:space="preserve"> The annual plan and the 5-year plan as adopted by the PHA and approved by HUD.</w:t>
      </w:r>
    </w:p>
    <w:p w14:paraId="66E98E4B" w14:textId="77777777" w:rsidR="005353A6"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b/>
          <w:bCs/>
          <w:i/>
          <w:iCs/>
          <w:w w:val="100"/>
          <w:sz w:val="22"/>
          <w:szCs w:val="22"/>
        </w:rPr>
      </w:pPr>
      <w:r w:rsidRPr="00173F0A">
        <w:rPr>
          <w:rFonts w:ascii="Arial" w:hAnsi="Arial" w:cs="Arial"/>
          <w:b/>
          <w:bCs/>
          <w:i/>
          <w:iCs/>
          <w:w w:val="100"/>
          <w:sz w:val="22"/>
          <w:szCs w:val="22"/>
        </w:rPr>
        <w:t>Participant</w:t>
      </w:r>
      <w:r w:rsidRPr="00173F0A">
        <w:rPr>
          <w:rFonts w:ascii="Arial" w:hAnsi="Arial" w:cs="Arial"/>
          <w:i/>
          <w:iCs/>
          <w:w w:val="100"/>
          <w:sz w:val="22"/>
          <w:szCs w:val="22"/>
        </w:rPr>
        <w:t xml:space="preserve"> </w:t>
      </w:r>
      <w:r w:rsidRPr="00173F0A">
        <w:rPr>
          <w:rFonts w:ascii="Arial" w:hAnsi="Arial" w:cs="Arial"/>
          <w:b/>
          <w:i/>
          <w:iCs/>
          <w:w w:val="100"/>
          <w:sz w:val="22"/>
          <w:szCs w:val="22"/>
        </w:rPr>
        <w:t>(participant family).</w:t>
      </w:r>
      <w:r w:rsidRPr="00173F0A">
        <w:rPr>
          <w:rFonts w:ascii="Arial" w:hAnsi="Arial" w:cs="Arial"/>
          <w:i/>
          <w:iCs/>
          <w:w w:val="100"/>
          <w:sz w:val="22"/>
          <w:szCs w:val="22"/>
        </w:rPr>
        <w:t xml:space="preserve"> </w:t>
      </w:r>
      <w:r w:rsidRPr="00173F0A">
        <w:rPr>
          <w:rFonts w:ascii="Arial" w:hAnsi="Arial" w:cs="Arial"/>
          <w:w w:val="100"/>
          <w:sz w:val="22"/>
          <w:szCs w:val="22"/>
        </w:rPr>
        <w:t>A family that has been admitted to the PHA program and is currently assisted in the program.</w:t>
      </w:r>
    </w:p>
    <w:p w14:paraId="2904C97C" w14:textId="77777777" w:rsidR="00173F0A"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b/>
          <w:bCs/>
          <w:i/>
          <w:iCs/>
          <w:w w:val="100"/>
          <w:sz w:val="22"/>
          <w:szCs w:val="22"/>
        </w:rPr>
      </w:pPr>
      <w:r w:rsidRPr="00173F0A">
        <w:rPr>
          <w:rFonts w:ascii="Arial" w:hAnsi="Arial" w:cs="Arial"/>
          <w:b/>
          <w:bCs/>
          <w:i/>
          <w:iCs/>
          <w:w w:val="100"/>
          <w:sz w:val="22"/>
          <w:szCs w:val="22"/>
        </w:rPr>
        <w:t>Person with disabilities</w:t>
      </w:r>
      <w:r w:rsidRPr="00173F0A">
        <w:rPr>
          <w:rFonts w:ascii="Arial" w:hAnsi="Arial" w:cs="Arial"/>
          <w:i/>
          <w:iCs/>
          <w:w w:val="100"/>
          <w:sz w:val="22"/>
          <w:szCs w:val="22"/>
        </w:rPr>
        <w:t>.</w:t>
      </w:r>
      <w:r w:rsidRPr="00173F0A">
        <w:rPr>
          <w:rFonts w:ascii="Arial" w:hAnsi="Arial" w:cs="Arial"/>
          <w:w w:val="100"/>
          <w:sz w:val="22"/>
          <w:szCs w:val="22"/>
        </w:rPr>
        <w:t xml:space="preserve"> </w:t>
      </w:r>
      <w:r w:rsidR="00173F0A" w:rsidRPr="00173F0A">
        <w:rPr>
          <w:rFonts w:ascii="Arial" w:hAnsi="Arial" w:cs="Arial"/>
          <w:w w:val="100"/>
          <w:sz w:val="22"/>
          <w:szCs w:val="22"/>
        </w:rPr>
        <w:t xml:space="preserve">See </w:t>
      </w:r>
      <w:r w:rsidR="00173F0A" w:rsidRPr="00173F0A">
        <w:rPr>
          <w:rFonts w:ascii="Arial" w:hAnsi="Arial" w:cs="Arial"/>
          <w:b/>
          <w:bCs/>
          <w:color w:val="0070C0"/>
          <w:w w:val="100"/>
          <w:sz w:val="22"/>
          <w:szCs w:val="22"/>
        </w:rPr>
        <w:fldChar w:fldCharType="begin"/>
      </w:r>
      <w:r w:rsidR="00173F0A" w:rsidRPr="00173F0A">
        <w:rPr>
          <w:rFonts w:ascii="Arial" w:hAnsi="Arial" w:cs="Arial"/>
          <w:b/>
          <w:bCs/>
          <w:color w:val="0070C0"/>
          <w:w w:val="100"/>
          <w:sz w:val="22"/>
          <w:szCs w:val="22"/>
        </w:rPr>
        <w:instrText xml:space="preserve"> REF _Ref163635997 \h  \* MERGEFORMAT </w:instrText>
      </w:r>
      <w:r w:rsidR="00173F0A" w:rsidRPr="00173F0A">
        <w:rPr>
          <w:rFonts w:ascii="Arial" w:hAnsi="Arial" w:cs="Arial"/>
          <w:b/>
          <w:bCs/>
          <w:color w:val="0070C0"/>
          <w:w w:val="100"/>
          <w:sz w:val="22"/>
          <w:szCs w:val="22"/>
        </w:rPr>
      </w:r>
      <w:r w:rsidR="00173F0A" w:rsidRPr="00173F0A">
        <w:rPr>
          <w:rFonts w:ascii="Arial" w:hAnsi="Arial" w:cs="Arial"/>
          <w:b/>
          <w:bCs/>
          <w:color w:val="0070C0"/>
          <w:w w:val="100"/>
          <w:sz w:val="22"/>
          <w:szCs w:val="22"/>
        </w:rPr>
        <w:fldChar w:fldCharType="separate"/>
      </w:r>
      <w:r w:rsidR="00173F0A" w:rsidRPr="00173F0A">
        <w:rPr>
          <w:rFonts w:ascii="Arial" w:hAnsi="Arial" w:cs="Arial"/>
          <w:b/>
          <w:bCs/>
          <w:color w:val="0070C0"/>
          <w:sz w:val="22"/>
          <w:szCs w:val="22"/>
        </w:rPr>
        <w:t>Definition of Disability</w:t>
      </w:r>
      <w:r w:rsidR="00173F0A" w:rsidRPr="00173F0A">
        <w:rPr>
          <w:rFonts w:ascii="Arial" w:hAnsi="Arial" w:cs="Arial"/>
          <w:b/>
          <w:bCs/>
          <w:color w:val="0070C0"/>
          <w:w w:val="100"/>
          <w:sz w:val="22"/>
          <w:szCs w:val="22"/>
        </w:rPr>
        <w:fldChar w:fldCharType="end"/>
      </w:r>
      <w:r w:rsidR="00173F0A" w:rsidRPr="00173F0A">
        <w:rPr>
          <w:rFonts w:ascii="Arial" w:hAnsi="Arial" w:cs="Arial"/>
          <w:w w:val="100"/>
          <w:sz w:val="22"/>
          <w:szCs w:val="22"/>
        </w:rPr>
        <w:t xml:space="preserve"> in the </w:t>
      </w:r>
      <w:r w:rsidR="00173F0A" w:rsidRPr="00173F0A">
        <w:rPr>
          <w:rFonts w:ascii="Arial" w:hAnsi="Arial" w:cs="Arial"/>
          <w:b/>
          <w:bCs/>
          <w:color w:val="0070C0"/>
          <w:w w:val="100"/>
          <w:sz w:val="22"/>
          <w:szCs w:val="22"/>
        </w:rPr>
        <w:fldChar w:fldCharType="begin"/>
      </w:r>
      <w:r w:rsidR="00173F0A" w:rsidRPr="00173F0A">
        <w:rPr>
          <w:rFonts w:ascii="Arial" w:hAnsi="Arial" w:cs="Arial"/>
          <w:b/>
          <w:bCs/>
          <w:color w:val="0070C0"/>
          <w:w w:val="100"/>
          <w:sz w:val="22"/>
          <w:szCs w:val="22"/>
        </w:rPr>
        <w:instrText xml:space="preserve"> REF _Ref163636015 \h  \* MERGEFORMAT </w:instrText>
      </w:r>
      <w:r w:rsidR="00173F0A" w:rsidRPr="00173F0A">
        <w:rPr>
          <w:rFonts w:ascii="Arial" w:hAnsi="Arial" w:cs="Arial"/>
          <w:b/>
          <w:bCs/>
          <w:color w:val="0070C0"/>
          <w:w w:val="100"/>
          <w:sz w:val="22"/>
          <w:szCs w:val="22"/>
        </w:rPr>
      </w:r>
      <w:r w:rsidR="00173F0A" w:rsidRPr="00173F0A">
        <w:rPr>
          <w:rFonts w:ascii="Arial" w:hAnsi="Arial" w:cs="Arial"/>
          <w:b/>
          <w:bCs/>
          <w:color w:val="0070C0"/>
          <w:w w:val="100"/>
          <w:sz w:val="22"/>
          <w:szCs w:val="22"/>
        </w:rPr>
        <w:fldChar w:fldCharType="separate"/>
      </w:r>
      <w:r w:rsidR="00173F0A" w:rsidRPr="00173F0A">
        <w:rPr>
          <w:rFonts w:ascii="Arial" w:hAnsi="Arial" w:cs="Arial"/>
          <w:b/>
          <w:bCs/>
          <w:color w:val="0070C0"/>
          <w:sz w:val="22"/>
          <w:szCs w:val="22"/>
        </w:rPr>
        <w:t>FAIR HOUSING AND EQUAL OPPORTUNITY</w:t>
      </w:r>
      <w:r w:rsidR="00173F0A" w:rsidRPr="00173F0A">
        <w:rPr>
          <w:rFonts w:ascii="Arial" w:hAnsi="Arial" w:cs="Arial"/>
          <w:b/>
          <w:bCs/>
          <w:color w:val="0070C0"/>
          <w:w w:val="100"/>
          <w:sz w:val="22"/>
          <w:szCs w:val="22"/>
        </w:rPr>
        <w:fldChar w:fldCharType="end"/>
      </w:r>
      <w:r w:rsidR="00173F0A" w:rsidRPr="00173F0A">
        <w:rPr>
          <w:rFonts w:ascii="Arial" w:hAnsi="Arial" w:cs="Arial"/>
          <w:w w:val="100"/>
          <w:sz w:val="22"/>
          <w:szCs w:val="22"/>
        </w:rPr>
        <w:t xml:space="preserve"> chapter.</w:t>
      </w:r>
    </w:p>
    <w:p w14:paraId="37B265A6" w14:textId="77777777" w:rsidR="00173F0A"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b/>
          <w:bCs/>
          <w:i/>
          <w:iCs/>
          <w:w w:val="100"/>
          <w:sz w:val="22"/>
          <w:szCs w:val="22"/>
        </w:rPr>
      </w:pPr>
      <w:r w:rsidRPr="00173F0A">
        <w:rPr>
          <w:rFonts w:ascii="Arial" w:hAnsi="Arial" w:cs="Arial"/>
          <w:b/>
          <w:bCs/>
          <w:i/>
          <w:iCs/>
          <w:w w:val="100"/>
          <w:sz w:val="22"/>
          <w:szCs w:val="22"/>
        </w:rPr>
        <w:t>Premises</w:t>
      </w:r>
      <w:r w:rsidRPr="00173F0A">
        <w:rPr>
          <w:rFonts w:ascii="Arial" w:hAnsi="Arial" w:cs="Arial"/>
          <w:b/>
          <w:w w:val="100"/>
          <w:sz w:val="22"/>
          <w:szCs w:val="22"/>
        </w:rPr>
        <w:t>.</w:t>
      </w:r>
      <w:r w:rsidRPr="00173F0A">
        <w:rPr>
          <w:rFonts w:ascii="Arial" w:hAnsi="Arial" w:cs="Arial"/>
          <w:w w:val="100"/>
          <w:sz w:val="22"/>
          <w:szCs w:val="22"/>
        </w:rPr>
        <w:t xml:space="preserve"> The building or complex in which the dwelling unit is located, including common areas and grounds.</w:t>
      </w:r>
    </w:p>
    <w:p w14:paraId="51F275B5" w14:textId="77777777" w:rsidR="00173F0A"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b/>
          <w:bCs/>
          <w:i/>
          <w:iCs/>
          <w:w w:val="100"/>
          <w:sz w:val="22"/>
          <w:szCs w:val="22"/>
        </w:rPr>
      </w:pPr>
      <w:r w:rsidRPr="00173F0A">
        <w:rPr>
          <w:rFonts w:ascii="Arial" w:hAnsi="Arial" w:cs="Arial"/>
          <w:b/>
          <w:bCs/>
          <w:i/>
          <w:iCs/>
          <w:w w:val="100"/>
          <w:sz w:val="22"/>
          <w:szCs w:val="22"/>
        </w:rPr>
        <w:t xml:space="preserve">Previously unemployed. </w:t>
      </w:r>
      <w:r w:rsidRPr="00173F0A">
        <w:rPr>
          <w:rFonts w:ascii="Arial" w:hAnsi="Arial" w:cs="Arial"/>
          <w:bCs/>
          <w:iCs/>
          <w:w w:val="100"/>
          <w:sz w:val="22"/>
          <w:szCs w:val="22"/>
        </w:rPr>
        <w:t>With regard to the earned income disallowance, a person who has earned, in the 12 months previous to employment, no more than would be received for 10 hours of work per week for 50 weeks at the established minimum wage.</w:t>
      </w:r>
    </w:p>
    <w:p w14:paraId="5D9A89E0" w14:textId="77777777" w:rsidR="00173F0A"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b/>
          <w:bCs/>
          <w:i/>
          <w:iCs/>
          <w:w w:val="100"/>
          <w:sz w:val="22"/>
          <w:szCs w:val="22"/>
        </w:rPr>
      </w:pPr>
      <w:r w:rsidRPr="00173F0A">
        <w:rPr>
          <w:rFonts w:ascii="Arial" w:hAnsi="Arial" w:cs="Arial"/>
          <w:b/>
          <w:bCs/>
          <w:i/>
          <w:iCs/>
          <w:w w:val="100"/>
          <w:sz w:val="22"/>
          <w:szCs w:val="22"/>
        </w:rPr>
        <w:t>Public assistance</w:t>
      </w:r>
      <w:r w:rsidRPr="00173F0A">
        <w:rPr>
          <w:rFonts w:ascii="Arial" w:hAnsi="Arial" w:cs="Arial"/>
          <w:b/>
          <w:bCs/>
          <w:w w:val="100"/>
          <w:sz w:val="22"/>
          <w:szCs w:val="22"/>
        </w:rPr>
        <w:t>.</w:t>
      </w:r>
      <w:r w:rsidRPr="00173F0A">
        <w:rPr>
          <w:rFonts w:ascii="Arial" w:hAnsi="Arial" w:cs="Arial"/>
          <w:w w:val="100"/>
          <w:sz w:val="22"/>
          <w:szCs w:val="22"/>
        </w:rPr>
        <w:t xml:space="preserve"> Welfare or other payments to families or individuals, based on need, which are made under programs funded, separately or jointly, by federal, state, or local governments.</w:t>
      </w:r>
    </w:p>
    <w:p w14:paraId="0CA85083" w14:textId="77777777" w:rsidR="00173F0A"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b/>
          <w:bCs/>
          <w:i/>
          <w:iCs/>
          <w:w w:val="100"/>
          <w:sz w:val="22"/>
          <w:szCs w:val="22"/>
        </w:rPr>
      </w:pPr>
      <w:r w:rsidRPr="00173F0A">
        <w:rPr>
          <w:rFonts w:ascii="Arial" w:hAnsi="Arial" w:cs="Arial"/>
          <w:b/>
          <w:bCs/>
          <w:i/>
          <w:iCs/>
          <w:w w:val="100"/>
          <w:sz w:val="22"/>
          <w:szCs w:val="22"/>
        </w:rPr>
        <w:t>Public</w:t>
      </w:r>
      <w:r w:rsidRPr="00173F0A">
        <w:rPr>
          <w:rFonts w:ascii="Arial" w:hAnsi="Arial" w:cs="Arial"/>
          <w:b/>
          <w:bCs/>
          <w:w w:val="100"/>
          <w:sz w:val="22"/>
          <w:szCs w:val="22"/>
        </w:rPr>
        <w:t xml:space="preserve"> </w:t>
      </w:r>
      <w:r w:rsidRPr="00173F0A">
        <w:rPr>
          <w:rFonts w:ascii="Arial" w:hAnsi="Arial" w:cs="Arial"/>
          <w:b/>
          <w:bCs/>
          <w:i/>
          <w:iCs/>
          <w:w w:val="100"/>
          <w:sz w:val="22"/>
          <w:szCs w:val="22"/>
        </w:rPr>
        <w:t>housing</w:t>
      </w:r>
      <w:r w:rsidRPr="00173F0A">
        <w:rPr>
          <w:rFonts w:ascii="Arial" w:hAnsi="Arial" w:cs="Arial"/>
          <w:b/>
          <w:bCs/>
          <w:i/>
          <w:w w:val="100"/>
          <w:sz w:val="22"/>
          <w:szCs w:val="22"/>
        </w:rPr>
        <w:t xml:space="preserve"> </w:t>
      </w:r>
      <w:r w:rsidRPr="00173F0A">
        <w:rPr>
          <w:rFonts w:ascii="Arial" w:hAnsi="Arial" w:cs="Arial"/>
          <w:b/>
          <w:bCs/>
          <w:i/>
          <w:iCs/>
          <w:w w:val="100"/>
          <w:sz w:val="22"/>
          <w:szCs w:val="22"/>
        </w:rPr>
        <w:t>agency</w:t>
      </w:r>
      <w:r w:rsidRPr="00173F0A">
        <w:rPr>
          <w:rFonts w:ascii="Arial" w:hAnsi="Arial" w:cs="Arial"/>
          <w:b/>
          <w:w w:val="100"/>
          <w:sz w:val="22"/>
          <w:szCs w:val="22"/>
        </w:rPr>
        <w:t xml:space="preserve"> </w:t>
      </w:r>
      <w:r w:rsidRPr="00173F0A">
        <w:rPr>
          <w:rFonts w:ascii="Arial" w:hAnsi="Arial" w:cs="Arial"/>
          <w:b/>
          <w:i/>
          <w:iCs/>
          <w:w w:val="100"/>
          <w:sz w:val="22"/>
          <w:szCs w:val="22"/>
        </w:rPr>
        <w:t>(PHA)</w:t>
      </w:r>
      <w:r w:rsidRPr="00173F0A">
        <w:rPr>
          <w:rFonts w:ascii="Arial" w:hAnsi="Arial" w:cs="Arial"/>
          <w:b/>
          <w:w w:val="100"/>
          <w:sz w:val="22"/>
          <w:szCs w:val="22"/>
        </w:rPr>
        <w:t>.</w:t>
      </w:r>
      <w:r w:rsidRPr="00173F0A">
        <w:rPr>
          <w:rFonts w:ascii="Arial" w:hAnsi="Arial" w:cs="Arial"/>
          <w:w w:val="100"/>
          <w:sz w:val="22"/>
          <w:szCs w:val="22"/>
        </w:rPr>
        <w:t xml:space="preserve"> Any state, county, municipality, or other governmental entity or public body, or agency or instrumentality of these entities, that is authorized to engage or assist in the development or operation of low-income housing under the 1937 Act</w:t>
      </w:r>
    </w:p>
    <w:p w14:paraId="302567EA" w14:textId="77777777" w:rsidR="00173F0A"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b/>
          <w:bCs/>
          <w:i/>
          <w:iCs/>
          <w:w w:val="100"/>
          <w:sz w:val="22"/>
          <w:szCs w:val="22"/>
        </w:rPr>
      </w:pPr>
      <w:r w:rsidRPr="00173F0A">
        <w:rPr>
          <w:rFonts w:ascii="Arial" w:hAnsi="Arial" w:cs="Arial"/>
          <w:b/>
          <w:bCs/>
          <w:i/>
          <w:iCs/>
          <w:w w:val="100"/>
          <w:sz w:val="22"/>
          <w:szCs w:val="22"/>
        </w:rPr>
        <w:t xml:space="preserve">Real property. </w:t>
      </w:r>
      <w:r w:rsidRPr="00173F0A">
        <w:rPr>
          <w:rFonts w:ascii="Arial" w:hAnsi="Arial" w:cs="Arial"/>
          <w:w w:val="100"/>
          <w:sz w:val="22"/>
          <w:szCs w:val="22"/>
        </w:rPr>
        <w:t>Has the same meaning as that provided under the law of the State in which the property is located.</w:t>
      </w:r>
    </w:p>
    <w:p w14:paraId="261049EF" w14:textId="77777777" w:rsidR="00173F0A"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b/>
          <w:bCs/>
          <w:i/>
          <w:iCs/>
          <w:w w:val="100"/>
          <w:sz w:val="22"/>
          <w:szCs w:val="22"/>
        </w:rPr>
      </w:pPr>
      <w:r w:rsidRPr="00173F0A">
        <w:rPr>
          <w:rFonts w:ascii="Arial" w:hAnsi="Arial" w:cs="Arial"/>
          <w:b/>
          <w:bCs/>
          <w:i/>
          <w:iCs/>
          <w:w w:val="100"/>
          <w:sz w:val="22"/>
          <w:szCs w:val="22"/>
        </w:rPr>
        <w:t xml:space="preserve">Reasonable accommodation. </w:t>
      </w:r>
      <w:r w:rsidRPr="00173F0A">
        <w:rPr>
          <w:rFonts w:ascii="Arial" w:hAnsi="Arial" w:cs="Arial"/>
          <w:bCs/>
          <w:iCs/>
          <w:w w:val="100"/>
          <w:sz w:val="22"/>
          <w:szCs w:val="22"/>
        </w:rPr>
        <w:t>A</w:t>
      </w:r>
      <w:r w:rsidRPr="00173F0A">
        <w:rPr>
          <w:rFonts w:ascii="Arial" w:hAnsi="Arial" w:cs="Arial"/>
          <w:b/>
          <w:bCs/>
          <w:i/>
          <w:iCs/>
          <w:w w:val="100"/>
          <w:sz w:val="22"/>
          <w:szCs w:val="22"/>
        </w:rPr>
        <w:t xml:space="preserve"> </w:t>
      </w:r>
      <w:r w:rsidRPr="00173F0A">
        <w:rPr>
          <w:rFonts w:ascii="Arial" w:hAnsi="Arial" w:cs="Arial"/>
          <w:sz w:val="22"/>
          <w:szCs w:val="22"/>
        </w:rPr>
        <w:t>change, exception, or adjustment to a rule, policy, practice, or service to allow a person with disabilities to fully access the PHA’s programs or services.</w:t>
      </w:r>
    </w:p>
    <w:p w14:paraId="59F12C11" w14:textId="77777777" w:rsidR="00173F0A"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b/>
          <w:bCs/>
          <w:i/>
          <w:iCs/>
          <w:w w:val="100"/>
          <w:sz w:val="22"/>
          <w:szCs w:val="22"/>
        </w:rPr>
      </w:pPr>
      <w:r w:rsidRPr="00173F0A">
        <w:rPr>
          <w:rFonts w:ascii="Arial" w:hAnsi="Arial" w:cs="Arial"/>
          <w:b/>
          <w:bCs/>
          <w:i/>
          <w:iCs/>
          <w:w w:val="100"/>
          <w:sz w:val="22"/>
          <w:szCs w:val="22"/>
        </w:rPr>
        <w:t>Recertification</w:t>
      </w:r>
      <w:r w:rsidRPr="00173F0A">
        <w:rPr>
          <w:rFonts w:ascii="Arial" w:hAnsi="Arial" w:cs="Arial"/>
          <w:b/>
          <w:bCs/>
          <w:w w:val="100"/>
          <w:sz w:val="22"/>
          <w:szCs w:val="22"/>
        </w:rPr>
        <w:t>.</w:t>
      </w:r>
      <w:r w:rsidRPr="00173F0A">
        <w:rPr>
          <w:rFonts w:ascii="Arial" w:hAnsi="Arial" w:cs="Arial"/>
          <w:w w:val="100"/>
          <w:sz w:val="22"/>
          <w:szCs w:val="22"/>
        </w:rPr>
        <w:t xml:space="preserve"> Sometimes called </w:t>
      </w:r>
      <w:r w:rsidRPr="00173F0A">
        <w:rPr>
          <w:rFonts w:ascii="Arial" w:hAnsi="Arial" w:cs="Arial"/>
          <w:i/>
          <w:w w:val="100"/>
          <w:sz w:val="22"/>
          <w:szCs w:val="22"/>
        </w:rPr>
        <w:t>reexamination.</w:t>
      </w:r>
      <w:r w:rsidRPr="00173F0A">
        <w:rPr>
          <w:rFonts w:ascii="Arial" w:hAnsi="Arial" w:cs="Arial"/>
          <w:w w:val="100"/>
          <w:sz w:val="22"/>
          <w:szCs w:val="22"/>
        </w:rPr>
        <w:t xml:space="preserve"> The process of securing documentation of total family income used to determine the rent the tenant will pay for the next 12 months if there are no additional changes to be reported. </w:t>
      </w:r>
    </w:p>
    <w:p w14:paraId="143464A4" w14:textId="77777777" w:rsidR="00173F0A"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b/>
          <w:bCs/>
          <w:i/>
          <w:iCs/>
          <w:w w:val="100"/>
          <w:sz w:val="22"/>
          <w:szCs w:val="22"/>
        </w:rPr>
      </w:pPr>
      <w:r w:rsidRPr="00173F0A">
        <w:rPr>
          <w:rFonts w:ascii="Arial" w:hAnsi="Arial" w:cs="Arial"/>
          <w:b/>
          <w:bCs/>
          <w:i/>
          <w:iCs/>
          <w:w w:val="100"/>
          <w:sz w:val="22"/>
          <w:szCs w:val="22"/>
        </w:rPr>
        <w:t>Remaining member of the tenant family</w:t>
      </w:r>
      <w:r w:rsidRPr="00173F0A">
        <w:rPr>
          <w:rFonts w:ascii="Arial" w:hAnsi="Arial" w:cs="Arial"/>
          <w:b/>
          <w:bCs/>
          <w:w w:val="100"/>
          <w:sz w:val="22"/>
          <w:szCs w:val="22"/>
        </w:rPr>
        <w:t>.</w:t>
      </w:r>
      <w:r w:rsidRPr="00173F0A">
        <w:rPr>
          <w:rFonts w:ascii="Arial" w:hAnsi="Arial" w:cs="Arial"/>
          <w:w w:val="100"/>
          <w:sz w:val="22"/>
          <w:szCs w:val="22"/>
        </w:rPr>
        <w:t xml:space="preserve"> The person left in assisted housing who may or may not normally qualify for assistance on their own circumstances (i.e., an elderly spouse dies, leaving widow age 47 who is not disabled).</w:t>
      </w:r>
    </w:p>
    <w:p w14:paraId="3905A099" w14:textId="77777777" w:rsidR="00173F0A"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b/>
          <w:bCs/>
          <w:i/>
          <w:iCs/>
          <w:w w:val="100"/>
          <w:sz w:val="22"/>
          <w:szCs w:val="22"/>
        </w:rPr>
      </w:pPr>
      <w:r w:rsidRPr="00173F0A">
        <w:rPr>
          <w:rFonts w:ascii="Arial" w:hAnsi="Arial" w:cs="Arial"/>
          <w:b/>
          <w:bCs/>
          <w:i/>
          <w:iCs/>
          <w:w w:val="100"/>
          <w:sz w:val="22"/>
          <w:szCs w:val="22"/>
        </w:rPr>
        <w:t>Residency preference.</w:t>
      </w:r>
      <w:r w:rsidRPr="00173F0A">
        <w:rPr>
          <w:rFonts w:ascii="Arial" w:hAnsi="Arial" w:cs="Arial"/>
          <w:w w:val="100"/>
          <w:sz w:val="22"/>
          <w:szCs w:val="22"/>
        </w:rPr>
        <w:t xml:space="preserve"> A PHA preference for admission of families that reside anywhere in a specified area, including families with a member who works or has been hired to work in the area (See </w:t>
      </w:r>
      <w:r w:rsidRPr="00173F0A">
        <w:rPr>
          <w:rFonts w:ascii="Arial" w:hAnsi="Arial" w:cs="Arial"/>
          <w:i/>
          <w:w w:val="100"/>
          <w:sz w:val="22"/>
          <w:szCs w:val="22"/>
        </w:rPr>
        <w:t>residency preference area</w:t>
      </w:r>
      <w:r w:rsidRPr="00173F0A">
        <w:rPr>
          <w:rFonts w:ascii="Arial" w:hAnsi="Arial" w:cs="Arial"/>
          <w:w w:val="100"/>
          <w:sz w:val="22"/>
          <w:szCs w:val="22"/>
        </w:rPr>
        <w:t>).</w:t>
      </w:r>
    </w:p>
    <w:p w14:paraId="27EEF031" w14:textId="77777777" w:rsidR="00173F0A"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b/>
          <w:bCs/>
          <w:i/>
          <w:iCs/>
          <w:w w:val="100"/>
          <w:sz w:val="22"/>
          <w:szCs w:val="22"/>
        </w:rPr>
      </w:pPr>
      <w:r w:rsidRPr="00173F0A">
        <w:rPr>
          <w:rFonts w:ascii="Arial" w:hAnsi="Arial" w:cs="Arial"/>
          <w:b/>
          <w:bCs/>
          <w:i/>
          <w:iCs/>
          <w:w w:val="100"/>
          <w:sz w:val="22"/>
          <w:szCs w:val="22"/>
        </w:rPr>
        <w:t xml:space="preserve">Residency preference area. </w:t>
      </w:r>
      <w:r w:rsidRPr="00173F0A">
        <w:rPr>
          <w:rFonts w:ascii="Arial" w:hAnsi="Arial" w:cs="Arial"/>
          <w:w w:val="100"/>
          <w:sz w:val="22"/>
          <w:szCs w:val="22"/>
        </w:rPr>
        <w:t>The specified area where families must reside to qualify for a residency preference.</w:t>
      </w:r>
    </w:p>
    <w:p w14:paraId="14813CC7" w14:textId="77777777" w:rsidR="00173F0A"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b/>
          <w:bCs/>
          <w:i/>
          <w:iCs/>
          <w:w w:val="100"/>
          <w:sz w:val="22"/>
          <w:szCs w:val="22"/>
        </w:rPr>
      </w:pPr>
      <w:r w:rsidRPr="00173F0A">
        <w:rPr>
          <w:rFonts w:ascii="Arial" w:hAnsi="Arial" w:cs="Arial"/>
          <w:b/>
          <w:bCs/>
          <w:i/>
          <w:iCs/>
          <w:w w:val="100"/>
          <w:sz w:val="22"/>
          <w:szCs w:val="22"/>
        </w:rPr>
        <w:t>Responsible entity</w:t>
      </w:r>
      <w:r w:rsidRPr="00173F0A">
        <w:rPr>
          <w:rFonts w:ascii="Arial" w:hAnsi="Arial" w:cs="Arial"/>
          <w:i/>
          <w:iCs/>
          <w:w w:val="100"/>
          <w:sz w:val="22"/>
          <w:szCs w:val="22"/>
        </w:rPr>
        <w:t xml:space="preserve">. </w:t>
      </w:r>
      <w:r w:rsidRPr="00173F0A">
        <w:rPr>
          <w:rFonts w:ascii="Arial" w:hAnsi="Arial" w:cs="Arial"/>
          <w:w w:val="100"/>
          <w:sz w:val="22"/>
          <w:szCs w:val="22"/>
        </w:rPr>
        <w:t>For the public housing program, the PHA administering the program under an ACC with HUD</w:t>
      </w:r>
      <w:r w:rsidR="00173F0A" w:rsidRPr="00173F0A">
        <w:rPr>
          <w:rFonts w:ascii="Arial" w:hAnsi="Arial" w:cs="Arial"/>
          <w:w w:val="100"/>
          <w:sz w:val="22"/>
          <w:szCs w:val="22"/>
        </w:rPr>
        <w:t>.</w:t>
      </w:r>
    </w:p>
    <w:p w14:paraId="3D0561E1" w14:textId="77777777" w:rsidR="00173F0A"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b/>
          <w:bCs/>
          <w:i/>
          <w:iCs/>
          <w:w w:val="100"/>
          <w:sz w:val="22"/>
          <w:szCs w:val="22"/>
        </w:rPr>
      </w:pPr>
      <w:r w:rsidRPr="00173F0A">
        <w:rPr>
          <w:rFonts w:ascii="Arial" w:hAnsi="Arial" w:cs="Arial"/>
          <w:b/>
          <w:bCs/>
          <w:i/>
          <w:iCs/>
          <w:w w:val="100"/>
          <w:sz w:val="22"/>
          <w:szCs w:val="22"/>
        </w:rPr>
        <w:t>Secretary</w:t>
      </w:r>
      <w:r w:rsidRPr="00173F0A">
        <w:rPr>
          <w:rFonts w:ascii="Arial" w:hAnsi="Arial" w:cs="Arial"/>
          <w:b/>
          <w:w w:val="100"/>
          <w:sz w:val="22"/>
          <w:szCs w:val="22"/>
        </w:rPr>
        <w:t>.</w:t>
      </w:r>
      <w:r w:rsidRPr="00173F0A">
        <w:rPr>
          <w:rFonts w:ascii="Arial" w:hAnsi="Arial" w:cs="Arial"/>
          <w:w w:val="100"/>
          <w:sz w:val="22"/>
          <w:szCs w:val="22"/>
        </w:rPr>
        <w:t xml:space="preserve"> The Secretary of Housing and Urban Development.</w:t>
      </w:r>
    </w:p>
    <w:p w14:paraId="1288C870" w14:textId="77777777" w:rsidR="00173F0A"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b/>
          <w:bCs/>
          <w:i/>
          <w:iCs/>
          <w:w w:val="100"/>
          <w:sz w:val="22"/>
          <w:szCs w:val="22"/>
        </w:rPr>
      </w:pPr>
      <w:r w:rsidRPr="00173F0A">
        <w:rPr>
          <w:rFonts w:ascii="Arial" w:hAnsi="Arial" w:cs="Arial"/>
          <w:b/>
          <w:bCs/>
          <w:i/>
          <w:iCs/>
          <w:w w:val="100"/>
          <w:sz w:val="22"/>
          <w:szCs w:val="22"/>
        </w:rPr>
        <w:t>Seasonal worker</w:t>
      </w:r>
      <w:r w:rsidRPr="00173F0A">
        <w:rPr>
          <w:rFonts w:ascii="Arial" w:hAnsi="Arial" w:cs="Arial"/>
          <w:w w:val="100"/>
          <w:sz w:val="22"/>
          <w:szCs w:val="22"/>
        </w:rPr>
        <w:t>. An individual who is hired into a short-term position and the employment begins about the same time each year (such as summer or winter). Typically, the individual is hired to address seasonal demands that arise for the particular employer or industry.</w:t>
      </w:r>
    </w:p>
    <w:p w14:paraId="247E200B" w14:textId="77777777" w:rsidR="00173F0A"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b/>
          <w:bCs/>
          <w:i/>
          <w:iCs/>
          <w:w w:val="100"/>
          <w:sz w:val="22"/>
          <w:szCs w:val="22"/>
        </w:rPr>
      </w:pPr>
      <w:r w:rsidRPr="00173F0A">
        <w:rPr>
          <w:rFonts w:ascii="Arial" w:hAnsi="Arial" w:cs="Arial"/>
          <w:b/>
          <w:bCs/>
          <w:i/>
          <w:iCs/>
          <w:w w:val="100"/>
          <w:sz w:val="22"/>
          <w:szCs w:val="22"/>
        </w:rPr>
        <w:t>Section</w:t>
      </w:r>
      <w:r w:rsidRPr="00173F0A">
        <w:rPr>
          <w:rFonts w:ascii="Arial" w:hAnsi="Arial" w:cs="Arial"/>
          <w:w w:val="100"/>
          <w:sz w:val="22"/>
          <w:szCs w:val="22"/>
        </w:rPr>
        <w:t xml:space="preserve"> </w:t>
      </w:r>
      <w:r w:rsidRPr="00173F0A">
        <w:rPr>
          <w:rFonts w:ascii="Arial" w:hAnsi="Arial" w:cs="Arial"/>
          <w:b/>
          <w:bCs/>
          <w:i/>
          <w:iCs/>
          <w:w w:val="100"/>
          <w:sz w:val="22"/>
          <w:szCs w:val="22"/>
        </w:rPr>
        <w:t>8</w:t>
      </w:r>
      <w:r w:rsidRPr="00173F0A">
        <w:rPr>
          <w:rFonts w:ascii="Arial" w:hAnsi="Arial" w:cs="Arial"/>
          <w:b/>
          <w:w w:val="100"/>
          <w:sz w:val="22"/>
          <w:szCs w:val="22"/>
        </w:rPr>
        <w:t>.</w:t>
      </w:r>
      <w:r w:rsidRPr="00173F0A">
        <w:rPr>
          <w:rFonts w:ascii="Arial" w:hAnsi="Arial" w:cs="Arial"/>
          <w:w w:val="100"/>
          <w:sz w:val="22"/>
          <w:szCs w:val="22"/>
        </w:rPr>
        <w:t xml:space="preserve"> Section 8 of the United States Housing Act of 1937; refers to the housing choice voucher program</w:t>
      </w:r>
      <w:r w:rsidR="00173F0A" w:rsidRPr="00173F0A">
        <w:rPr>
          <w:rFonts w:ascii="Arial" w:hAnsi="Arial" w:cs="Arial"/>
          <w:w w:val="100"/>
          <w:sz w:val="22"/>
          <w:szCs w:val="22"/>
        </w:rPr>
        <w:t>.</w:t>
      </w:r>
    </w:p>
    <w:p w14:paraId="15A0180C" w14:textId="77777777" w:rsidR="00173F0A"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b/>
          <w:bCs/>
          <w:i/>
          <w:iCs/>
          <w:w w:val="100"/>
          <w:sz w:val="22"/>
          <w:szCs w:val="22"/>
        </w:rPr>
      </w:pPr>
      <w:r w:rsidRPr="00173F0A">
        <w:rPr>
          <w:rFonts w:ascii="Arial" w:hAnsi="Arial" w:cs="Arial"/>
          <w:b/>
          <w:bCs/>
          <w:i/>
          <w:iCs/>
          <w:w w:val="100"/>
          <w:sz w:val="22"/>
          <w:szCs w:val="22"/>
        </w:rPr>
        <w:t xml:space="preserve">Security deposit. </w:t>
      </w:r>
      <w:r w:rsidRPr="00173F0A">
        <w:rPr>
          <w:rFonts w:ascii="Arial" w:hAnsi="Arial" w:cs="Arial"/>
          <w:w w:val="100"/>
          <w:sz w:val="22"/>
          <w:szCs w:val="22"/>
        </w:rPr>
        <w:t>A dollar amount (maximum set according to the regulations) which can be used for unpaid rent or damages to the PHA upon termination of the lease.</w:t>
      </w:r>
    </w:p>
    <w:p w14:paraId="39C733DD" w14:textId="77777777" w:rsidR="00173F0A"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b/>
          <w:bCs/>
          <w:i/>
          <w:iCs/>
          <w:w w:val="100"/>
          <w:sz w:val="22"/>
          <w:szCs w:val="22"/>
        </w:rPr>
      </w:pPr>
      <w:r w:rsidRPr="00173F0A">
        <w:rPr>
          <w:rFonts w:ascii="Arial" w:hAnsi="Arial" w:cs="Arial"/>
          <w:b/>
          <w:bCs/>
          <w:i/>
          <w:iCs/>
          <w:w w:val="100"/>
          <w:sz w:val="22"/>
          <w:szCs w:val="22"/>
        </w:rPr>
        <w:t xml:space="preserve">Sexual assault. </w:t>
      </w:r>
      <w:r w:rsidRPr="00173F0A">
        <w:rPr>
          <w:rFonts w:ascii="Arial" w:hAnsi="Arial" w:cs="Arial"/>
          <w:bCs/>
          <w:iCs/>
          <w:w w:val="100"/>
          <w:sz w:val="22"/>
          <w:szCs w:val="22"/>
        </w:rPr>
        <w:t>Any nonconsensual sexual act proscribed by federal, tribal, or state law, including when the victim lacks capacity to consent (42 U.S.C. 13925(a))</w:t>
      </w:r>
    </w:p>
    <w:p w14:paraId="2A1D8545" w14:textId="77777777" w:rsidR="00173F0A"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b/>
          <w:bCs/>
          <w:i/>
          <w:iCs/>
          <w:w w:val="100"/>
          <w:sz w:val="22"/>
          <w:szCs w:val="22"/>
        </w:rPr>
      </w:pPr>
      <w:r w:rsidRPr="00173F0A">
        <w:rPr>
          <w:rFonts w:ascii="Arial" w:hAnsi="Arial" w:cs="Arial"/>
          <w:b/>
          <w:bCs/>
          <w:i/>
          <w:iCs/>
          <w:w w:val="100"/>
          <w:sz w:val="22"/>
          <w:szCs w:val="22"/>
        </w:rPr>
        <w:t>Sexual orientation.</w:t>
      </w:r>
      <w:r w:rsidRPr="00173F0A">
        <w:rPr>
          <w:rFonts w:ascii="Arial" w:hAnsi="Arial" w:cs="Arial"/>
          <w:bCs/>
          <w:iCs/>
          <w:w w:val="100"/>
          <w:sz w:val="22"/>
          <w:szCs w:val="22"/>
        </w:rPr>
        <w:t xml:space="preserve"> Homosexuality, heterosexuality or bisexuality.</w:t>
      </w:r>
    </w:p>
    <w:p w14:paraId="498E75B1" w14:textId="77777777" w:rsidR="00173F0A"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b/>
          <w:bCs/>
          <w:i/>
          <w:iCs/>
          <w:w w:val="100"/>
          <w:sz w:val="22"/>
          <w:szCs w:val="22"/>
        </w:rPr>
      </w:pPr>
      <w:r w:rsidRPr="00173F0A">
        <w:rPr>
          <w:rFonts w:ascii="Arial" w:hAnsi="Arial" w:cs="Arial"/>
          <w:b/>
          <w:bCs/>
          <w:i/>
          <w:iCs/>
          <w:w w:val="100"/>
          <w:sz w:val="22"/>
          <w:szCs w:val="22"/>
        </w:rPr>
        <w:t>Single person.</w:t>
      </w:r>
      <w:r w:rsidRPr="00173F0A">
        <w:rPr>
          <w:rFonts w:ascii="Arial" w:hAnsi="Arial" w:cs="Arial"/>
          <w:i/>
          <w:iCs/>
          <w:w w:val="100"/>
          <w:sz w:val="22"/>
          <w:szCs w:val="22"/>
        </w:rPr>
        <w:t xml:space="preserve"> </w:t>
      </w:r>
      <w:r w:rsidRPr="00173F0A">
        <w:rPr>
          <w:rFonts w:ascii="Arial" w:hAnsi="Arial" w:cs="Arial"/>
          <w:w w:val="100"/>
          <w:sz w:val="22"/>
          <w:szCs w:val="22"/>
        </w:rPr>
        <w:t>A person living alone or intending to live alone.</w:t>
      </w:r>
    </w:p>
    <w:p w14:paraId="7945E808" w14:textId="77777777" w:rsidR="00173F0A"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b/>
          <w:bCs/>
          <w:i/>
          <w:iCs/>
          <w:w w:val="100"/>
          <w:sz w:val="22"/>
          <w:szCs w:val="22"/>
        </w:rPr>
      </w:pPr>
      <w:r w:rsidRPr="00173F0A">
        <w:rPr>
          <w:rFonts w:ascii="Arial" w:hAnsi="Arial" w:cs="Arial"/>
          <w:b/>
          <w:bCs/>
          <w:i/>
          <w:iCs/>
          <w:w w:val="100"/>
          <w:sz w:val="22"/>
          <w:szCs w:val="22"/>
        </w:rPr>
        <w:t xml:space="preserve">Social </w:t>
      </w:r>
      <w:r w:rsidR="00173F0A" w:rsidRPr="00173F0A">
        <w:rPr>
          <w:rFonts w:ascii="Arial" w:hAnsi="Arial" w:cs="Arial"/>
          <w:b/>
          <w:bCs/>
          <w:i/>
          <w:iCs/>
          <w:w w:val="100"/>
          <w:sz w:val="22"/>
          <w:szCs w:val="22"/>
        </w:rPr>
        <w:t>S</w:t>
      </w:r>
      <w:r w:rsidRPr="00173F0A">
        <w:rPr>
          <w:rFonts w:ascii="Arial" w:hAnsi="Arial" w:cs="Arial"/>
          <w:b/>
          <w:bCs/>
          <w:i/>
          <w:iCs/>
          <w:w w:val="100"/>
          <w:sz w:val="22"/>
          <w:szCs w:val="22"/>
        </w:rPr>
        <w:t>ecurity number (SSN)</w:t>
      </w:r>
      <w:r w:rsidRPr="00173F0A">
        <w:rPr>
          <w:rFonts w:ascii="Arial" w:hAnsi="Arial" w:cs="Arial"/>
          <w:b/>
          <w:bCs/>
          <w:w w:val="100"/>
          <w:sz w:val="22"/>
          <w:szCs w:val="22"/>
        </w:rPr>
        <w:t xml:space="preserve">. </w:t>
      </w:r>
      <w:r w:rsidRPr="00173F0A">
        <w:rPr>
          <w:rFonts w:ascii="Arial" w:hAnsi="Arial" w:cs="Arial"/>
          <w:w w:val="100"/>
          <w:sz w:val="22"/>
          <w:szCs w:val="22"/>
        </w:rPr>
        <w:t>The nine-digit number that is assigned to a person by the Social Security Administration and that identifies the record of the person’s earnings reported to the Social Security Administration. The term does not include a number with a letter as a suffix that is used to identify an auxiliary beneficiary.</w:t>
      </w:r>
    </w:p>
    <w:p w14:paraId="09E367DB" w14:textId="77777777" w:rsidR="00173F0A"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b/>
          <w:bCs/>
          <w:i/>
          <w:iCs/>
          <w:w w:val="100"/>
          <w:sz w:val="22"/>
          <w:szCs w:val="22"/>
        </w:rPr>
      </w:pPr>
      <w:r w:rsidRPr="00173F0A">
        <w:rPr>
          <w:rFonts w:ascii="Arial" w:hAnsi="Arial" w:cs="Arial"/>
          <w:b/>
          <w:bCs/>
          <w:i/>
          <w:iCs/>
          <w:w w:val="100"/>
          <w:sz w:val="22"/>
          <w:szCs w:val="22"/>
        </w:rPr>
        <w:t>Specified welfare benefit reduction.</w:t>
      </w:r>
      <w:r w:rsidRPr="00173F0A">
        <w:rPr>
          <w:rFonts w:ascii="Arial" w:hAnsi="Arial" w:cs="Arial"/>
          <w:w w:val="100"/>
          <w:sz w:val="22"/>
          <w:szCs w:val="22"/>
        </w:rPr>
        <w:t xml:space="preserve"> Those reductions of welfare benefits (for a covered family) that may not result in a reduction of the family rental contribution. A reduction of welfare benefits because of fraud in connection with the welfare program, or because of welfare sanction due to noncompliance with a welfare agency requirement to participate in an economic self-sufficiency program.</w:t>
      </w:r>
    </w:p>
    <w:p w14:paraId="7413F43A" w14:textId="77777777" w:rsidR="00173F0A"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b/>
          <w:bCs/>
          <w:i/>
          <w:iCs/>
          <w:w w:val="100"/>
          <w:sz w:val="22"/>
          <w:szCs w:val="22"/>
        </w:rPr>
      </w:pPr>
      <w:r w:rsidRPr="00173F0A">
        <w:rPr>
          <w:rFonts w:ascii="Arial" w:hAnsi="Arial" w:cs="Arial"/>
          <w:b/>
          <w:bCs/>
          <w:i/>
          <w:iCs/>
          <w:w w:val="100"/>
          <w:sz w:val="22"/>
          <w:szCs w:val="22"/>
        </w:rPr>
        <w:t>Spouse.</w:t>
      </w:r>
      <w:r w:rsidRPr="00173F0A">
        <w:rPr>
          <w:rFonts w:ascii="Arial" w:hAnsi="Arial" w:cs="Arial"/>
          <w:w w:val="100"/>
          <w:sz w:val="22"/>
          <w:szCs w:val="22"/>
        </w:rPr>
        <w:t xml:space="preserve"> The marriage partner of the head of household.</w:t>
      </w:r>
    </w:p>
    <w:p w14:paraId="3C8D53B3" w14:textId="77777777" w:rsidR="00173F0A"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b/>
          <w:bCs/>
          <w:i/>
          <w:iCs/>
          <w:w w:val="100"/>
          <w:sz w:val="22"/>
          <w:szCs w:val="22"/>
        </w:rPr>
      </w:pPr>
      <w:r w:rsidRPr="00173F0A">
        <w:rPr>
          <w:rFonts w:ascii="Arial" w:hAnsi="Arial" w:cs="Arial"/>
          <w:b/>
          <w:bCs/>
          <w:i/>
          <w:iCs/>
          <w:w w:val="100"/>
          <w:sz w:val="22"/>
          <w:szCs w:val="22"/>
        </w:rPr>
        <w:t>Stalking.</w:t>
      </w:r>
      <w:r w:rsidRPr="00173F0A">
        <w:rPr>
          <w:rFonts w:ascii="Arial" w:hAnsi="Arial" w:cs="Arial"/>
          <w:w w:val="100"/>
          <w:sz w:val="22"/>
          <w:szCs w:val="22"/>
        </w:rPr>
        <w:t xml:space="preserve"> To follow, pursue, or repeatedly commit acts with the intent to kill, injure, harass, or intimidate; or to place under surveillance with the intent to kill, injure, harass, or intimidate another person; and in the course of, or as a result of, such following, pursuit, surveillance, or repeatedly committed acts, to place a person in reasonable fear of the death of, or serious bodily injury to, or to cause substantial emotional harm to (1) that person, (2) a member of the immediate family of that person, or (3) the spouse or intimate partner of that person.</w:t>
      </w:r>
    </w:p>
    <w:p w14:paraId="14D0D2F8" w14:textId="77777777" w:rsidR="00173F0A"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b/>
          <w:bCs/>
          <w:i/>
          <w:iCs/>
          <w:w w:val="100"/>
          <w:sz w:val="22"/>
          <w:szCs w:val="22"/>
        </w:rPr>
      </w:pPr>
      <w:r w:rsidRPr="00173F0A">
        <w:rPr>
          <w:rFonts w:ascii="Arial" w:hAnsi="Arial" w:cs="Arial"/>
          <w:b/>
          <w:bCs/>
          <w:i/>
          <w:iCs/>
          <w:w w:val="100"/>
          <w:sz w:val="22"/>
          <w:szCs w:val="22"/>
        </w:rPr>
        <w:t>State wage information collection agency (SWICA)</w:t>
      </w:r>
      <w:r w:rsidRPr="00173F0A">
        <w:rPr>
          <w:rFonts w:ascii="Arial" w:hAnsi="Arial" w:cs="Arial"/>
          <w:b/>
          <w:bCs/>
          <w:w w:val="100"/>
          <w:sz w:val="22"/>
          <w:szCs w:val="22"/>
        </w:rPr>
        <w:t xml:space="preserve">. </w:t>
      </w:r>
      <w:r w:rsidRPr="00173F0A">
        <w:rPr>
          <w:rFonts w:ascii="Arial" w:hAnsi="Arial" w:cs="Arial"/>
          <w:w w:val="100"/>
          <w:sz w:val="22"/>
          <w:szCs w:val="22"/>
        </w:rPr>
        <w:t>The state agency, including any Indian tribal agency, receiving quarterly wage reports from employers in the state, or an alternative system that has been determined by the Secretary of Labor to be as effective and timely in providing employment-related income and eligibility information.</w:t>
      </w:r>
    </w:p>
    <w:p w14:paraId="2A3A3EE0" w14:textId="77777777" w:rsidR="000C27E3"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b/>
          <w:bCs/>
          <w:i/>
          <w:iCs/>
          <w:spacing w:val="-2"/>
          <w:w w:val="100"/>
          <w:sz w:val="22"/>
          <w:szCs w:val="22"/>
        </w:rPr>
      </w:pPr>
      <w:r w:rsidRPr="00173F0A">
        <w:rPr>
          <w:rFonts w:ascii="Arial" w:hAnsi="Arial" w:cs="Arial"/>
          <w:b/>
          <w:bCs/>
          <w:i/>
          <w:iCs/>
          <w:spacing w:val="-2"/>
          <w:w w:val="100"/>
          <w:sz w:val="22"/>
          <w:szCs w:val="22"/>
        </w:rPr>
        <w:t xml:space="preserve">Technological abuse. </w:t>
      </w:r>
      <w:r w:rsidRPr="00173F0A">
        <w:rPr>
          <w:rFonts w:ascii="Arial" w:hAnsi="Arial" w:cs="Arial"/>
          <w:color w:val="auto"/>
          <w:spacing w:val="-2"/>
          <w:w w:val="100"/>
          <w:sz w:val="22"/>
          <w:szCs w:val="22"/>
        </w:rPr>
        <w:t xml:space="preserve">An act or </w:t>
      </w:r>
      <w:r w:rsidRPr="00173F0A">
        <w:rPr>
          <w:rFonts w:ascii="Arial" w:hAnsi="Arial" w:cs="Arial"/>
          <w:spacing w:val="-2"/>
          <w:w w:val="100"/>
          <w:sz w:val="22"/>
          <w:szCs w:val="22"/>
        </w:rPr>
        <w:t>pattern</w:t>
      </w:r>
      <w:r w:rsidRPr="00173F0A">
        <w:rPr>
          <w:rFonts w:ascii="Arial" w:hAnsi="Arial" w:cs="Arial"/>
          <w:color w:val="auto"/>
          <w:spacing w:val="-2"/>
          <w:w w:val="100"/>
          <w:sz w:val="22"/>
          <w:szCs w:val="22"/>
        </w:rPr>
        <w:t xml:space="preserve"> of behavior that occurs within </w:t>
      </w:r>
      <w:r w:rsidR="006279F1" w:rsidRPr="006279F1">
        <w:rPr>
          <w:rFonts w:ascii="Arial" w:hAnsi="Arial" w:cs="Arial"/>
          <w:color w:val="auto"/>
          <w:spacing w:val="-2"/>
          <w:w w:val="100"/>
          <w:sz w:val="22"/>
          <w:szCs w:val="22"/>
        </w:rPr>
        <w:t>domestic violence, dating violence, sexual assault, stalking and/or human trafficking</w:t>
      </w:r>
      <w:r w:rsidR="006279F1" w:rsidRPr="00173F0A">
        <w:rPr>
          <w:rFonts w:ascii="Arial" w:hAnsi="Arial" w:cs="Arial"/>
          <w:color w:val="auto"/>
          <w:spacing w:val="-2"/>
          <w:w w:val="100"/>
          <w:sz w:val="22"/>
          <w:szCs w:val="22"/>
        </w:rPr>
        <w:t xml:space="preserve"> </w:t>
      </w:r>
      <w:r w:rsidRPr="00173F0A">
        <w:rPr>
          <w:rFonts w:ascii="Arial" w:hAnsi="Arial" w:cs="Arial"/>
          <w:color w:val="auto"/>
          <w:spacing w:val="-2"/>
          <w:w w:val="100"/>
          <w:sz w:val="22"/>
          <w:szCs w:val="22"/>
        </w:rPr>
        <w:t>and is intended to harm, threaten, intimidate, control, stalk, harass, impersonate, exploit, extort, or monitor another person, except as otherwise permitted by law, that occurs using any form of technology, including but not limited to:</w:t>
      </w:r>
    </w:p>
    <w:p w14:paraId="178AD57E" w14:textId="77777777" w:rsidR="000C27E3" w:rsidRPr="00173F0A" w:rsidRDefault="000C27E3" w:rsidP="007F177E">
      <w:pPr>
        <w:pStyle w:val="Bodywide-dash"/>
        <w:numPr>
          <w:ilvl w:val="0"/>
          <w:numId w:val="205"/>
        </w:numPr>
        <w:tabs>
          <w:tab w:val="clear" w:pos="360"/>
          <w:tab w:val="clear" w:pos="540"/>
          <w:tab w:val="clear" w:pos="2880"/>
          <w:tab w:val="clear" w:pos="3600"/>
          <w:tab w:val="clear" w:pos="4320"/>
          <w:tab w:val="clear" w:pos="5040"/>
          <w:tab w:val="clear" w:pos="5760"/>
          <w:tab w:val="clear" w:pos="6480"/>
          <w:tab w:val="clear" w:pos="7200"/>
          <w:tab w:val="clear" w:pos="7920"/>
          <w:tab w:val="clear" w:pos="8640"/>
        </w:tabs>
        <w:spacing w:after="160" w:line="259" w:lineRule="auto"/>
        <w:jc w:val="both"/>
        <w:rPr>
          <w:w w:val="100"/>
          <w:sz w:val="22"/>
          <w:szCs w:val="22"/>
        </w:rPr>
      </w:pPr>
      <w:r w:rsidRPr="00173F0A">
        <w:rPr>
          <w:w w:val="100"/>
          <w:sz w:val="22"/>
          <w:szCs w:val="22"/>
        </w:rPr>
        <w:t xml:space="preserve">Internet </w:t>
      </w:r>
      <w:r w:rsidRPr="00173F0A">
        <w:rPr>
          <w:sz w:val="22"/>
          <w:szCs w:val="22"/>
        </w:rPr>
        <w:t>enabled</w:t>
      </w:r>
      <w:r w:rsidRPr="00173F0A">
        <w:rPr>
          <w:w w:val="100"/>
          <w:sz w:val="22"/>
          <w:szCs w:val="22"/>
        </w:rPr>
        <w:t xml:space="preserve"> devices</w:t>
      </w:r>
    </w:p>
    <w:p w14:paraId="442D0C81" w14:textId="77777777" w:rsidR="000C27E3" w:rsidRPr="00173F0A" w:rsidRDefault="000C27E3" w:rsidP="007F177E">
      <w:pPr>
        <w:pStyle w:val="Bodywide-dash"/>
        <w:numPr>
          <w:ilvl w:val="0"/>
          <w:numId w:val="205"/>
        </w:numPr>
        <w:tabs>
          <w:tab w:val="clear" w:pos="360"/>
          <w:tab w:val="clear" w:pos="540"/>
          <w:tab w:val="clear" w:pos="2880"/>
          <w:tab w:val="clear" w:pos="3600"/>
          <w:tab w:val="clear" w:pos="4320"/>
          <w:tab w:val="clear" w:pos="5040"/>
          <w:tab w:val="clear" w:pos="5760"/>
          <w:tab w:val="clear" w:pos="6480"/>
          <w:tab w:val="clear" w:pos="7200"/>
          <w:tab w:val="clear" w:pos="7920"/>
          <w:tab w:val="clear" w:pos="8640"/>
        </w:tabs>
        <w:spacing w:after="160" w:line="259" w:lineRule="auto"/>
        <w:jc w:val="both"/>
        <w:rPr>
          <w:w w:val="100"/>
          <w:sz w:val="22"/>
          <w:szCs w:val="22"/>
        </w:rPr>
      </w:pPr>
      <w:r w:rsidRPr="00173F0A">
        <w:rPr>
          <w:w w:val="100"/>
          <w:sz w:val="22"/>
          <w:szCs w:val="22"/>
        </w:rPr>
        <w:t xml:space="preserve">Online </w:t>
      </w:r>
      <w:r w:rsidRPr="00173F0A">
        <w:rPr>
          <w:sz w:val="22"/>
          <w:szCs w:val="22"/>
        </w:rPr>
        <w:t>spaces</w:t>
      </w:r>
      <w:r w:rsidRPr="00173F0A">
        <w:rPr>
          <w:w w:val="100"/>
          <w:sz w:val="22"/>
          <w:szCs w:val="22"/>
        </w:rPr>
        <w:t xml:space="preserve"> and platforms</w:t>
      </w:r>
    </w:p>
    <w:p w14:paraId="0F458084" w14:textId="77777777" w:rsidR="000C27E3" w:rsidRPr="00173F0A" w:rsidRDefault="000C27E3" w:rsidP="007F177E">
      <w:pPr>
        <w:pStyle w:val="Bodywide-dash"/>
        <w:numPr>
          <w:ilvl w:val="0"/>
          <w:numId w:val="205"/>
        </w:numPr>
        <w:tabs>
          <w:tab w:val="clear" w:pos="360"/>
          <w:tab w:val="clear" w:pos="540"/>
          <w:tab w:val="clear" w:pos="2880"/>
          <w:tab w:val="clear" w:pos="3600"/>
          <w:tab w:val="clear" w:pos="4320"/>
          <w:tab w:val="clear" w:pos="5040"/>
          <w:tab w:val="clear" w:pos="5760"/>
          <w:tab w:val="clear" w:pos="6480"/>
          <w:tab w:val="clear" w:pos="7200"/>
          <w:tab w:val="clear" w:pos="7920"/>
          <w:tab w:val="clear" w:pos="8640"/>
        </w:tabs>
        <w:spacing w:after="160" w:line="259" w:lineRule="auto"/>
        <w:jc w:val="both"/>
        <w:rPr>
          <w:w w:val="100"/>
          <w:sz w:val="22"/>
          <w:szCs w:val="22"/>
        </w:rPr>
      </w:pPr>
      <w:r w:rsidRPr="00173F0A">
        <w:rPr>
          <w:sz w:val="22"/>
          <w:szCs w:val="22"/>
        </w:rPr>
        <w:t>Computers</w:t>
      </w:r>
    </w:p>
    <w:p w14:paraId="785FFEA6" w14:textId="77777777" w:rsidR="000C27E3" w:rsidRPr="00173F0A" w:rsidRDefault="000C27E3" w:rsidP="007F177E">
      <w:pPr>
        <w:pStyle w:val="Bodywide-dash"/>
        <w:numPr>
          <w:ilvl w:val="0"/>
          <w:numId w:val="205"/>
        </w:numPr>
        <w:tabs>
          <w:tab w:val="clear" w:pos="360"/>
          <w:tab w:val="clear" w:pos="540"/>
          <w:tab w:val="clear" w:pos="2880"/>
          <w:tab w:val="clear" w:pos="3600"/>
          <w:tab w:val="clear" w:pos="4320"/>
          <w:tab w:val="clear" w:pos="5040"/>
          <w:tab w:val="clear" w:pos="5760"/>
          <w:tab w:val="clear" w:pos="6480"/>
          <w:tab w:val="clear" w:pos="7200"/>
          <w:tab w:val="clear" w:pos="7920"/>
          <w:tab w:val="clear" w:pos="8640"/>
        </w:tabs>
        <w:spacing w:after="160" w:line="259" w:lineRule="auto"/>
        <w:jc w:val="both"/>
        <w:rPr>
          <w:w w:val="100"/>
          <w:sz w:val="22"/>
          <w:szCs w:val="22"/>
        </w:rPr>
      </w:pPr>
      <w:r w:rsidRPr="00173F0A">
        <w:rPr>
          <w:w w:val="100"/>
          <w:sz w:val="22"/>
          <w:szCs w:val="22"/>
        </w:rPr>
        <w:t xml:space="preserve">Mobile </w:t>
      </w:r>
      <w:r w:rsidRPr="00173F0A">
        <w:rPr>
          <w:sz w:val="22"/>
          <w:szCs w:val="22"/>
        </w:rPr>
        <w:t>devices</w:t>
      </w:r>
    </w:p>
    <w:p w14:paraId="15B91713" w14:textId="77777777" w:rsidR="000C27E3" w:rsidRPr="00173F0A" w:rsidRDefault="000C27E3" w:rsidP="007F177E">
      <w:pPr>
        <w:pStyle w:val="Bodywide-dash"/>
        <w:numPr>
          <w:ilvl w:val="0"/>
          <w:numId w:val="205"/>
        </w:numPr>
        <w:tabs>
          <w:tab w:val="clear" w:pos="360"/>
          <w:tab w:val="clear" w:pos="540"/>
          <w:tab w:val="clear" w:pos="2880"/>
          <w:tab w:val="clear" w:pos="3600"/>
          <w:tab w:val="clear" w:pos="4320"/>
          <w:tab w:val="clear" w:pos="5040"/>
          <w:tab w:val="clear" w:pos="5760"/>
          <w:tab w:val="clear" w:pos="6480"/>
          <w:tab w:val="clear" w:pos="7200"/>
          <w:tab w:val="clear" w:pos="7920"/>
          <w:tab w:val="clear" w:pos="8640"/>
        </w:tabs>
        <w:spacing w:after="160" w:line="259" w:lineRule="auto"/>
        <w:jc w:val="both"/>
        <w:rPr>
          <w:w w:val="100"/>
          <w:sz w:val="22"/>
          <w:szCs w:val="22"/>
        </w:rPr>
      </w:pPr>
      <w:r w:rsidRPr="00173F0A">
        <w:rPr>
          <w:sz w:val="22"/>
          <w:szCs w:val="22"/>
        </w:rPr>
        <w:t>Cameras</w:t>
      </w:r>
      <w:r w:rsidRPr="00173F0A">
        <w:rPr>
          <w:w w:val="100"/>
          <w:sz w:val="22"/>
          <w:szCs w:val="22"/>
        </w:rPr>
        <w:t xml:space="preserve"> and imaging programs</w:t>
      </w:r>
    </w:p>
    <w:p w14:paraId="78B6F59C" w14:textId="77777777" w:rsidR="000C27E3" w:rsidRPr="00173F0A" w:rsidRDefault="000C27E3" w:rsidP="007F177E">
      <w:pPr>
        <w:pStyle w:val="Bodywide-dash"/>
        <w:numPr>
          <w:ilvl w:val="0"/>
          <w:numId w:val="205"/>
        </w:numPr>
        <w:tabs>
          <w:tab w:val="clear" w:pos="360"/>
          <w:tab w:val="clear" w:pos="540"/>
          <w:tab w:val="clear" w:pos="2880"/>
          <w:tab w:val="clear" w:pos="3600"/>
          <w:tab w:val="clear" w:pos="4320"/>
          <w:tab w:val="clear" w:pos="5040"/>
          <w:tab w:val="clear" w:pos="5760"/>
          <w:tab w:val="clear" w:pos="6480"/>
          <w:tab w:val="clear" w:pos="7200"/>
          <w:tab w:val="clear" w:pos="7920"/>
          <w:tab w:val="clear" w:pos="8640"/>
        </w:tabs>
        <w:spacing w:after="160" w:line="259" w:lineRule="auto"/>
        <w:jc w:val="both"/>
        <w:rPr>
          <w:w w:val="100"/>
          <w:sz w:val="22"/>
          <w:szCs w:val="22"/>
        </w:rPr>
      </w:pPr>
      <w:r w:rsidRPr="00173F0A">
        <w:rPr>
          <w:sz w:val="22"/>
          <w:szCs w:val="22"/>
        </w:rPr>
        <w:t>Apps</w:t>
      </w:r>
    </w:p>
    <w:p w14:paraId="1DF96D57" w14:textId="77777777" w:rsidR="000C27E3" w:rsidRPr="00173F0A" w:rsidRDefault="000C27E3" w:rsidP="007F177E">
      <w:pPr>
        <w:pStyle w:val="Bodywide-dash"/>
        <w:numPr>
          <w:ilvl w:val="0"/>
          <w:numId w:val="205"/>
        </w:numPr>
        <w:tabs>
          <w:tab w:val="clear" w:pos="360"/>
          <w:tab w:val="clear" w:pos="540"/>
          <w:tab w:val="clear" w:pos="2880"/>
          <w:tab w:val="clear" w:pos="3600"/>
          <w:tab w:val="clear" w:pos="4320"/>
          <w:tab w:val="clear" w:pos="5040"/>
          <w:tab w:val="clear" w:pos="5760"/>
          <w:tab w:val="clear" w:pos="6480"/>
          <w:tab w:val="clear" w:pos="7200"/>
          <w:tab w:val="clear" w:pos="7920"/>
          <w:tab w:val="clear" w:pos="8640"/>
        </w:tabs>
        <w:spacing w:after="160" w:line="259" w:lineRule="auto"/>
        <w:jc w:val="both"/>
        <w:rPr>
          <w:w w:val="100"/>
          <w:sz w:val="22"/>
          <w:szCs w:val="22"/>
        </w:rPr>
      </w:pPr>
      <w:r w:rsidRPr="00173F0A">
        <w:rPr>
          <w:sz w:val="22"/>
          <w:szCs w:val="22"/>
        </w:rPr>
        <w:t>Location</w:t>
      </w:r>
      <w:r w:rsidRPr="00173F0A">
        <w:rPr>
          <w:w w:val="100"/>
          <w:sz w:val="22"/>
          <w:szCs w:val="22"/>
        </w:rPr>
        <w:t xml:space="preserve"> tracking devices</w:t>
      </w:r>
    </w:p>
    <w:p w14:paraId="04E46C44" w14:textId="77777777" w:rsidR="000C27E3" w:rsidRPr="00173F0A" w:rsidRDefault="000C27E3" w:rsidP="007F177E">
      <w:pPr>
        <w:pStyle w:val="Bodywide-dash"/>
        <w:numPr>
          <w:ilvl w:val="0"/>
          <w:numId w:val="205"/>
        </w:numPr>
        <w:tabs>
          <w:tab w:val="clear" w:pos="360"/>
          <w:tab w:val="clear" w:pos="540"/>
          <w:tab w:val="clear" w:pos="2880"/>
          <w:tab w:val="clear" w:pos="3600"/>
          <w:tab w:val="clear" w:pos="4320"/>
          <w:tab w:val="clear" w:pos="5040"/>
          <w:tab w:val="clear" w:pos="5760"/>
          <w:tab w:val="clear" w:pos="6480"/>
          <w:tab w:val="clear" w:pos="7200"/>
          <w:tab w:val="clear" w:pos="7920"/>
          <w:tab w:val="clear" w:pos="8640"/>
        </w:tabs>
        <w:spacing w:after="160" w:line="259" w:lineRule="auto"/>
        <w:jc w:val="both"/>
        <w:rPr>
          <w:w w:val="100"/>
          <w:sz w:val="22"/>
          <w:szCs w:val="22"/>
        </w:rPr>
      </w:pPr>
      <w:r w:rsidRPr="00173F0A">
        <w:rPr>
          <w:sz w:val="22"/>
          <w:szCs w:val="22"/>
        </w:rPr>
        <w:t>Communication</w:t>
      </w:r>
      <w:r w:rsidRPr="00173F0A">
        <w:rPr>
          <w:w w:val="100"/>
          <w:sz w:val="22"/>
          <w:szCs w:val="22"/>
        </w:rPr>
        <w:t xml:space="preserve"> technologies</w:t>
      </w:r>
    </w:p>
    <w:p w14:paraId="4A1A0F05" w14:textId="77777777" w:rsidR="000C27E3" w:rsidRPr="00173F0A" w:rsidRDefault="000C27E3" w:rsidP="007F177E">
      <w:pPr>
        <w:pStyle w:val="Bodywide-dash"/>
        <w:numPr>
          <w:ilvl w:val="0"/>
          <w:numId w:val="205"/>
        </w:numPr>
        <w:tabs>
          <w:tab w:val="clear" w:pos="360"/>
          <w:tab w:val="clear" w:pos="540"/>
          <w:tab w:val="clear" w:pos="2880"/>
          <w:tab w:val="clear" w:pos="3600"/>
          <w:tab w:val="clear" w:pos="4320"/>
          <w:tab w:val="clear" w:pos="5040"/>
          <w:tab w:val="clear" w:pos="5760"/>
          <w:tab w:val="clear" w:pos="6480"/>
          <w:tab w:val="clear" w:pos="7200"/>
          <w:tab w:val="clear" w:pos="7920"/>
          <w:tab w:val="clear" w:pos="8640"/>
        </w:tabs>
        <w:spacing w:after="160" w:line="259" w:lineRule="auto"/>
        <w:jc w:val="both"/>
        <w:rPr>
          <w:w w:val="100"/>
          <w:sz w:val="22"/>
          <w:szCs w:val="22"/>
        </w:rPr>
      </w:pPr>
      <w:r w:rsidRPr="00173F0A">
        <w:rPr>
          <w:w w:val="100"/>
          <w:sz w:val="22"/>
          <w:szCs w:val="22"/>
        </w:rPr>
        <w:t xml:space="preserve">Any </w:t>
      </w:r>
      <w:r w:rsidRPr="00173F0A">
        <w:rPr>
          <w:sz w:val="22"/>
          <w:szCs w:val="22"/>
        </w:rPr>
        <w:t>other</w:t>
      </w:r>
      <w:r w:rsidRPr="00173F0A">
        <w:rPr>
          <w:w w:val="100"/>
          <w:sz w:val="22"/>
          <w:szCs w:val="22"/>
        </w:rPr>
        <w:t xml:space="preserve"> emergency technologies</w:t>
      </w:r>
    </w:p>
    <w:p w14:paraId="64BF13FF" w14:textId="77777777" w:rsidR="00173F0A"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w w:val="100"/>
          <w:sz w:val="22"/>
          <w:szCs w:val="22"/>
        </w:rPr>
      </w:pPr>
      <w:r w:rsidRPr="00173F0A">
        <w:rPr>
          <w:rFonts w:ascii="Arial" w:hAnsi="Arial" w:cs="Arial"/>
          <w:b/>
          <w:bCs/>
          <w:i/>
          <w:iCs/>
          <w:w w:val="100"/>
          <w:sz w:val="22"/>
          <w:szCs w:val="22"/>
        </w:rPr>
        <w:t>Tenant.</w:t>
      </w:r>
      <w:r w:rsidRPr="00173F0A">
        <w:rPr>
          <w:rFonts w:ascii="Arial" w:hAnsi="Arial" w:cs="Arial"/>
          <w:w w:val="100"/>
          <w:sz w:val="22"/>
          <w:szCs w:val="22"/>
        </w:rPr>
        <w:t xml:space="preserve"> The person or persons (other than a live-in aide) who executes the lease as lessee of the dwelling unit.</w:t>
      </w:r>
    </w:p>
    <w:p w14:paraId="116F0E08" w14:textId="77777777" w:rsidR="00173F0A"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w w:val="100"/>
          <w:sz w:val="22"/>
          <w:szCs w:val="22"/>
        </w:rPr>
      </w:pPr>
      <w:r w:rsidRPr="00173F0A">
        <w:rPr>
          <w:rFonts w:ascii="Arial" w:hAnsi="Arial" w:cs="Arial"/>
          <w:b/>
          <w:bCs/>
          <w:i/>
          <w:iCs/>
          <w:w w:val="100"/>
          <w:sz w:val="22"/>
          <w:szCs w:val="22"/>
        </w:rPr>
        <w:t>Tenant</w:t>
      </w:r>
      <w:r w:rsidRPr="00173F0A">
        <w:rPr>
          <w:rFonts w:ascii="Arial" w:hAnsi="Arial" w:cs="Arial"/>
          <w:i/>
          <w:iCs/>
          <w:w w:val="100"/>
          <w:sz w:val="22"/>
          <w:szCs w:val="22"/>
        </w:rPr>
        <w:t xml:space="preserve"> </w:t>
      </w:r>
      <w:r w:rsidRPr="00173F0A">
        <w:rPr>
          <w:rFonts w:ascii="Arial" w:hAnsi="Arial" w:cs="Arial"/>
          <w:b/>
          <w:bCs/>
          <w:i/>
          <w:iCs/>
          <w:w w:val="100"/>
          <w:sz w:val="22"/>
          <w:szCs w:val="22"/>
        </w:rPr>
        <w:t>rent</w:t>
      </w:r>
      <w:r w:rsidRPr="00173F0A">
        <w:rPr>
          <w:rFonts w:ascii="Arial" w:hAnsi="Arial" w:cs="Arial"/>
          <w:b/>
          <w:i/>
          <w:iCs/>
          <w:w w:val="100"/>
          <w:sz w:val="22"/>
          <w:szCs w:val="22"/>
        </w:rPr>
        <w:t>.</w:t>
      </w:r>
      <w:r w:rsidRPr="00173F0A">
        <w:rPr>
          <w:rFonts w:ascii="Arial" w:hAnsi="Arial" w:cs="Arial"/>
          <w:w w:val="100"/>
          <w:sz w:val="22"/>
          <w:szCs w:val="22"/>
        </w:rPr>
        <w:t xml:space="preserve"> The amount payable monthly by the family as rent to the PHA. </w:t>
      </w:r>
    </w:p>
    <w:p w14:paraId="6C7A0E10" w14:textId="77777777" w:rsidR="00173F0A"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w w:val="100"/>
          <w:sz w:val="22"/>
          <w:szCs w:val="22"/>
        </w:rPr>
      </w:pPr>
      <w:r w:rsidRPr="00173F0A">
        <w:rPr>
          <w:rFonts w:ascii="Arial" w:hAnsi="Arial" w:cs="Arial"/>
          <w:b/>
          <w:bCs/>
          <w:i/>
          <w:iCs/>
          <w:w w:val="100"/>
          <w:sz w:val="22"/>
          <w:szCs w:val="22"/>
        </w:rPr>
        <w:t>Total tenant payment (TTP)</w:t>
      </w:r>
      <w:r w:rsidRPr="00173F0A">
        <w:rPr>
          <w:rFonts w:ascii="Arial" w:hAnsi="Arial" w:cs="Arial"/>
          <w:b/>
          <w:bCs/>
          <w:w w:val="100"/>
          <w:sz w:val="22"/>
          <w:szCs w:val="22"/>
        </w:rPr>
        <w:t>.</w:t>
      </w:r>
      <w:r w:rsidRPr="00173F0A">
        <w:rPr>
          <w:rFonts w:ascii="Arial" w:hAnsi="Arial" w:cs="Arial"/>
          <w:w w:val="100"/>
          <w:sz w:val="22"/>
          <w:szCs w:val="22"/>
        </w:rPr>
        <w:t xml:space="preserve"> The total amount the HUD rent formula requires the tenant to pay toward rent and utilities</w:t>
      </w:r>
    </w:p>
    <w:p w14:paraId="217A6EC1" w14:textId="77777777" w:rsidR="00173F0A"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w w:val="100"/>
          <w:sz w:val="22"/>
          <w:szCs w:val="22"/>
        </w:rPr>
      </w:pPr>
      <w:r w:rsidRPr="00173F0A">
        <w:rPr>
          <w:rFonts w:ascii="Arial" w:hAnsi="Arial" w:cs="Arial"/>
          <w:b/>
          <w:bCs/>
          <w:i/>
          <w:iCs/>
          <w:sz w:val="22"/>
          <w:szCs w:val="22"/>
        </w:rPr>
        <w:t>Unearned income</w:t>
      </w:r>
      <w:r w:rsidRPr="00173F0A">
        <w:rPr>
          <w:rFonts w:ascii="Arial" w:hAnsi="Arial" w:cs="Arial"/>
          <w:color w:val="FF0000"/>
          <w:sz w:val="22"/>
          <w:szCs w:val="22"/>
        </w:rPr>
        <w:t xml:space="preserve">. </w:t>
      </w:r>
      <w:r w:rsidRPr="00173F0A">
        <w:rPr>
          <w:rFonts w:ascii="Arial" w:hAnsi="Arial" w:cs="Arial"/>
          <w:bCs/>
          <w:iCs/>
          <w:sz w:val="22"/>
          <w:szCs w:val="22"/>
        </w:rPr>
        <w:t>Any annual income, as calculated under § 5.609, that is not earned income.</w:t>
      </w:r>
    </w:p>
    <w:p w14:paraId="70F7AE2A" w14:textId="77777777" w:rsidR="00173F0A"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w w:val="100"/>
          <w:sz w:val="22"/>
          <w:szCs w:val="22"/>
        </w:rPr>
      </w:pPr>
      <w:r w:rsidRPr="00173F0A">
        <w:rPr>
          <w:rFonts w:ascii="Arial" w:hAnsi="Arial" w:cs="Arial"/>
          <w:b/>
          <w:bCs/>
          <w:i/>
          <w:iCs/>
          <w:w w:val="100"/>
          <w:sz w:val="22"/>
          <w:szCs w:val="22"/>
        </w:rPr>
        <w:t xml:space="preserve">Utilities. </w:t>
      </w:r>
      <w:r w:rsidRPr="00173F0A">
        <w:rPr>
          <w:rFonts w:ascii="Arial" w:hAnsi="Arial" w:cs="Arial"/>
          <w:bCs/>
          <w:iCs/>
          <w:w w:val="100"/>
          <w:sz w:val="22"/>
          <w:szCs w:val="22"/>
        </w:rPr>
        <w:t>Water, electricity, gas, other heating, refrigeration, cooking fuels, trash collection, and sewage services. Telephone service is not included.</w:t>
      </w:r>
    </w:p>
    <w:p w14:paraId="68E1691B" w14:textId="77777777" w:rsidR="00173F0A"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w w:val="100"/>
          <w:sz w:val="22"/>
          <w:szCs w:val="22"/>
        </w:rPr>
      </w:pPr>
      <w:r w:rsidRPr="00173F0A">
        <w:rPr>
          <w:rFonts w:ascii="Arial" w:hAnsi="Arial" w:cs="Arial"/>
          <w:b/>
          <w:bCs/>
          <w:i/>
          <w:iCs/>
          <w:w w:val="100"/>
          <w:sz w:val="22"/>
          <w:szCs w:val="22"/>
        </w:rPr>
        <w:t>Utility allowance</w:t>
      </w:r>
      <w:r w:rsidRPr="00173F0A">
        <w:rPr>
          <w:rFonts w:ascii="Arial" w:hAnsi="Arial" w:cs="Arial"/>
          <w:b/>
          <w:bCs/>
          <w:w w:val="100"/>
          <w:sz w:val="22"/>
          <w:szCs w:val="22"/>
        </w:rPr>
        <w:t>.</w:t>
      </w:r>
      <w:r w:rsidRPr="00173F0A">
        <w:rPr>
          <w:rFonts w:ascii="Arial" w:hAnsi="Arial" w:cs="Arial"/>
          <w:w w:val="100"/>
          <w:sz w:val="22"/>
          <w:szCs w:val="22"/>
        </w:rPr>
        <w:t xml:space="preserve"> If the cost of utilities (except telephone) and other housing services for an assisted unit is not included in the tenant rent but is the responsibility of the family occupying the unit, an amount equal to the estimate made or approved by a PHA of the monthly cost of a reasonable consumption of such utilities and other services for the unit by an energy-conservative household of modest circumstances consistent with the requirements of a safe, sanitary, and healthful living environment.</w:t>
      </w:r>
    </w:p>
    <w:p w14:paraId="2A8A27B9" w14:textId="77777777" w:rsidR="00173F0A"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w w:val="100"/>
          <w:sz w:val="22"/>
          <w:szCs w:val="22"/>
        </w:rPr>
      </w:pPr>
      <w:r w:rsidRPr="00173F0A">
        <w:rPr>
          <w:rFonts w:ascii="Arial" w:hAnsi="Arial" w:cs="Arial"/>
          <w:b/>
          <w:bCs/>
          <w:i/>
          <w:iCs/>
          <w:w w:val="100"/>
          <w:sz w:val="22"/>
          <w:szCs w:val="22"/>
        </w:rPr>
        <w:t>Utility reimbursement</w:t>
      </w:r>
      <w:r w:rsidRPr="00173F0A">
        <w:rPr>
          <w:rFonts w:ascii="Arial" w:hAnsi="Arial" w:cs="Arial"/>
          <w:b/>
          <w:bCs/>
          <w:w w:val="100"/>
          <w:sz w:val="22"/>
          <w:szCs w:val="22"/>
        </w:rPr>
        <w:t>.</w:t>
      </w:r>
      <w:r w:rsidRPr="00173F0A">
        <w:rPr>
          <w:rFonts w:ascii="Arial" w:hAnsi="Arial" w:cs="Arial"/>
          <w:w w:val="100"/>
          <w:sz w:val="22"/>
          <w:szCs w:val="22"/>
        </w:rPr>
        <w:t xml:space="preserve"> The amount, if any, by which the utility allowance for the unit, if applicable, exceeds the total tenant payment (TTP) for the family occupying the unit.</w:t>
      </w:r>
    </w:p>
    <w:p w14:paraId="1122A1CD" w14:textId="77777777" w:rsidR="00173F0A"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w w:val="100"/>
          <w:sz w:val="22"/>
          <w:szCs w:val="22"/>
        </w:rPr>
      </w:pPr>
      <w:r w:rsidRPr="00173F0A">
        <w:rPr>
          <w:rFonts w:ascii="Arial" w:hAnsi="Arial" w:cs="Arial"/>
          <w:b/>
          <w:bCs/>
          <w:i/>
          <w:iCs/>
          <w:w w:val="100"/>
          <w:sz w:val="22"/>
          <w:szCs w:val="22"/>
        </w:rPr>
        <w:t xml:space="preserve">Veteran. </w:t>
      </w:r>
      <w:r w:rsidRPr="00173F0A">
        <w:rPr>
          <w:rFonts w:ascii="Arial" w:hAnsi="Arial" w:cs="Arial"/>
          <w:bCs/>
          <w:iCs/>
          <w:w w:val="100"/>
          <w:sz w:val="22"/>
          <w:szCs w:val="22"/>
        </w:rPr>
        <w:t>A person who has served in the active military or naval service of the United States at any time and who shall have been discharged or released therefrom under conditions other than dishonorable.</w:t>
      </w:r>
    </w:p>
    <w:p w14:paraId="78A5F4C9" w14:textId="77777777" w:rsidR="00173F0A"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w w:val="100"/>
          <w:sz w:val="22"/>
          <w:szCs w:val="22"/>
        </w:rPr>
      </w:pPr>
      <w:r w:rsidRPr="00173F0A">
        <w:rPr>
          <w:rFonts w:ascii="Arial" w:hAnsi="Arial" w:cs="Arial"/>
          <w:b/>
          <w:bCs/>
          <w:i/>
          <w:iCs/>
          <w:w w:val="100"/>
          <w:sz w:val="22"/>
          <w:szCs w:val="22"/>
        </w:rPr>
        <w:t>Violence Against Women Act (VAWA).</w:t>
      </w:r>
      <w:r w:rsidRPr="00173F0A">
        <w:rPr>
          <w:rFonts w:ascii="Arial" w:hAnsi="Arial" w:cs="Arial"/>
          <w:bCs/>
          <w:iCs/>
          <w:w w:val="100"/>
          <w:sz w:val="22"/>
          <w:szCs w:val="22"/>
        </w:rPr>
        <w:t xml:space="preserve"> Prohibits denying admission to, denying assistance under, or evicting from a public housing unit an otherwise qualified applicant or tenant on the basis that the applicant or tenant is or has been a victim of </w:t>
      </w:r>
      <w:r w:rsidR="006279F1" w:rsidRPr="006279F1">
        <w:rPr>
          <w:rFonts w:ascii="Arial" w:hAnsi="Arial" w:cs="Arial"/>
          <w:color w:val="auto"/>
          <w:spacing w:val="-2"/>
          <w:w w:val="100"/>
          <w:sz w:val="22"/>
          <w:szCs w:val="22"/>
        </w:rPr>
        <w:t>domestic violence, dating violence, sexual assault, stalking and/or human trafficking</w:t>
      </w:r>
      <w:r w:rsidRPr="00173F0A">
        <w:rPr>
          <w:rFonts w:ascii="Arial" w:hAnsi="Arial" w:cs="Arial"/>
          <w:bCs/>
          <w:iCs/>
          <w:w w:val="100"/>
          <w:sz w:val="22"/>
          <w:szCs w:val="22"/>
        </w:rPr>
        <w:t>.</w:t>
      </w:r>
    </w:p>
    <w:p w14:paraId="11ACAF85" w14:textId="77777777" w:rsidR="00173F0A"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w w:val="100"/>
          <w:sz w:val="22"/>
          <w:szCs w:val="22"/>
        </w:rPr>
      </w:pPr>
      <w:r w:rsidRPr="00173F0A">
        <w:rPr>
          <w:rFonts w:ascii="Arial" w:hAnsi="Arial" w:cs="Arial"/>
          <w:b/>
          <w:bCs/>
          <w:i/>
          <w:iCs/>
          <w:w w:val="100"/>
          <w:sz w:val="22"/>
          <w:szCs w:val="22"/>
        </w:rPr>
        <w:t>Violent criminal activity.</w:t>
      </w:r>
      <w:r w:rsidRPr="00173F0A">
        <w:rPr>
          <w:rFonts w:ascii="Arial" w:hAnsi="Arial" w:cs="Arial"/>
          <w:i/>
          <w:iCs/>
          <w:w w:val="100"/>
          <w:sz w:val="22"/>
          <w:szCs w:val="22"/>
        </w:rPr>
        <w:t xml:space="preserve"> </w:t>
      </w:r>
      <w:r w:rsidRPr="00173F0A">
        <w:rPr>
          <w:rFonts w:ascii="Arial" w:hAnsi="Arial" w:cs="Arial"/>
          <w:w w:val="100"/>
          <w:sz w:val="22"/>
          <w:szCs w:val="22"/>
        </w:rPr>
        <w:t>Any illegal criminal activity that has as one of its elements the use, attempted use, or threatened use of physical force against the person or property of another.</w:t>
      </w:r>
    </w:p>
    <w:p w14:paraId="28D63565" w14:textId="77777777" w:rsidR="00173F0A"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w w:val="100"/>
          <w:sz w:val="22"/>
          <w:szCs w:val="22"/>
        </w:rPr>
      </w:pPr>
      <w:r w:rsidRPr="00173F0A">
        <w:rPr>
          <w:rFonts w:ascii="Arial" w:hAnsi="Arial" w:cs="Arial"/>
          <w:b/>
          <w:bCs/>
          <w:i/>
          <w:iCs/>
          <w:w w:val="100"/>
          <w:sz w:val="22"/>
          <w:szCs w:val="22"/>
        </w:rPr>
        <w:t xml:space="preserve">Waiting list. </w:t>
      </w:r>
      <w:r w:rsidRPr="00173F0A">
        <w:rPr>
          <w:rFonts w:ascii="Arial" w:hAnsi="Arial" w:cs="Arial"/>
          <w:bCs/>
          <w:iCs/>
          <w:w w:val="100"/>
          <w:sz w:val="22"/>
          <w:szCs w:val="22"/>
        </w:rPr>
        <w:t>A list of families organized according to HUD regulations and PHA policy who are waiting for a unit to become available.</w:t>
      </w:r>
    </w:p>
    <w:p w14:paraId="3CCB2062" w14:textId="77777777" w:rsidR="00D56318" w:rsidRPr="00173F0A" w:rsidRDefault="000C27E3" w:rsidP="007F177E">
      <w:pPr>
        <w:pStyle w:val="Bodywide"/>
        <w:numPr>
          <w:ilvl w:val="0"/>
          <w:numId w:val="20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160" w:line="259" w:lineRule="auto"/>
        <w:ind w:left="360"/>
        <w:jc w:val="both"/>
        <w:rPr>
          <w:rFonts w:ascii="Arial" w:hAnsi="Arial" w:cs="Arial"/>
          <w:w w:val="100"/>
          <w:sz w:val="22"/>
          <w:szCs w:val="22"/>
        </w:rPr>
      </w:pPr>
      <w:r w:rsidRPr="00173F0A">
        <w:rPr>
          <w:rFonts w:ascii="Arial" w:hAnsi="Arial" w:cs="Arial"/>
          <w:b/>
          <w:bCs/>
          <w:i/>
          <w:iCs/>
          <w:w w:val="100"/>
          <w:sz w:val="22"/>
          <w:szCs w:val="22"/>
        </w:rPr>
        <w:t>Welfare assistance</w:t>
      </w:r>
      <w:r w:rsidRPr="00173F0A">
        <w:rPr>
          <w:rFonts w:ascii="Arial" w:hAnsi="Arial" w:cs="Arial"/>
          <w:w w:val="100"/>
          <w:sz w:val="22"/>
          <w:szCs w:val="22"/>
        </w:rPr>
        <w:t xml:space="preserve">. Income assistance from federal or state welfare programs, including assistance provided under TANF and general assistance. Does not include assistance directed solely to meeting housing expenses, nor programs that provide health care, child care or other services for working families. For the FSS program (24 CFR 984.103), </w:t>
      </w:r>
      <w:r w:rsidRPr="00173F0A">
        <w:rPr>
          <w:rFonts w:ascii="Arial" w:hAnsi="Arial" w:cs="Arial"/>
          <w:i/>
          <w:w w:val="100"/>
          <w:sz w:val="22"/>
          <w:szCs w:val="22"/>
        </w:rPr>
        <w:t>welfare assistance</w:t>
      </w:r>
      <w:r w:rsidRPr="00173F0A">
        <w:rPr>
          <w:rFonts w:ascii="Arial" w:hAnsi="Arial" w:cs="Arial"/>
          <w:w w:val="100"/>
          <w:sz w:val="22"/>
          <w:szCs w:val="22"/>
        </w:rPr>
        <w:t xml:space="preserve"> includes only cash maintenance payments designed to meet a family’s ongoing basic needs. Does not include nonrecurring short term benefits designed to address individual crisis situations, work subsidies, supportive services such as child care and transportation provided to families who are employed, refundable earned income tax credits, contributions to and distributions from Individual Development Accounts under TANF, services such as counseling, case management, peer support, child care information and referral, financial empowerment, transitional services, job retention, job advancement, and other employment-related services that to not provide basic income support, amounts solely directed to meeting housing expenses, amounts for health care, Supplemental Nutrition Assistance Program (SNAP) and emergency rental and utilities assistance, SSI, SSDI, or social security, and child-only or non-needy TANF grants made to or on behalf of a dependent child solely on the basis of the child’s need and not the need of the child’s current non-parental caretaker.</w:t>
      </w:r>
    </w:p>
    <w:p w14:paraId="57A62E62" w14:textId="77777777" w:rsidR="00D56318" w:rsidRDefault="00D56318" w:rsidP="00D56318">
      <w:pPr>
        <w:pStyle w:val="Heading1"/>
        <w:numPr>
          <w:ilvl w:val="0"/>
          <w:numId w:val="0"/>
        </w:numPr>
        <w:sectPr w:rsidR="00D56318" w:rsidSect="00EE2233">
          <w:footerReference w:type="default" r:id="rId19"/>
          <w:pgSz w:w="12240" w:h="15840"/>
          <w:pgMar w:top="1440" w:right="1440" w:bottom="1440" w:left="1440" w:header="720" w:footer="720" w:gutter="0"/>
          <w:cols w:space="720"/>
          <w:docGrid w:linePitch="360"/>
        </w:sectPr>
      </w:pPr>
    </w:p>
    <w:p w14:paraId="1D4E5D31" w14:textId="77777777" w:rsidR="00D56318" w:rsidRDefault="00E90FEE" w:rsidP="00D56318">
      <w:pPr>
        <w:pStyle w:val="Heading1"/>
        <w:numPr>
          <w:ilvl w:val="0"/>
          <w:numId w:val="0"/>
        </w:numPr>
      </w:pPr>
      <w:bookmarkStart w:id="4132" w:name="_APPENDIX_A:_REASONABLE"/>
      <w:bookmarkStart w:id="4133" w:name="_Ref144897645"/>
      <w:bookmarkStart w:id="4134" w:name="_Ref144994045"/>
      <w:bookmarkStart w:id="4135" w:name="_Ref144995089"/>
      <w:bookmarkStart w:id="4136" w:name="_Ref145412187"/>
      <w:bookmarkStart w:id="4137" w:name="_Toc173222805"/>
      <w:bookmarkStart w:id="4138" w:name="_Toc200375911"/>
      <w:bookmarkStart w:id="4139" w:name="_Toc200377072"/>
      <w:bookmarkEnd w:id="4132"/>
      <w:r>
        <w:t>APPENDIX</w:t>
      </w:r>
      <w:r w:rsidR="00D56318">
        <w:t xml:space="preserve"> </w:t>
      </w:r>
      <w:r w:rsidR="006B584D">
        <w:t>A</w:t>
      </w:r>
      <w:r>
        <w:t>: REASONABLE ACCOMMODATION POLICY AND PROCEDURES</w:t>
      </w:r>
      <w:bookmarkEnd w:id="4133"/>
      <w:bookmarkEnd w:id="4134"/>
      <w:bookmarkEnd w:id="4135"/>
      <w:bookmarkEnd w:id="4136"/>
      <w:bookmarkEnd w:id="4137"/>
      <w:bookmarkEnd w:id="4138"/>
      <w:bookmarkEnd w:id="4139"/>
    </w:p>
    <w:p w14:paraId="6259D061" w14:textId="77777777" w:rsidR="00E90FEE" w:rsidRPr="00E90FEE" w:rsidRDefault="00E90FEE" w:rsidP="006E7149">
      <w:pPr>
        <w:pStyle w:val="ListParagraph"/>
        <w:widowControl w:val="0"/>
        <w:numPr>
          <w:ilvl w:val="0"/>
          <w:numId w:val="4"/>
        </w:numPr>
        <w:autoSpaceDE w:val="0"/>
        <w:autoSpaceDN w:val="0"/>
        <w:spacing w:before="240" w:after="120"/>
        <w:contextualSpacing w:val="0"/>
        <w:rPr>
          <w:rFonts w:cs="Arial"/>
          <w:b/>
          <w:bCs/>
        </w:rPr>
      </w:pPr>
      <w:r w:rsidRPr="00E90FEE">
        <w:rPr>
          <w:rFonts w:cs="Arial"/>
          <w:b/>
          <w:bCs/>
        </w:rPr>
        <w:t>Policy Statement</w:t>
      </w:r>
    </w:p>
    <w:p w14:paraId="2A9C0031" w14:textId="77777777" w:rsidR="00E90FEE" w:rsidRPr="00E90FEE" w:rsidRDefault="00E90FEE" w:rsidP="006E7149">
      <w:pPr>
        <w:pStyle w:val="BodyText"/>
        <w:numPr>
          <w:ilvl w:val="1"/>
          <w:numId w:val="4"/>
        </w:numPr>
        <w:spacing w:before="120" w:after="120" w:line="259" w:lineRule="auto"/>
        <w:jc w:val="both"/>
        <w:rPr>
          <w:sz w:val="22"/>
          <w:szCs w:val="22"/>
        </w:rPr>
      </w:pPr>
      <w:r w:rsidRPr="00E90FEE">
        <w:rPr>
          <w:sz w:val="22"/>
          <w:szCs w:val="22"/>
        </w:rPr>
        <w:t>The</w:t>
      </w:r>
      <w:r w:rsidRPr="00E90FEE">
        <w:rPr>
          <w:spacing w:val="-8"/>
          <w:sz w:val="22"/>
          <w:szCs w:val="22"/>
        </w:rPr>
        <w:t xml:space="preserve"> </w:t>
      </w:r>
      <w:r w:rsidRPr="00E90FEE">
        <w:rPr>
          <w:sz w:val="22"/>
          <w:szCs w:val="22"/>
        </w:rPr>
        <w:t>Houston</w:t>
      </w:r>
      <w:r w:rsidRPr="00E90FEE">
        <w:rPr>
          <w:spacing w:val="-5"/>
          <w:sz w:val="22"/>
          <w:szCs w:val="22"/>
        </w:rPr>
        <w:t xml:space="preserve"> </w:t>
      </w:r>
      <w:r w:rsidRPr="00E90FEE">
        <w:rPr>
          <w:sz w:val="22"/>
          <w:szCs w:val="22"/>
        </w:rPr>
        <w:t>Housing</w:t>
      </w:r>
      <w:r w:rsidRPr="00E90FEE">
        <w:rPr>
          <w:spacing w:val="-7"/>
          <w:sz w:val="22"/>
          <w:szCs w:val="22"/>
        </w:rPr>
        <w:t xml:space="preserve"> </w:t>
      </w:r>
      <w:r w:rsidRPr="00E90FEE">
        <w:rPr>
          <w:sz w:val="22"/>
          <w:szCs w:val="22"/>
        </w:rPr>
        <w:t>Authority</w:t>
      </w:r>
      <w:r w:rsidRPr="00E90FEE">
        <w:rPr>
          <w:spacing w:val="-4"/>
          <w:sz w:val="22"/>
          <w:szCs w:val="22"/>
        </w:rPr>
        <w:t xml:space="preserve"> </w:t>
      </w:r>
      <w:r w:rsidRPr="00E90FEE">
        <w:rPr>
          <w:sz w:val="22"/>
          <w:szCs w:val="22"/>
        </w:rPr>
        <w:t>(Housing</w:t>
      </w:r>
      <w:r w:rsidRPr="00E90FEE">
        <w:rPr>
          <w:spacing w:val="-6"/>
          <w:sz w:val="22"/>
          <w:szCs w:val="22"/>
        </w:rPr>
        <w:t xml:space="preserve"> </w:t>
      </w:r>
      <w:r w:rsidRPr="00E90FEE">
        <w:rPr>
          <w:sz w:val="22"/>
          <w:szCs w:val="22"/>
        </w:rPr>
        <w:t>Authority)</w:t>
      </w:r>
      <w:r w:rsidRPr="00E90FEE">
        <w:rPr>
          <w:spacing w:val="-5"/>
          <w:sz w:val="22"/>
          <w:szCs w:val="22"/>
        </w:rPr>
        <w:t xml:space="preserve"> </w:t>
      </w:r>
      <w:r w:rsidRPr="00E90FEE">
        <w:rPr>
          <w:sz w:val="22"/>
          <w:szCs w:val="22"/>
        </w:rPr>
        <w:t>is</w:t>
      </w:r>
      <w:r w:rsidRPr="00E90FEE">
        <w:rPr>
          <w:spacing w:val="-8"/>
          <w:sz w:val="22"/>
          <w:szCs w:val="22"/>
        </w:rPr>
        <w:t xml:space="preserve"> </w:t>
      </w:r>
      <w:r w:rsidRPr="00E90FEE">
        <w:rPr>
          <w:sz w:val="22"/>
          <w:szCs w:val="22"/>
        </w:rPr>
        <w:t>dedicated</w:t>
      </w:r>
      <w:r w:rsidRPr="00E90FEE">
        <w:rPr>
          <w:spacing w:val="-5"/>
          <w:sz w:val="22"/>
          <w:szCs w:val="22"/>
        </w:rPr>
        <w:t xml:space="preserve"> </w:t>
      </w:r>
      <w:r w:rsidRPr="00E90FEE">
        <w:rPr>
          <w:sz w:val="22"/>
          <w:szCs w:val="22"/>
        </w:rPr>
        <w:t>to</w:t>
      </w:r>
      <w:r w:rsidRPr="00E90FEE">
        <w:rPr>
          <w:spacing w:val="-7"/>
          <w:sz w:val="22"/>
          <w:szCs w:val="22"/>
        </w:rPr>
        <w:t xml:space="preserve"> </w:t>
      </w:r>
      <w:r w:rsidRPr="00E90FEE">
        <w:rPr>
          <w:sz w:val="22"/>
          <w:szCs w:val="22"/>
        </w:rPr>
        <w:t>ensuring</w:t>
      </w:r>
      <w:r w:rsidRPr="00E90FEE">
        <w:rPr>
          <w:spacing w:val="-8"/>
          <w:sz w:val="22"/>
          <w:szCs w:val="22"/>
        </w:rPr>
        <w:t xml:space="preserve"> </w:t>
      </w:r>
      <w:r w:rsidRPr="00E90FEE">
        <w:rPr>
          <w:sz w:val="22"/>
          <w:szCs w:val="22"/>
        </w:rPr>
        <w:t>that</w:t>
      </w:r>
      <w:r w:rsidRPr="00E90FEE">
        <w:rPr>
          <w:spacing w:val="-6"/>
          <w:sz w:val="22"/>
          <w:szCs w:val="22"/>
        </w:rPr>
        <w:t xml:space="preserve"> </w:t>
      </w:r>
      <w:r w:rsidRPr="00E90FEE">
        <w:rPr>
          <w:sz w:val="22"/>
          <w:szCs w:val="22"/>
        </w:rPr>
        <w:t>persons</w:t>
      </w:r>
      <w:r w:rsidRPr="00E90FEE">
        <w:rPr>
          <w:spacing w:val="-5"/>
          <w:sz w:val="22"/>
          <w:szCs w:val="22"/>
        </w:rPr>
        <w:t xml:space="preserve"> </w:t>
      </w:r>
      <w:r w:rsidRPr="00E90FEE">
        <w:rPr>
          <w:sz w:val="22"/>
          <w:szCs w:val="22"/>
        </w:rPr>
        <w:t>with disabilities</w:t>
      </w:r>
      <w:r w:rsidRPr="00E90FEE">
        <w:rPr>
          <w:spacing w:val="-7"/>
          <w:sz w:val="22"/>
          <w:szCs w:val="22"/>
        </w:rPr>
        <w:t xml:space="preserve"> </w:t>
      </w:r>
      <w:r w:rsidRPr="00E90FEE">
        <w:rPr>
          <w:sz w:val="22"/>
          <w:szCs w:val="22"/>
        </w:rPr>
        <w:t>are</w:t>
      </w:r>
      <w:r w:rsidRPr="00E90FEE">
        <w:rPr>
          <w:spacing w:val="-8"/>
          <w:sz w:val="22"/>
          <w:szCs w:val="22"/>
        </w:rPr>
        <w:t xml:space="preserve"> </w:t>
      </w:r>
      <w:r w:rsidRPr="00E90FEE">
        <w:rPr>
          <w:sz w:val="22"/>
          <w:szCs w:val="22"/>
        </w:rPr>
        <w:t>not</w:t>
      </w:r>
      <w:r w:rsidRPr="00E90FEE">
        <w:rPr>
          <w:spacing w:val="-4"/>
          <w:sz w:val="22"/>
          <w:szCs w:val="22"/>
        </w:rPr>
        <w:t xml:space="preserve"> </w:t>
      </w:r>
      <w:r w:rsidRPr="00E90FEE">
        <w:rPr>
          <w:sz w:val="22"/>
          <w:szCs w:val="22"/>
        </w:rPr>
        <w:t>discriminated</w:t>
      </w:r>
      <w:r w:rsidRPr="00E90FEE">
        <w:rPr>
          <w:spacing w:val="-4"/>
          <w:sz w:val="22"/>
          <w:szCs w:val="22"/>
        </w:rPr>
        <w:t xml:space="preserve"> </w:t>
      </w:r>
      <w:r w:rsidRPr="00E90FEE">
        <w:rPr>
          <w:sz w:val="22"/>
          <w:szCs w:val="22"/>
        </w:rPr>
        <w:t>against</w:t>
      </w:r>
      <w:r w:rsidRPr="00E90FEE">
        <w:rPr>
          <w:spacing w:val="-5"/>
          <w:sz w:val="22"/>
          <w:szCs w:val="22"/>
        </w:rPr>
        <w:t xml:space="preserve"> </w:t>
      </w:r>
      <w:r w:rsidRPr="00E90FEE">
        <w:rPr>
          <w:sz w:val="22"/>
          <w:szCs w:val="22"/>
        </w:rPr>
        <w:t>on</w:t>
      </w:r>
      <w:r w:rsidRPr="00E90FEE">
        <w:rPr>
          <w:spacing w:val="-9"/>
          <w:sz w:val="22"/>
          <w:szCs w:val="22"/>
        </w:rPr>
        <w:t xml:space="preserve"> </w:t>
      </w:r>
      <w:r w:rsidRPr="00E90FEE">
        <w:rPr>
          <w:sz w:val="22"/>
          <w:szCs w:val="22"/>
        </w:rPr>
        <w:t>the</w:t>
      </w:r>
      <w:r w:rsidRPr="00E90FEE">
        <w:rPr>
          <w:spacing w:val="-8"/>
          <w:sz w:val="22"/>
          <w:szCs w:val="22"/>
        </w:rPr>
        <w:t xml:space="preserve"> </w:t>
      </w:r>
      <w:r w:rsidRPr="00E90FEE">
        <w:rPr>
          <w:sz w:val="22"/>
          <w:szCs w:val="22"/>
        </w:rPr>
        <w:t>basis</w:t>
      </w:r>
      <w:r w:rsidRPr="00E90FEE">
        <w:rPr>
          <w:spacing w:val="-6"/>
          <w:sz w:val="22"/>
          <w:szCs w:val="22"/>
        </w:rPr>
        <w:t xml:space="preserve"> </w:t>
      </w:r>
      <w:r w:rsidRPr="00E90FEE">
        <w:rPr>
          <w:sz w:val="22"/>
          <w:szCs w:val="22"/>
        </w:rPr>
        <w:t>of</w:t>
      </w:r>
      <w:r w:rsidRPr="00E90FEE">
        <w:rPr>
          <w:spacing w:val="-5"/>
          <w:sz w:val="22"/>
          <w:szCs w:val="22"/>
        </w:rPr>
        <w:t xml:space="preserve"> </w:t>
      </w:r>
      <w:r w:rsidRPr="00E90FEE">
        <w:rPr>
          <w:sz w:val="22"/>
          <w:szCs w:val="22"/>
        </w:rPr>
        <w:t>disability</w:t>
      </w:r>
      <w:r w:rsidRPr="00E90FEE">
        <w:rPr>
          <w:spacing w:val="-7"/>
          <w:sz w:val="22"/>
          <w:szCs w:val="22"/>
        </w:rPr>
        <w:t xml:space="preserve"> </w:t>
      </w:r>
      <w:r w:rsidRPr="00E90FEE">
        <w:rPr>
          <w:sz w:val="22"/>
          <w:szCs w:val="22"/>
        </w:rPr>
        <w:t>in</w:t>
      </w:r>
      <w:r w:rsidRPr="00E90FEE">
        <w:rPr>
          <w:spacing w:val="-5"/>
          <w:sz w:val="22"/>
          <w:szCs w:val="22"/>
        </w:rPr>
        <w:t xml:space="preserve"> </w:t>
      </w:r>
      <w:r w:rsidRPr="00E90FEE">
        <w:rPr>
          <w:sz w:val="22"/>
          <w:szCs w:val="22"/>
        </w:rPr>
        <w:t>connection</w:t>
      </w:r>
      <w:r w:rsidRPr="00E90FEE">
        <w:rPr>
          <w:spacing w:val="-5"/>
          <w:sz w:val="22"/>
          <w:szCs w:val="22"/>
        </w:rPr>
        <w:t xml:space="preserve"> </w:t>
      </w:r>
      <w:r w:rsidRPr="00E90FEE">
        <w:rPr>
          <w:sz w:val="22"/>
          <w:szCs w:val="22"/>
        </w:rPr>
        <w:t>with</w:t>
      </w:r>
      <w:r w:rsidRPr="00E90FEE">
        <w:rPr>
          <w:spacing w:val="-7"/>
          <w:sz w:val="22"/>
          <w:szCs w:val="22"/>
        </w:rPr>
        <w:t xml:space="preserve"> </w:t>
      </w:r>
      <w:r w:rsidRPr="00E90FEE">
        <w:rPr>
          <w:sz w:val="22"/>
          <w:szCs w:val="22"/>
        </w:rPr>
        <w:t>the</w:t>
      </w:r>
      <w:r w:rsidRPr="00E90FEE">
        <w:rPr>
          <w:spacing w:val="-6"/>
          <w:sz w:val="22"/>
          <w:szCs w:val="22"/>
        </w:rPr>
        <w:t xml:space="preserve"> </w:t>
      </w:r>
      <w:r w:rsidRPr="00E90FEE">
        <w:rPr>
          <w:sz w:val="22"/>
          <w:szCs w:val="22"/>
        </w:rPr>
        <w:t xml:space="preserve">Housing Authority’s programs, services and activities. If a person with a disability requests </w:t>
      </w:r>
      <w:r w:rsidRPr="00E90FEE">
        <w:rPr>
          <w:spacing w:val="-3"/>
          <w:sz w:val="22"/>
          <w:szCs w:val="22"/>
        </w:rPr>
        <w:t xml:space="preserve">an </w:t>
      </w:r>
      <w:r w:rsidRPr="00E90FEE">
        <w:rPr>
          <w:sz w:val="22"/>
          <w:szCs w:val="22"/>
        </w:rPr>
        <w:t>accommodation to an existing rule, policy, practice, or service in order to have an equal opportunity</w:t>
      </w:r>
      <w:r w:rsidRPr="00E90FEE">
        <w:rPr>
          <w:spacing w:val="-14"/>
          <w:sz w:val="22"/>
          <w:szCs w:val="22"/>
        </w:rPr>
        <w:t xml:space="preserve"> </w:t>
      </w:r>
      <w:r w:rsidRPr="00E90FEE">
        <w:rPr>
          <w:sz w:val="22"/>
          <w:szCs w:val="22"/>
        </w:rPr>
        <w:t>to</w:t>
      </w:r>
      <w:r w:rsidRPr="00E90FEE">
        <w:rPr>
          <w:spacing w:val="-15"/>
          <w:sz w:val="22"/>
          <w:szCs w:val="22"/>
        </w:rPr>
        <w:t xml:space="preserve"> </w:t>
      </w:r>
      <w:r w:rsidRPr="00E90FEE">
        <w:rPr>
          <w:sz w:val="22"/>
          <w:szCs w:val="22"/>
        </w:rPr>
        <w:t>use</w:t>
      </w:r>
      <w:r w:rsidRPr="00E90FEE">
        <w:rPr>
          <w:spacing w:val="-13"/>
          <w:sz w:val="22"/>
          <w:szCs w:val="22"/>
        </w:rPr>
        <w:t xml:space="preserve"> </w:t>
      </w:r>
      <w:r w:rsidRPr="00E90FEE">
        <w:rPr>
          <w:sz w:val="22"/>
          <w:szCs w:val="22"/>
        </w:rPr>
        <w:t>a</w:t>
      </w:r>
      <w:r w:rsidRPr="00E90FEE">
        <w:rPr>
          <w:spacing w:val="-13"/>
          <w:sz w:val="22"/>
          <w:szCs w:val="22"/>
        </w:rPr>
        <w:t xml:space="preserve"> </w:t>
      </w:r>
      <w:r w:rsidRPr="00E90FEE">
        <w:rPr>
          <w:sz w:val="22"/>
          <w:szCs w:val="22"/>
        </w:rPr>
        <w:t>dwelling</w:t>
      </w:r>
      <w:r w:rsidRPr="00E90FEE">
        <w:rPr>
          <w:spacing w:val="-13"/>
          <w:sz w:val="22"/>
          <w:szCs w:val="22"/>
        </w:rPr>
        <w:t xml:space="preserve"> </w:t>
      </w:r>
      <w:r w:rsidRPr="00E90FEE">
        <w:rPr>
          <w:sz w:val="22"/>
          <w:szCs w:val="22"/>
        </w:rPr>
        <w:t>unit</w:t>
      </w:r>
      <w:r w:rsidRPr="00E90FEE">
        <w:rPr>
          <w:spacing w:val="-12"/>
          <w:sz w:val="22"/>
          <w:szCs w:val="22"/>
        </w:rPr>
        <w:t xml:space="preserve"> </w:t>
      </w:r>
      <w:r w:rsidRPr="00E90FEE">
        <w:rPr>
          <w:sz w:val="22"/>
          <w:szCs w:val="22"/>
        </w:rPr>
        <w:t>or</w:t>
      </w:r>
      <w:r w:rsidRPr="00E90FEE">
        <w:rPr>
          <w:spacing w:val="-13"/>
          <w:sz w:val="22"/>
          <w:szCs w:val="22"/>
        </w:rPr>
        <w:t xml:space="preserve"> </w:t>
      </w:r>
      <w:r w:rsidRPr="00E90FEE">
        <w:rPr>
          <w:sz w:val="22"/>
          <w:szCs w:val="22"/>
        </w:rPr>
        <w:t>enjoy</w:t>
      </w:r>
      <w:r w:rsidRPr="00E90FEE">
        <w:rPr>
          <w:spacing w:val="-16"/>
          <w:sz w:val="22"/>
          <w:szCs w:val="22"/>
        </w:rPr>
        <w:t xml:space="preserve"> </w:t>
      </w:r>
      <w:r w:rsidRPr="00E90FEE">
        <w:rPr>
          <w:sz w:val="22"/>
          <w:szCs w:val="22"/>
        </w:rPr>
        <w:t>the</w:t>
      </w:r>
      <w:r w:rsidRPr="00E90FEE">
        <w:rPr>
          <w:spacing w:val="-15"/>
          <w:sz w:val="22"/>
          <w:szCs w:val="22"/>
        </w:rPr>
        <w:t xml:space="preserve"> </w:t>
      </w:r>
      <w:r w:rsidRPr="00E90FEE">
        <w:rPr>
          <w:sz w:val="22"/>
          <w:szCs w:val="22"/>
        </w:rPr>
        <w:t>benefits</w:t>
      </w:r>
      <w:r w:rsidRPr="00E90FEE">
        <w:rPr>
          <w:spacing w:val="-13"/>
          <w:sz w:val="22"/>
          <w:szCs w:val="22"/>
        </w:rPr>
        <w:t xml:space="preserve"> </w:t>
      </w:r>
      <w:r w:rsidRPr="00E90FEE">
        <w:rPr>
          <w:sz w:val="22"/>
          <w:szCs w:val="22"/>
        </w:rPr>
        <w:t>of</w:t>
      </w:r>
      <w:r w:rsidRPr="00E90FEE">
        <w:rPr>
          <w:spacing w:val="-13"/>
          <w:sz w:val="22"/>
          <w:szCs w:val="22"/>
        </w:rPr>
        <w:t xml:space="preserve"> </w:t>
      </w:r>
      <w:r w:rsidRPr="00E90FEE">
        <w:rPr>
          <w:sz w:val="22"/>
          <w:szCs w:val="22"/>
        </w:rPr>
        <w:t>participating</w:t>
      </w:r>
      <w:r w:rsidRPr="00E90FEE">
        <w:rPr>
          <w:spacing w:val="-13"/>
          <w:sz w:val="22"/>
          <w:szCs w:val="22"/>
        </w:rPr>
        <w:t xml:space="preserve"> </w:t>
      </w:r>
      <w:r w:rsidRPr="00E90FEE">
        <w:rPr>
          <w:sz w:val="22"/>
          <w:szCs w:val="22"/>
        </w:rPr>
        <w:t>in</w:t>
      </w:r>
      <w:r w:rsidRPr="00E90FEE">
        <w:rPr>
          <w:spacing w:val="-12"/>
          <w:sz w:val="22"/>
          <w:szCs w:val="22"/>
        </w:rPr>
        <w:t xml:space="preserve"> </w:t>
      </w:r>
      <w:r w:rsidRPr="00E90FEE">
        <w:rPr>
          <w:sz w:val="22"/>
          <w:szCs w:val="22"/>
        </w:rPr>
        <w:t>the</w:t>
      </w:r>
      <w:r w:rsidRPr="00E90FEE">
        <w:rPr>
          <w:spacing w:val="-10"/>
          <w:sz w:val="22"/>
          <w:szCs w:val="22"/>
        </w:rPr>
        <w:t xml:space="preserve"> </w:t>
      </w:r>
      <w:r w:rsidRPr="00E90FEE">
        <w:rPr>
          <w:sz w:val="22"/>
          <w:szCs w:val="22"/>
        </w:rPr>
        <w:t>Housing</w:t>
      </w:r>
      <w:r w:rsidRPr="00E90FEE">
        <w:rPr>
          <w:spacing w:val="-12"/>
          <w:sz w:val="22"/>
          <w:szCs w:val="22"/>
        </w:rPr>
        <w:t xml:space="preserve"> </w:t>
      </w:r>
      <w:r w:rsidRPr="00E90FEE">
        <w:rPr>
          <w:sz w:val="22"/>
          <w:szCs w:val="22"/>
        </w:rPr>
        <w:t>Authority’s services, the Housing Authority will provide an accommodation. The Housing Authority is not required to make changes that would fundamentally alter the program or create an undue financial and administrative</w:t>
      </w:r>
      <w:r w:rsidRPr="00E90FEE">
        <w:rPr>
          <w:spacing w:val="3"/>
          <w:sz w:val="22"/>
          <w:szCs w:val="22"/>
        </w:rPr>
        <w:t xml:space="preserve"> </w:t>
      </w:r>
      <w:r w:rsidRPr="00E90FEE">
        <w:rPr>
          <w:sz w:val="22"/>
          <w:szCs w:val="22"/>
        </w:rPr>
        <w:t>burden.</w:t>
      </w:r>
    </w:p>
    <w:p w14:paraId="3DC0214E" w14:textId="77777777" w:rsidR="00E90FEE" w:rsidRPr="00E90FEE" w:rsidRDefault="00E90FEE" w:rsidP="006E7149">
      <w:pPr>
        <w:pStyle w:val="BodyText"/>
        <w:numPr>
          <w:ilvl w:val="1"/>
          <w:numId w:val="4"/>
        </w:numPr>
        <w:spacing w:before="120" w:after="120" w:line="259" w:lineRule="auto"/>
        <w:jc w:val="both"/>
        <w:rPr>
          <w:sz w:val="22"/>
          <w:szCs w:val="22"/>
        </w:rPr>
      </w:pPr>
      <w:r w:rsidRPr="00E90FEE">
        <w:rPr>
          <w:sz w:val="22"/>
          <w:szCs w:val="22"/>
        </w:rPr>
        <w:t>A</w:t>
      </w:r>
      <w:r w:rsidRPr="00E90FEE">
        <w:rPr>
          <w:spacing w:val="-7"/>
          <w:sz w:val="22"/>
          <w:szCs w:val="22"/>
        </w:rPr>
        <w:t xml:space="preserve"> </w:t>
      </w:r>
      <w:r w:rsidRPr="00E90FEE">
        <w:rPr>
          <w:sz w:val="22"/>
          <w:szCs w:val="22"/>
        </w:rPr>
        <w:t>copy</w:t>
      </w:r>
      <w:r w:rsidRPr="00E90FEE">
        <w:rPr>
          <w:spacing w:val="-9"/>
          <w:sz w:val="22"/>
          <w:szCs w:val="22"/>
        </w:rPr>
        <w:t xml:space="preserve"> </w:t>
      </w:r>
      <w:r w:rsidRPr="00E90FEE">
        <w:rPr>
          <w:sz w:val="22"/>
          <w:szCs w:val="22"/>
        </w:rPr>
        <w:t>of</w:t>
      </w:r>
      <w:r w:rsidRPr="00E90FEE">
        <w:rPr>
          <w:spacing w:val="-8"/>
          <w:sz w:val="22"/>
          <w:szCs w:val="22"/>
        </w:rPr>
        <w:t xml:space="preserve"> </w:t>
      </w:r>
      <w:r w:rsidRPr="00E90FEE">
        <w:rPr>
          <w:sz w:val="22"/>
          <w:szCs w:val="22"/>
        </w:rPr>
        <w:t>the</w:t>
      </w:r>
      <w:r w:rsidRPr="00E90FEE">
        <w:rPr>
          <w:spacing w:val="-8"/>
          <w:sz w:val="22"/>
          <w:szCs w:val="22"/>
        </w:rPr>
        <w:t xml:space="preserve"> </w:t>
      </w:r>
      <w:r w:rsidRPr="00E90FEE">
        <w:rPr>
          <w:sz w:val="22"/>
          <w:szCs w:val="22"/>
        </w:rPr>
        <w:t>Housing</w:t>
      </w:r>
      <w:r w:rsidRPr="00E90FEE">
        <w:rPr>
          <w:spacing w:val="-9"/>
          <w:sz w:val="22"/>
          <w:szCs w:val="22"/>
        </w:rPr>
        <w:t xml:space="preserve"> </w:t>
      </w:r>
      <w:r w:rsidRPr="00E90FEE">
        <w:rPr>
          <w:sz w:val="22"/>
          <w:szCs w:val="22"/>
        </w:rPr>
        <w:t>Authority’s</w:t>
      </w:r>
      <w:r w:rsidRPr="00E90FEE">
        <w:rPr>
          <w:spacing w:val="-6"/>
          <w:sz w:val="22"/>
          <w:szCs w:val="22"/>
        </w:rPr>
        <w:t xml:space="preserve"> </w:t>
      </w:r>
      <w:r w:rsidRPr="00E90FEE">
        <w:rPr>
          <w:sz w:val="22"/>
          <w:szCs w:val="22"/>
        </w:rPr>
        <w:t>Reasonable</w:t>
      </w:r>
      <w:r w:rsidRPr="00E90FEE">
        <w:rPr>
          <w:spacing w:val="-8"/>
          <w:sz w:val="22"/>
          <w:szCs w:val="22"/>
        </w:rPr>
        <w:t xml:space="preserve"> </w:t>
      </w:r>
      <w:r w:rsidRPr="00E90FEE">
        <w:rPr>
          <w:sz w:val="22"/>
          <w:szCs w:val="22"/>
        </w:rPr>
        <w:t>Accommodation</w:t>
      </w:r>
      <w:r w:rsidRPr="00E90FEE">
        <w:rPr>
          <w:spacing w:val="-8"/>
          <w:sz w:val="22"/>
          <w:szCs w:val="22"/>
        </w:rPr>
        <w:t xml:space="preserve"> </w:t>
      </w:r>
      <w:r w:rsidRPr="00E90FEE">
        <w:rPr>
          <w:sz w:val="22"/>
          <w:szCs w:val="22"/>
        </w:rPr>
        <w:t>Policy</w:t>
      </w:r>
      <w:r w:rsidRPr="00E90FEE">
        <w:rPr>
          <w:spacing w:val="-7"/>
          <w:sz w:val="22"/>
          <w:szCs w:val="22"/>
        </w:rPr>
        <w:t xml:space="preserve"> </w:t>
      </w:r>
      <w:r w:rsidRPr="00E90FEE">
        <w:rPr>
          <w:sz w:val="22"/>
          <w:szCs w:val="22"/>
        </w:rPr>
        <w:t>(Policy)</w:t>
      </w:r>
      <w:r w:rsidRPr="00E90FEE">
        <w:rPr>
          <w:spacing w:val="-7"/>
          <w:sz w:val="22"/>
          <w:szCs w:val="22"/>
        </w:rPr>
        <w:t xml:space="preserve"> </w:t>
      </w:r>
      <w:r w:rsidRPr="00E90FEE">
        <w:rPr>
          <w:sz w:val="22"/>
          <w:szCs w:val="22"/>
        </w:rPr>
        <w:t>shall</w:t>
      </w:r>
      <w:r w:rsidRPr="00E90FEE">
        <w:rPr>
          <w:spacing w:val="-8"/>
          <w:sz w:val="22"/>
          <w:szCs w:val="22"/>
        </w:rPr>
        <w:t xml:space="preserve"> </w:t>
      </w:r>
      <w:r w:rsidRPr="00E90FEE">
        <w:rPr>
          <w:sz w:val="22"/>
          <w:szCs w:val="22"/>
        </w:rPr>
        <w:t>be</w:t>
      </w:r>
      <w:r w:rsidRPr="00E90FEE">
        <w:rPr>
          <w:spacing w:val="-9"/>
          <w:sz w:val="22"/>
          <w:szCs w:val="22"/>
        </w:rPr>
        <w:t xml:space="preserve"> </w:t>
      </w:r>
      <w:r w:rsidRPr="00E90FEE">
        <w:rPr>
          <w:sz w:val="22"/>
          <w:szCs w:val="22"/>
        </w:rPr>
        <w:t>available at each public housing development and at the Housing Authority’s Main Administrative Office at</w:t>
      </w:r>
      <w:r w:rsidRPr="00E90FEE">
        <w:rPr>
          <w:spacing w:val="-14"/>
          <w:sz w:val="22"/>
          <w:szCs w:val="22"/>
        </w:rPr>
        <w:t xml:space="preserve"> </w:t>
      </w:r>
      <w:r w:rsidRPr="00E90FEE">
        <w:rPr>
          <w:sz w:val="22"/>
          <w:szCs w:val="22"/>
        </w:rPr>
        <w:t>2640</w:t>
      </w:r>
      <w:r w:rsidRPr="00E90FEE">
        <w:rPr>
          <w:spacing w:val="-14"/>
          <w:sz w:val="22"/>
          <w:szCs w:val="22"/>
        </w:rPr>
        <w:t xml:space="preserve"> </w:t>
      </w:r>
      <w:r w:rsidRPr="00E90FEE">
        <w:rPr>
          <w:sz w:val="22"/>
          <w:szCs w:val="22"/>
        </w:rPr>
        <w:t>Fountain</w:t>
      </w:r>
      <w:r w:rsidRPr="00E90FEE">
        <w:rPr>
          <w:spacing w:val="-15"/>
          <w:sz w:val="22"/>
          <w:szCs w:val="22"/>
        </w:rPr>
        <w:t xml:space="preserve"> </w:t>
      </w:r>
      <w:r w:rsidRPr="00E90FEE">
        <w:rPr>
          <w:sz w:val="22"/>
          <w:szCs w:val="22"/>
        </w:rPr>
        <w:t>View</w:t>
      </w:r>
      <w:r w:rsidRPr="00E90FEE">
        <w:rPr>
          <w:spacing w:val="-15"/>
          <w:sz w:val="22"/>
          <w:szCs w:val="22"/>
        </w:rPr>
        <w:t xml:space="preserve"> </w:t>
      </w:r>
      <w:r w:rsidRPr="00E90FEE">
        <w:rPr>
          <w:sz w:val="22"/>
          <w:szCs w:val="22"/>
        </w:rPr>
        <w:t>Drive,</w:t>
      </w:r>
      <w:r w:rsidRPr="00E90FEE">
        <w:rPr>
          <w:spacing w:val="-14"/>
          <w:sz w:val="22"/>
          <w:szCs w:val="22"/>
        </w:rPr>
        <w:t xml:space="preserve"> </w:t>
      </w:r>
      <w:r w:rsidRPr="00E90FEE">
        <w:rPr>
          <w:sz w:val="22"/>
          <w:szCs w:val="22"/>
        </w:rPr>
        <w:t>Houston,</w:t>
      </w:r>
      <w:r w:rsidRPr="00E90FEE">
        <w:rPr>
          <w:spacing w:val="-16"/>
          <w:sz w:val="22"/>
          <w:szCs w:val="22"/>
        </w:rPr>
        <w:t xml:space="preserve"> </w:t>
      </w:r>
      <w:r w:rsidRPr="00E90FEE">
        <w:rPr>
          <w:sz w:val="22"/>
          <w:szCs w:val="22"/>
        </w:rPr>
        <w:t>Texas</w:t>
      </w:r>
      <w:r w:rsidRPr="00E90FEE">
        <w:rPr>
          <w:spacing w:val="-14"/>
          <w:sz w:val="22"/>
          <w:szCs w:val="22"/>
        </w:rPr>
        <w:t xml:space="preserve"> </w:t>
      </w:r>
      <w:r w:rsidRPr="00E90FEE">
        <w:rPr>
          <w:sz w:val="22"/>
          <w:szCs w:val="22"/>
        </w:rPr>
        <w:t>77057,</w:t>
      </w:r>
      <w:r w:rsidRPr="00E90FEE">
        <w:rPr>
          <w:spacing w:val="-13"/>
          <w:sz w:val="22"/>
          <w:szCs w:val="22"/>
        </w:rPr>
        <w:t xml:space="preserve"> </w:t>
      </w:r>
      <w:r w:rsidRPr="00E90FEE">
        <w:rPr>
          <w:sz w:val="22"/>
          <w:szCs w:val="22"/>
        </w:rPr>
        <w:t>and</w:t>
      </w:r>
      <w:r w:rsidRPr="00E90FEE">
        <w:rPr>
          <w:spacing w:val="-16"/>
          <w:sz w:val="22"/>
          <w:szCs w:val="22"/>
        </w:rPr>
        <w:t xml:space="preserve"> </w:t>
      </w:r>
      <w:r w:rsidRPr="00E90FEE">
        <w:rPr>
          <w:sz w:val="22"/>
          <w:szCs w:val="22"/>
        </w:rPr>
        <w:t>online</w:t>
      </w:r>
      <w:r w:rsidRPr="00E90FEE">
        <w:rPr>
          <w:spacing w:val="-15"/>
          <w:sz w:val="22"/>
          <w:szCs w:val="22"/>
        </w:rPr>
        <w:t xml:space="preserve"> </w:t>
      </w:r>
      <w:r w:rsidRPr="00E90FEE">
        <w:rPr>
          <w:sz w:val="22"/>
          <w:szCs w:val="22"/>
        </w:rPr>
        <w:t>at</w:t>
      </w:r>
      <w:r w:rsidRPr="00E90FEE">
        <w:rPr>
          <w:spacing w:val="-13"/>
          <w:sz w:val="22"/>
          <w:szCs w:val="22"/>
        </w:rPr>
        <w:t xml:space="preserve"> </w:t>
      </w:r>
      <w:hyperlink r:id="rId20">
        <w:r w:rsidRPr="00E90FEE">
          <w:rPr>
            <w:color w:val="0000FF"/>
            <w:sz w:val="22"/>
            <w:szCs w:val="22"/>
            <w:u w:val="single" w:color="0000FF"/>
          </w:rPr>
          <w:t>www.housingforhouston.com</w:t>
        </w:r>
      </w:hyperlink>
      <w:r w:rsidRPr="00E90FEE">
        <w:rPr>
          <w:sz w:val="22"/>
          <w:szCs w:val="22"/>
        </w:rPr>
        <w:t>.</w:t>
      </w:r>
    </w:p>
    <w:p w14:paraId="0ECA8E72" w14:textId="77777777" w:rsidR="00E90FEE" w:rsidRPr="00E90FEE" w:rsidRDefault="00E90FEE" w:rsidP="006E7149">
      <w:pPr>
        <w:pStyle w:val="BodyText"/>
        <w:numPr>
          <w:ilvl w:val="1"/>
          <w:numId w:val="4"/>
        </w:numPr>
        <w:spacing w:before="120" w:after="120" w:line="259" w:lineRule="auto"/>
        <w:jc w:val="both"/>
        <w:rPr>
          <w:sz w:val="22"/>
          <w:szCs w:val="22"/>
        </w:rPr>
      </w:pPr>
      <w:r w:rsidRPr="00E90FEE">
        <w:rPr>
          <w:sz w:val="22"/>
          <w:szCs w:val="22"/>
        </w:rPr>
        <w:t xml:space="preserve">The Housing Authority requests but does not require that the reasonable accommodation request form be completed. A letter may be completed by a knowledgeable third-party in lieu of the Housing Authority’s reasonable accommodation form. </w:t>
      </w:r>
    </w:p>
    <w:p w14:paraId="0BC76E7A" w14:textId="77777777" w:rsidR="00E90FEE" w:rsidRPr="00E90FEE" w:rsidRDefault="00E90FEE" w:rsidP="006E7149">
      <w:pPr>
        <w:pStyle w:val="ListParagraph"/>
        <w:widowControl w:val="0"/>
        <w:numPr>
          <w:ilvl w:val="0"/>
          <w:numId w:val="4"/>
        </w:numPr>
        <w:autoSpaceDE w:val="0"/>
        <w:autoSpaceDN w:val="0"/>
        <w:spacing w:before="240" w:after="120"/>
        <w:contextualSpacing w:val="0"/>
        <w:rPr>
          <w:rFonts w:cs="Arial"/>
          <w:b/>
          <w:bCs/>
        </w:rPr>
      </w:pPr>
      <w:r w:rsidRPr="00E90FEE">
        <w:rPr>
          <w:rFonts w:cs="Arial"/>
          <w:b/>
          <w:bCs/>
        </w:rPr>
        <w:t>Legal Authority</w:t>
      </w:r>
    </w:p>
    <w:p w14:paraId="7CE60799" w14:textId="77777777" w:rsidR="00E90FEE" w:rsidRPr="00E90FEE" w:rsidRDefault="00E90FEE" w:rsidP="006E7149">
      <w:pPr>
        <w:pStyle w:val="BodyText"/>
        <w:numPr>
          <w:ilvl w:val="1"/>
          <w:numId w:val="5"/>
        </w:numPr>
        <w:spacing w:before="120" w:after="120" w:line="259" w:lineRule="auto"/>
        <w:jc w:val="both"/>
        <w:rPr>
          <w:sz w:val="22"/>
          <w:szCs w:val="22"/>
        </w:rPr>
      </w:pPr>
      <w:r w:rsidRPr="00E90FEE">
        <w:rPr>
          <w:sz w:val="22"/>
          <w:szCs w:val="22"/>
        </w:rPr>
        <w:t>This Policy is in compliance with the statutory authorities listed below:</w:t>
      </w:r>
    </w:p>
    <w:p w14:paraId="1FBE6B26" w14:textId="77777777" w:rsidR="00E90FEE" w:rsidRPr="00E90FEE" w:rsidRDefault="00E90FEE" w:rsidP="006E7149">
      <w:pPr>
        <w:pStyle w:val="ListParagraph"/>
        <w:widowControl w:val="0"/>
        <w:numPr>
          <w:ilvl w:val="2"/>
          <w:numId w:val="4"/>
        </w:numPr>
        <w:tabs>
          <w:tab w:val="left" w:pos="821"/>
        </w:tabs>
        <w:autoSpaceDE w:val="0"/>
        <w:autoSpaceDN w:val="0"/>
        <w:spacing w:before="120" w:after="120"/>
        <w:contextualSpacing w:val="0"/>
        <w:rPr>
          <w:rFonts w:cs="Arial"/>
        </w:rPr>
      </w:pPr>
      <w:r w:rsidRPr="00E90FEE">
        <w:rPr>
          <w:rFonts w:cs="Arial"/>
        </w:rPr>
        <w:t>Section 504 of the Rehabilitation Act of 1973 (Section</w:t>
      </w:r>
      <w:r w:rsidRPr="00E90FEE">
        <w:rPr>
          <w:rFonts w:cs="Arial"/>
          <w:spacing w:val="-2"/>
        </w:rPr>
        <w:t xml:space="preserve"> </w:t>
      </w:r>
      <w:r w:rsidRPr="00E90FEE">
        <w:rPr>
          <w:rFonts w:cs="Arial"/>
        </w:rPr>
        <w:t>504);</w:t>
      </w:r>
    </w:p>
    <w:p w14:paraId="6721604D" w14:textId="77777777" w:rsidR="00E90FEE" w:rsidRPr="00E90FEE" w:rsidRDefault="00E90FEE" w:rsidP="006E7149">
      <w:pPr>
        <w:pStyle w:val="ListParagraph"/>
        <w:widowControl w:val="0"/>
        <w:numPr>
          <w:ilvl w:val="2"/>
          <w:numId w:val="4"/>
        </w:numPr>
        <w:tabs>
          <w:tab w:val="left" w:pos="821"/>
        </w:tabs>
        <w:autoSpaceDE w:val="0"/>
        <w:autoSpaceDN w:val="0"/>
        <w:spacing w:before="120" w:after="120"/>
        <w:contextualSpacing w:val="0"/>
        <w:rPr>
          <w:rFonts w:cs="Arial"/>
        </w:rPr>
      </w:pPr>
      <w:r w:rsidRPr="00E90FEE">
        <w:rPr>
          <w:rFonts w:cs="Arial"/>
        </w:rPr>
        <w:t>Titles II and III of the Americans with Disabilities Act of 1990</w:t>
      </w:r>
      <w:r w:rsidRPr="00E90FEE">
        <w:rPr>
          <w:rFonts w:cs="Arial"/>
          <w:spacing w:val="-13"/>
        </w:rPr>
        <w:t xml:space="preserve"> </w:t>
      </w:r>
      <w:r w:rsidRPr="00E90FEE">
        <w:rPr>
          <w:rFonts w:cs="Arial"/>
        </w:rPr>
        <w:t>(ADA);</w:t>
      </w:r>
    </w:p>
    <w:p w14:paraId="06785F77" w14:textId="77777777" w:rsidR="00E90FEE" w:rsidRPr="00E90FEE" w:rsidRDefault="00E90FEE" w:rsidP="006E7149">
      <w:pPr>
        <w:pStyle w:val="ListParagraph"/>
        <w:widowControl w:val="0"/>
        <w:numPr>
          <w:ilvl w:val="2"/>
          <w:numId w:val="4"/>
        </w:numPr>
        <w:tabs>
          <w:tab w:val="left" w:pos="821"/>
        </w:tabs>
        <w:autoSpaceDE w:val="0"/>
        <w:autoSpaceDN w:val="0"/>
        <w:spacing w:before="120" w:after="120"/>
        <w:contextualSpacing w:val="0"/>
        <w:rPr>
          <w:rFonts w:cs="Arial"/>
        </w:rPr>
      </w:pPr>
      <w:r w:rsidRPr="00E90FEE">
        <w:rPr>
          <w:rFonts w:cs="Arial"/>
        </w:rPr>
        <w:t>The Fair Housing Act of 1968, as amended (Fair Housing Act);</w:t>
      </w:r>
    </w:p>
    <w:p w14:paraId="52F30483" w14:textId="77777777" w:rsidR="00E90FEE" w:rsidRPr="00E90FEE" w:rsidRDefault="00E90FEE" w:rsidP="006E7149">
      <w:pPr>
        <w:pStyle w:val="ListParagraph"/>
        <w:widowControl w:val="0"/>
        <w:numPr>
          <w:ilvl w:val="2"/>
          <w:numId w:val="4"/>
        </w:numPr>
        <w:tabs>
          <w:tab w:val="left" w:pos="821"/>
        </w:tabs>
        <w:autoSpaceDE w:val="0"/>
        <w:autoSpaceDN w:val="0"/>
        <w:spacing w:before="120" w:after="120"/>
        <w:contextualSpacing w:val="0"/>
        <w:rPr>
          <w:rFonts w:cs="Arial"/>
        </w:rPr>
      </w:pPr>
      <w:r w:rsidRPr="00E90FEE">
        <w:rPr>
          <w:rFonts w:cs="Arial"/>
        </w:rPr>
        <w:t>The Architectural Barriers Act of 1968;</w:t>
      </w:r>
      <w:r w:rsidRPr="00E90FEE">
        <w:rPr>
          <w:rFonts w:cs="Arial"/>
          <w:spacing w:val="9"/>
        </w:rPr>
        <w:t xml:space="preserve"> </w:t>
      </w:r>
    </w:p>
    <w:p w14:paraId="5000FCD7" w14:textId="77777777" w:rsidR="00E90FEE" w:rsidRPr="00E90FEE" w:rsidRDefault="00E90FEE" w:rsidP="006E7149">
      <w:pPr>
        <w:pStyle w:val="ListParagraph"/>
        <w:widowControl w:val="0"/>
        <w:numPr>
          <w:ilvl w:val="2"/>
          <w:numId w:val="4"/>
        </w:numPr>
        <w:tabs>
          <w:tab w:val="left" w:pos="821"/>
        </w:tabs>
        <w:autoSpaceDE w:val="0"/>
        <w:autoSpaceDN w:val="0"/>
        <w:spacing w:before="120" w:after="120"/>
        <w:contextualSpacing w:val="0"/>
        <w:rPr>
          <w:rFonts w:cs="Arial"/>
        </w:rPr>
      </w:pPr>
      <w:r w:rsidRPr="00E90FEE">
        <w:rPr>
          <w:rFonts w:cs="Arial"/>
        </w:rPr>
        <w:t>24 CFR Part 8</w:t>
      </w:r>
      <w:r w:rsidRPr="00E90FEE">
        <w:rPr>
          <w:rFonts w:cs="Arial"/>
          <w:spacing w:val="-3"/>
        </w:rPr>
        <w:t xml:space="preserve"> and 100</w:t>
      </w:r>
      <w:r w:rsidR="0056690B">
        <w:rPr>
          <w:rFonts w:cs="Arial"/>
          <w:spacing w:val="-3"/>
        </w:rPr>
        <w:t>;</w:t>
      </w:r>
    </w:p>
    <w:p w14:paraId="50F0A97C" w14:textId="77777777" w:rsidR="00E90FEE" w:rsidRPr="00E90FEE" w:rsidRDefault="00E90FEE" w:rsidP="006E7149">
      <w:pPr>
        <w:pStyle w:val="ListParagraph"/>
        <w:widowControl w:val="0"/>
        <w:numPr>
          <w:ilvl w:val="2"/>
          <w:numId w:val="4"/>
        </w:numPr>
        <w:tabs>
          <w:tab w:val="left" w:pos="821"/>
        </w:tabs>
        <w:autoSpaceDE w:val="0"/>
        <w:autoSpaceDN w:val="0"/>
        <w:spacing w:before="120" w:after="120"/>
        <w:contextualSpacing w:val="0"/>
        <w:rPr>
          <w:rFonts w:cs="Arial"/>
        </w:rPr>
      </w:pPr>
      <w:r w:rsidRPr="00E90FEE">
        <w:rPr>
          <w:rFonts w:cs="Arial"/>
        </w:rPr>
        <w:t>Title VI of the Civil Rights Act of 1964</w:t>
      </w:r>
      <w:r w:rsidR="0056690B">
        <w:rPr>
          <w:rFonts w:cs="Arial"/>
        </w:rPr>
        <w:t>; and</w:t>
      </w:r>
    </w:p>
    <w:p w14:paraId="3BA2CAAC" w14:textId="77777777" w:rsidR="00E90FEE" w:rsidRPr="00E90FEE" w:rsidRDefault="00E90FEE" w:rsidP="006E7149">
      <w:pPr>
        <w:pStyle w:val="ListParagraph"/>
        <w:widowControl w:val="0"/>
        <w:numPr>
          <w:ilvl w:val="2"/>
          <w:numId w:val="4"/>
        </w:numPr>
        <w:tabs>
          <w:tab w:val="left" w:pos="821"/>
        </w:tabs>
        <w:autoSpaceDE w:val="0"/>
        <w:autoSpaceDN w:val="0"/>
        <w:spacing w:before="120" w:after="120"/>
        <w:contextualSpacing w:val="0"/>
        <w:rPr>
          <w:rFonts w:cs="Arial"/>
        </w:rPr>
      </w:pPr>
      <w:r w:rsidRPr="00E90FEE">
        <w:rPr>
          <w:rFonts w:cs="Arial"/>
        </w:rPr>
        <w:t>The Violence Against Women Reauthorization Act of 20</w:t>
      </w:r>
      <w:r w:rsidR="0056690B">
        <w:rPr>
          <w:rFonts w:cs="Arial"/>
        </w:rPr>
        <w:t>22.</w:t>
      </w:r>
    </w:p>
    <w:p w14:paraId="6F45ED0B" w14:textId="77777777" w:rsidR="00E90FEE" w:rsidRPr="00E90FEE" w:rsidRDefault="00E90FEE" w:rsidP="006E7149">
      <w:pPr>
        <w:pStyle w:val="ListParagraph"/>
        <w:widowControl w:val="0"/>
        <w:numPr>
          <w:ilvl w:val="0"/>
          <w:numId w:val="4"/>
        </w:numPr>
        <w:autoSpaceDE w:val="0"/>
        <w:autoSpaceDN w:val="0"/>
        <w:spacing w:before="240" w:after="120"/>
        <w:contextualSpacing w:val="0"/>
        <w:rPr>
          <w:rFonts w:cs="Arial"/>
        </w:rPr>
      </w:pPr>
      <w:r w:rsidRPr="00E90FEE">
        <w:rPr>
          <w:rFonts w:cs="Arial"/>
          <w:b/>
          <w:bCs/>
        </w:rPr>
        <w:t>Monitoring</w:t>
      </w:r>
    </w:p>
    <w:p w14:paraId="68A3A08D" w14:textId="77777777" w:rsidR="00E90FEE" w:rsidRPr="00E90FEE" w:rsidRDefault="00E90FEE" w:rsidP="006E7149">
      <w:pPr>
        <w:pStyle w:val="BodyText"/>
        <w:numPr>
          <w:ilvl w:val="1"/>
          <w:numId w:val="6"/>
        </w:numPr>
        <w:spacing w:before="120" w:after="120" w:line="259" w:lineRule="auto"/>
        <w:jc w:val="both"/>
        <w:rPr>
          <w:sz w:val="22"/>
          <w:szCs w:val="22"/>
        </w:rPr>
      </w:pPr>
      <w:r w:rsidRPr="00E90FEE">
        <w:rPr>
          <w:sz w:val="22"/>
          <w:szCs w:val="22"/>
        </w:rPr>
        <w:t>The Legal Compliance Officer is responsible for monitoring compliance with this Policy and shall be available to applicants, residents, participants, and staff for discussing issues and questions regarding the interpretation or implementation of this Policy. The Legal Compliance Officer’s contact information is provided below:</w:t>
      </w:r>
    </w:p>
    <w:p w14:paraId="68532E3E" w14:textId="77777777" w:rsidR="00E90FEE" w:rsidRPr="00E90FEE" w:rsidRDefault="00E90FEE" w:rsidP="00E90FEE">
      <w:pPr>
        <w:pStyle w:val="BodyText"/>
        <w:ind w:left="720" w:right="1440"/>
        <w:jc w:val="center"/>
        <w:rPr>
          <w:sz w:val="22"/>
          <w:szCs w:val="22"/>
        </w:rPr>
      </w:pPr>
      <w:r w:rsidRPr="00E90FEE">
        <w:rPr>
          <w:sz w:val="22"/>
          <w:szCs w:val="22"/>
        </w:rPr>
        <w:t>Legal Compliance Officer</w:t>
      </w:r>
    </w:p>
    <w:p w14:paraId="5A21E560" w14:textId="77777777" w:rsidR="00E90FEE" w:rsidRPr="00E90FEE" w:rsidRDefault="00E90FEE" w:rsidP="00E90FEE">
      <w:pPr>
        <w:pStyle w:val="BodyText"/>
        <w:ind w:left="720" w:right="1440"/>
        <w:jc w:val="center"/>
        <w:rPr>
          <w:sz w:val="22"/>
          <w:szCs w:val="22"/>
        </w:rPr>
      </w:pPr>
      <w:r w:rsidRPr="00E90FEE">
        <w:rPr>
          <w:sz w:val="22"/>
          <w:szCs w:val="22"/>
        </w:rPr>
        <w:t>Houston Housing Authority</w:t>
      </w:r>
    </w:p>
    <w:p w14:paraId="61698072" w14:textId="77777777" w:rsidR="00E90FEE" w:rsidRPr="00E90FEE" w:rsidRDefault="00E90FEE" w:rsidP="00E90FEE">
      <w:pPr>
        <w:pStyle w:val="BodyText"/>
        <w:ind w:left="720" w:right="1440"/>
        <w:jc w:val="center"/>
        <w:rPr>
          <w:sz w:val="22"/>
          <w:szCs w:val="22"/>
        </w:rPr>
      </w:pPr>
      <w:r w:rsidRPr="00E90FEE">
        <w:rPr>
          <w:sz w:val="22"/>
          <w:szCs w:val="22"/>
        </w:rPr>
        <w:t>2640 Fountain View Drive</w:t>
      </w:r>
    </w:p>
    <w:p w14:paraId="277176D3" w14:textId="77777777" w:rsidR="00E90FEE" w:rsidRPr="00E90FEE" w:rsidRDefault="00E90FEE" w:rsidP="00E90FEE">
      <w:pPr>
        <w:pStyle w:val="BodyText"/>
        <w:ind w:left="720" w:right="1440"/>
        <w:jc w:val="center"/>
        <w:rPr>
          <w:sz w:val="22"/>
          <w:szCs w:val="22"/>
        </w:rPr>
      </w:pPr>
      <w:r w:rsidRPr="00E90FEE">
        <w:rPr>
          <w:sz w:val="22"/>
          <w:szCs w:val="22"/>
        </w:rPr>
        <w:t>Houston, Texas 77057</w:t>
      </w:r>
    </w:p>
    <w:p w14:paraId="46E83539" w14:textId="77777777" w:rsidR="006A7742" w:rsidRPr="00E90FEE" w:rsidRDefault="00E90FEE" w:rsidP="006A7742">
      <w:pPr>
        <w:pStyle w:val="BodyText"/>
        <w:ind w:left="720" w:right="1440"/>
        <w:jc w:val="center"/>
        <w:rPr>
          <w:sz w:val="22"/>
          <w:szCs w:val="22"/>
        </w:rPr>
      </w:pPr>
      <w:r w:rsidRPr="00E90FEE">
        <w:rPr>
          <w:sz w:val="22"/>
          <w:szCs w:val="22"/>
        </w:rPr>
        <w:t>Phone: (713) 260-0353  TTY: 711</w:t>
      </w:r>
    </w:p>
    <w:p w14:paraId="554EAADD" w14:textId="77777777" w:rsidR="00E90FEE" w:rsidRDefault="00E90FEE" w:rsidP="00E90FEE">
      <w:pPr>
        <w:pStyle w:val="BodyText"/>
        <w:ind w:left="720" w:right="1440"/>
        <w:jc w:val="center"/>
        <w:rPr>
          <w:sz w:val="22"/>
          <w:szCs w:val="22"/>
        </w:rPr>
      </w:pPr>
      <w:r w:rsidRPr="00E90FEE">
        <w:rPr>
          <w:sz w:val="22"/>
          <w:szCs w:val="22"/>
        </w:rPr>
        <w:t>Fax: (713) 260-0808</w:t>
      </w:r>
    </w:p>
    <w:p w14:paraId="45FDD459" w14:textId="77777777" w:rsidR="006A7742" w:rsidRPr="004C7EA6" w:rsidRDefault="006A7742" w:rsidP="004C7EA6">
      <w:pPr>
        <w:pStyle w:val="BodyText"/>
        <w:ind w:left="720" w:right="1440"/>
        <w:jc w:val="center"/>
        <w:rPr>
          <w:sz w:val="22"/>
          <w:szCs w:val="22"/>
        </w:rPr>
      </w:pPr>
      <w:r>
        <w:rPr>
          <w:sz w:val="22"/>
          <w:szCs w:val="22"/>
        </w:rPr>
        <w:t xml:space="preserve">Email: </w:t>
      </w:r>
      <w:hyperlink r:id="rId21" w:history="1">
        <w:r w:rsidRPr="004C7EA6">
          <w:rPr>
            <w:sz w:val="22"/>
            <w:szCs w:val="22"/>
          </w:rPr>
          <w:t>504ADA@housingforhouston.com</w:t>
        </w:r>
      </w:hyperlink>
    </w:p>
    <w:p w14:paraId="35C84209" w14:textId="77777777" w:rsidR="006A7742" w:rsidRPr="00E90FEE" w:rsidRDefault="006A7742" w:rsidP="00E90FEE">
      <w:pPr>
        <w:pStyle w:val="BodyText"/>
        <w:ind w:left="720" w:right="1440"/>
        <w:jc w:val="center"/>
        <w:rPr>
          <w:sz w:val="22"/>
          <w:szCs w:val="22"/>
        </w:rPr>
      </w:pPr>
    </w:p>
    <w:p w14:paraId="5E9A15BB" w14:textId="77777777" w:rsidR="00E90FEE" w:rsidRPr="00E90FEE" w:rsidRDefault="00E90FEE" w:rsidP="006E7149">
      <w:pPr>
        <w:pStyle w:val="BodyText"/>
        <w:numPr>
          <w:ilvl w:val="1"/>
          <w:numId w:val="4"/>
        </w:numPr>
        <w:spacing w:before="120" w:after="120" w:line="259" w:lineRule="auto"/>
        <w:jc w:val="both"/>
        <w:rPr>
          <w:sz w:val="22"/>
          <w:szCs w:val="22"/>
        </w:rPr>
      </w:pPr>
      <w:r w:rsidRPr="00E90FEE">
        <w:rPr>
          <w:sz w:val="22"/>
          <w:szCs w:val="22"/>
        </w:rPr>
        <w:t>Each housing applicant shall be provided with a copy of either (1) the Notice to Houston Housing Authority Public Housing Applicants and Residents Regarding Reasonable Accommodations or (2) the Notice to Houston Housing Authority Housing Choice Voucher Program Applicants and Participants Regarding Reasonable Accommodations. These notices shall be posted at all times at the public housing developments and at the Housing Authority’s Main Administrative Office.</w:t>
      </w:r>
    </w:p>
    <w:p w14:paraId="58408531" w14:textId="77777777" w:rsidR="00E90FEE" w:rsidRPr="00E90FEE" w:rsidRDefault="00E90FEE" w:rsidP="006E7149">
      <w:pPr>
        <w:pStyle w:val="ListParagraph"/>
        <w:widowControl w:val="0"/>
        <w:numPr>
          <w:ilvl w:val="0"/>
          <w:numId w:val="4"/>
        </w:numPr>
        <w:autoSpaceDE w:val="0"/>
        <w:autoSpaceDN w:val="0"/>
        <w:spacing w:before="240" w:after="120"/>
        <w:contextualSpacing w:val="0"/>
        <w:rPr>
          <w:rFonts w:cs="Arial"/>
          <w:b/>
          <w:bCs/>
        </w:rPr>
      </w:pPr>
      <w:r w:rsidRPr="00E90FEE">
        <w:rPr>
          <w:rFonts w:cs="Arial"/>
          <w:b/>
          <w:bCs/>
        </w:rPr>
        <w:t>Definitions</w:t>
      </w:r>
    </w:p>
    <w:p w14:paraId="3E4295F9" w14:textId="77777777" w:rsidR="00E90FEE" w:rsidRPr="00B24EB1" w:rsidRDefault="00E90FEE" w:rsidP="006E7149">
      <w:pPr>
        <w:pStyle w:val="BodyText"/>
        <w:numPr>
          <w:ilvl w:val="1"/>
          <w:numId w:val="7"/>
        </w:numPr>
        <w:spacing w:before="120" w:after="120" w:line="259" w:lineRule="auto"/>
        <w:jc w:val="both"/>
        <w:rPr>
          <w:sz w:val="22"/>
          <w:szCs w:val="22"/>
        </w:rPr>
      </w:pPr>
      <w:r w:rsidRPr="00E90FEE">
        <w:rPr>
          <w:i/>
          <w:iCs/>
          <w:sz w:val="22"/>
          <w:szCs w:val="22"/>
        </w:rPr>
        <w:t>Individual with a disability</w:t>
      </w:r>
      <w:r w:rsidRPr="00E90FEE">
        <w:rPr>
          <w:sz w:val="22"/>
          <w:szCs w:val="22"/>
        </w:rPr>
        <w:t xml:space="preserve"> </w:t>
      </w:r>
      <w:r w:rsidR="00F635E9">
        <w:rPr>
          <w:sz w:val="22"/>
          <w:szCs w:val="22"/>
        </w:rPr>
        <w:t xml:space="preserve">for reasonable accommodation purposes </w:t>
      </w:r>
      <w:r w:rsidRPr="00E90FEE">
        <w:rPr>
          <w:sz w:val="22"/>
          <w:szCs w:val="22"/>
        </w:rPr>
        <w:t xml:space="preserve">is defined as a person who has a physical and/or mental impairment that substantially limits one or more major life </w:t>
      </w:r>
      <w:r w:rsidRPr="00B24EB1">
        <w:rPr>
          <w:sz w:val="22"/>
          <w:szCs w:val="22"/>
        </w:rPr>
        <w:t xml:space="preserve">activities; has a record of such an impairment; or is regarded as having such an impairment.   </w:t>
      </w:r>
    </w:p>
    <w:p w14:paraId="1B803DE3" w14:textId="77777777" w:rsidR="00E90FEE" w:rsidRPr="00E90FEE" w:rsidRDefault="00E90FEE" w:rsidP="006E7149">
      <w:pPr>
        <w:pStyle w:val="BodyText"/>
        <w:numPr>
          <w:ilvl w:val="1"/>
          <w:numId w:val="4"/>
        </w:numPr>
        <w:spacing w:before="120" w:after="120" w:line="259" w:lineRule="auto"/>
        <w:jc w:val="both"/>
        <w:rPr>
          <w:sz w:val="22"/>
          <w:szCs w:val="22"/>
        </w:rPr>
      </w:pPr>
      <w:r w:rsidRPr="00E90FEE">
        <w:rPr>
          <w:i/>
          <w:iCs/>
          <w:sz w:val="22"/>
          <w:szCs w:val="22"/>
        </w:rPr>
        <w:t>Major life activities</w:t>
      </w:r>
      <w:r w:rsidRPr="00E90FEE">
        <w:rPr>
          <w:sz w:val="22"/>
          <w:szCs w:val="22"/>
        </w:rPr>
        <w:t xml:space="preserve"> means functions such as caring for one’s self, performing manual tasks, walking, seeing, hearing, speaking, breathing, learning, and working.</w:t>
      </w:r>
    </w:p>
    <w:p w14:paraId="21D2EB6F" w14:textId="77777777" w:rsidR="00E90FEE" w:rsidRPr="00E90FEE" w:rsidRDefault="00E90FEE" w:rsidP="006E7149">
      <w:pPr>
        <w:pStyle w:val="BodyText"/>
        <w:numPr>
          <w:ilvl w:val="1"/>
          <w:numId w:val="4"/>
        </w:numPr>
        <w:spacing w:before="120" w:after="120" w:line="259" w:lineRule="auto"/>
        <w:jc w:val="both"/>
        <w:rPr>
          <w:sz w:val="22"/>
          <w:szCs w:val="22"/>
        </w:rPr>
      </w:pPr>
      <w:r w:rsidRPr="00E90FEE">
        <w:rPr>
          <w:sz w:val="22"/>
          <w:szCs w:val="22"/>
        </w:rPr>
        <w:t xml:space="preserve">A </w:t>
      </w:r>
      <w:r w:rsidRPr="00E90FEE">
        <w:rPr>
          <w:i/>
          <w:iCs/>
          <w:sz w:val="22"/>
          <w:szCs w:val="22"/>
        </w:rPr>
        <w:t>reasonable accommodation</w:t>
      </w:r>
      <w:r w:rsidRPr="00E90FEE">
        <w:rPr>
          <w:sz w:val="22"/>
          <w:szCs w:val="22"/>
        </w:rPr>
        <w:t xml:space="preserve"> is defined as a change, modification, alteration or adaptation in a policy, procedure, practice, program, or facility that is necessary for a qualified individual with a disability to have the opportunity to participate in, and benefit from, a program or activity.</w:t>
      </w:r>
    </w:p>
    <w:p w14:paraId="339EBD1E" w14:textId="77777777" w:rsidR="00E90FEE" w:rsidRPr="00E90FEE" w:rsidRDefault="00E90FEE" w:rsidP="006E7149">
      <w:pPr>
        <w:pStyle w:val="ListParagraph"/>
        <w:widowControl w:val="0"/>
        <w:numPr>
          <w:ilvl w:val="1"/>
          <w:numId w:val="4"/>
        </w:numPr>
        <w:tabs>
          <w:tab w:val="left" w:pos="821"/>
        </w:tabs>
        <w:autoSpaceDE w:val="0"/>
        <w:autoSpaceDN w:val="0"/>
        <w:spacing w:before="120" w:after="120"/>
        <w:contextualSpacing w:val="0"/>
        <w:rPr>
          <w:rFonts w:cs="Arial"/>
        </w:rPr>
      </w:pPr>
      <w:r w:rsidRPr="00E90FEE">
        <w:rPr>
          <w:rFonts w:cs="Arial"/>
        </w:rPr>
        <w:t>The definition of disability does not include any individual whose current use of alcohol would</w:t>
      </w:r>
      <w:r w:rsidRPr="00E90FEE">
        <w:rPr>
          <w:rFonts w:cs="Arial"/>
          <w:spacing w:val="-11"/>
        </w:rPr>
        <w:t xml:space="preserve"> </w:t>
      </w:r>
      <w:r w:rsidRPr="00E90FEE">
        <w:rPr>
          <w:rFonts w:cs="Arial"/>
        </w:rPr>
        <w:t>constitute</w:t>
      </w:r>
      <w:r w:rsidRPr="00E90FEE">
        <w:rPr>
          <w:rFonts w:cs="Arial"/>
          <w:spacing w:val="-10"/>
        </w:rPr>
        <w:t xml:space="preserve"> </w:t>
      </w:r>
      <w:r w:rsidRPr="00E90FEE">
        <w:rPr>
          <w:rFonts w:cs="Arial"/>
        </w:rPr>
        <w:t>a</w:t>
      </w:r>
      <w:r w:rsidRPr="00E90FEE">
        <w:rPr>
          <w:rFonts w:cs="Arial"/>
          <w:spacing w:val="-17"/>
        </w:rPr>
        <w:t xml:space="preserve"> </w:t>
      </w:r>
      <w:r w:rsidRPr="00E90FEE">
        <w:rPr>
          <w:rFonts w:cs="Arial"/>
        </w:rPr>
        <w:t>direct</w:t>
      </w:r>
      <w:r w:rsidRPr="00E90FEE">
        <w:rPr>
          <w:rFonts w:cs="Arial"/>
          <w:spacing w:val="-10"/>
        </w:rPr>
        <w:t xml:space="preserve"> </w:t>
      </w:r>
      <w:r w:rsidRPr="00E90FEE">
        <w:rPr>
          <w:rFonts w:cs="Arial"/>
        </w:rPr>
        <w:t>threat</w:t>
      </w:r>
      <w:r w:rsidRPr="00E90FEE">
        <w:rPr>
          <w:rFonts w:cs="Arial"/>
          <w:spacing w:val="-14"/>
        </w:rPr>
        <w:t xml:space="preserve"> </w:t>
      </w:r>
      <w:r w:rsidRPr="00E90FEE">
        <w:rPr>
          <w:rFonts w:cs="Arial"/>
        </w:rPr>
        <w:t>to</w:t>
      </w:r>
      <w:r w:rsidRPr="00E90FEE">
        <w:rPr>
          <w:rFonts w:cs="Arial"/>
          <w:spacing w:val="-14"/>
        </w:rPr>
        <w:t xml:space="preserve"> </w:t>
      </w:r>
      <w:r w:rsidRPr="00E90FEE">
        <w:rPr>
          <w:rFonts w:cs="Arial"/>
        </w:rPr>
        <w:t>property</w:t>
      </w:r>
      <w:r w:rsidRPr="00E90FEE">
        <w:rPr>
          <w:rFonts w:cs="Arial"/>
          <w:spacing w:val="-14"/>
        </w:rPr>
        <w:t xml:space="preserve"> </w:t>
      </w:r>
      <w:r w:rsidRPr="00E90FEE">
        <w:rPr>
          <w:rFonts w:cs="Arial"/>
        </w:rPr>
        <w:t>or the health or</w:t>
      </w:r>
      <w:r w:rsidRPr="00E90FEE">
        <w:rPr>
          <w:rFonts w:cs="Arial"/>
          <w:spacing w:val="-13"/>
        </w:rPr>
        <w:t xml:space="preserve"> </w:t>
      </w:r>
      <w:r w:rsidRPr="00E90FEE">
        <w:rPr>
          <w:rFonts w:cs="Arial"/>
        </w:rPr>
        <w:t>the</w:t>
      </w:r>
      <w:r w:rsidRPr="00E90FEE">
        <w:rPr>
          <w:rFonts w:cs="Arial"/>
          <w:spacing w:val="-11"/>
        </w:rPr>
        <w:t xml:space="preserve"> </w:t>
      </w:r>
      <w:r w:rsidRPr="00E90FEE">
        <w:rPr>
          <w:rFonts w:cs="Arial"/>
        </w:rPr>
        <w:t>safety</w:t>
      </w:r>
      <w:r w:rsidRPr="00E90FEE">
        <w:rPr>
          <w:rFonts w:cs="Arial"/>
          <w:spacing w:val="-15"/>
        </w:rPr>
        <w:t xml:space="preserve"> </w:t>
      </w:r>
      <w:r w:rsidRPr="00E90FEE">
        <w:rPr>
          <w:rFonts w:cs="Arial"/>
        </w:rPr>
        <w:t>of</w:t>
      </w:r>
      <w:r w:rsidRPr="00E90FEE">
        <w:rPr>
          <w:rFonts w:cs="Arial"/>
          <w:spacing w:val="-11"/>
        </w:rPr>
        <w:t xml:space="preserve"> </w:t>
      </w:r>
      <w:r w:rsidRPr="00E90FEE">
        <w:rPr>
          <w:rFonts w:cs="Arial"/>
        </w:rPr>
        <w:t>others. Additionally, this definition of disability does not include any individual who is engaging in</w:t>
      </w:r>
      <w:r w:rsidRPr="00E90FEE">
        <w:rPr>
          <w:rFonts w:cs="Arial"/>
          <w:spacing w:val="-3"/>
        </w:rPr>
        <w:t xml:space="preserve"> </w:t>
      </w:r>
      <w:r w:rsidRPr="00E90FEE">
        <w:rPr>
          <w:rFonts w:cs="Arial"/>
        </w:rPr>
        <w:t>an</w:t>
      </w:r>
      <w:r w:rsidRPr="00E90FEE">
        <w:rPr>
          <w:rFonts w:cs="Arial"/>
          <w:spacing w:val="-5"/>
        </w:rPr>
        <w:t xml:space="preserve"> </w:t>
      </w:r>
      <w:r w:rsidRPr="00E90FEE">
        <w:rPr>
          <w:rFonts w:cs="Arial"/>
        </w:rPr>
        <w:t>illegal</w:t>
      </w:r>
      <w:r w:rsidRPr="00E90FEE">
        <w:rPr>
          <w:rFonts w:cs="Arial"/>
          <w:spacing w:val="-5"/>
        </w:rPr>
        <w:t xml:space="preserve"> </w:t>
      </w:r>
      <w:r w:rsidRPr="00E90FEE">
        <w:rPr>
          <w:rFonts w:cs="Arial"/>
        </w:rPr>
        <w:t>drug</w:t>
      </w:r>
      <w:r w:rsidRPr="00E90FEE">
        <w:rPr>
          <w:rFonts w:cs="Arial"/>
          <w:spacing w:val="-4"/>
        </w:rPr>
        <w:t xml:space="preserve"> </w:t>
      </w:r>
      <w:r w:rsidRPr="00E90FEE">
        <w:rPr>
          <w:rFonts w:cs="Arial"/>
        </w:rPr>
        <w:t>related</w:t>
      </w:r>
      <w:r w:rsidRPr="00E90FEE">
        <w:rPr>
          <w:rFonts w:cs="Arial"/>
          <w:spacing w:val="-6"/>
        </w:rPr>
        <w:t xml:space="preserve"> </w:t>
      </w:r>
      <w:r w:rsidRPr="00E90FEE">
        <w:rPr>
          <w:rFonts w:cs="Arial"/>
        </w:rPr>
        <w:t>criminal</w:t>
      </w:r>
      <w:r w:rsidRPr="00E90FEE">
        <w:rPr>
          <w:rFonts w:cs="Arial"/>
          <w:spacing w:val="-4"/>
        </w:rPr>
        <w:t xml:space="preserve"> </w:t>
      </w:r>
      <w:r w:rsidRPr="00E90FEE">
        <w:rPr>
          <w:rFonts w:cs="Arial"/>
        </w:rPr>
        <w:t>activity</w:t>
      </w:r>
      <w:r w:rsidRPr="00E90FEE">
        <w:rPr>
          <w:rFonts w:cs="Arial"/>
          <w:spacing w:val="-5"/>
        </w:rPr>
        <w:t xml:space="preserve"> </w:t>
      </w:r>
      <w:r w:rsidRPr="00E90FEE">
        <w:rPr>
          <w:rFonts w:cs="Arial"/>
        </w:rPr>
        <w:t>or</w:t>
      </w:r>
      <w:r w:rsidRPr="00E90FEE">
        <w:rPr>
          <w:rFonts w:cs="Arial"/>
          <w:spacing w:val="-6"/>
        </w:rPr>
        <w:t xml:space="preserve"> </w:t>
      </w:r>
      <w:r w:rsidRPr="00E90FEE">
        <w:rPr>
          <w:rFonts w:cs="Arial"/>
        </w:rPr>
        <w:t>who</w:t>
      </w:r>
      <w:r w:rsidRPr="00E90FEE">
        <w:rPr>
          <w:rFonts w:cs="Arial"/>
          <w:spacing w:val="-4"/>
        </w:rPr>
        <w:t xml:space="preserve"> </w:t>
      </w:r>
      <w:r w:rsidRPr="00E90FEE">
        <w:rPr>
          <w:rFonts w:cs="Arial"/>
        </w:rPr>
        <w:t>is</w:t>
      </w:r>
      <w:r w:rsidRPr="00E90FEE">
        <w:rPr>
          <w:rFonts w:cs="Arial"/>
          <w:spacing w:val="-4"/>
        </w:rPr>
        <w:t xml:space="preserve"> </w:t>
      </w:r>
      <w:r w:rsidRPr="00E90FEE">
        <w:rPr>
          <w:rFonts w:cs="Arial"/>
        </w:rPr>
        <w:t>unqualified</w:t>
      </w:r>
      <w:r w:rsidRPr="00E90FEE">
        <w:rPr>
          <w:rFonts w:cs="Arial"/>
          <w:spacing w:val="-3"/>
        </w:rPr>
        <w:t xml:space="preserve"> </w:t>
      </w:r>
      <w:r w:rsidRPr="00E90FEE">
        <w:rPr>
          <w:rFonts w:cs="Arial"/>
        </w:rPr>
        <w:t>to</w:t>
      </w:r>
      <w:r w:rsidRPr="00E90FEE">
        <w:rPr>
          <w:rFonts w:cs="Arial"/>
          <w:spacing w:val="-6"/>
        </w:rPr>
        <w:t xml:space="preserve"> </w:t>
      </w:r>
      <w:r w:rsidRPr="00E90FEE">
        <w:rPr>
          <w:rFonts w:cs="Arial"/>
        </w:rPr>
        <w:t>participate</w:t>
      </w:r>
      <w:r w:rsidRPr="00E90FEE">
        <w:rPr>
          <w:rFonts w:cs="Arial"/>
          <w:spacing w:val="-1"/>
        </w:rPr>
        <w:t xml:space="preserve"> </w:t>
      </w:r>
      <w:r w:rsidRPr="00E90FEE">
        <w:rPr>
          <w:rFonts w:cs="Arial"/>
        </w:rPr>
        <w:t>in</w:t>
      </w:r>
      <w:r w:rsidRPr="00E90FEE">
        <w:rPr>
          <w:rFonts w:cs="Arial"/>
          <w:spacing w:val="-5"/>
        </w:rPr>
        <w:t xml:space="preserve"> </w:t>
      </w:r>
      <w:r w:rsidRPr="00E90FEE">
        <w:rPr>
          <w:rFonts w:cs="Arial"/>
        </w:rPr>
        <w:t>the</w:t>
      </w:r>
      <w:r w:rsidRPr="00E90FEE">
        <w:rPr>
          <w:rFonts w:cs="Arial"/>
          <w:spacing w:val="-5"/>
        </w:rPr>
        <w:t xml:space="preserve"> </w:t>
      </w:r>
      <w:r w:rsidRPr="00E90FEE">
        <w:rPr>
          <w:rFonts w:cs="Arial"/>
        </w:rPr>
        <w:t>public housing or other housing programs and activities in accordance with applicable Housing Authority policies and HUD regulations. Generally, individuals with a drug addiction that are engaged in and are able to evidence full participation in an appropriate treatment program are qualified to participate in HUD Housing</w:t>
      </w:r>
      <w:r w:rsidRPr="00E90FEE">
        <w:rPr>
          <w:rFonts w:cs="Arial"/>
          <w:spacing w:val="-13"/>
        </w:rPr>
        <w:t xml:space="preserve"> </w:t>
      </w:r>
      <w:r w:rsidRPr="00E90FEE">
        <w:rPr>
          <w:rFonts w:cs="Arial"/>
        </w:rPr>
        <w:t>programs.</w:t>
      </w:r>
    </w:p>
    <w:p w14:paraId="6BC9FFC9" w14:textId="77777777" w:rsidR="00E90FEE" w:rsidRPr="00E90FEE" w:rsidRDefault="00E90FEE" w:rsidP="006E7149">
      <w:pPr>
        <w:pStyle w:val="ListParagraph"/>
        <w:widowControl w:val="0"/>
        <w:numPr>
          <w:ilvl w:val="0"/>
          <w:numId w:val="4"/>
        </w:numPr>
        <w:autoSpaceDE w:val="0"/>
        <w:autoSpaceDN w:val="0"/>
        <w:spacing w:before="240" w:after="120"/>
        <w:contextualSpacing w:val="0"/>
        <w:rPr>
          <w:rFonts w:cs="Arial"/>
          <w:b/>
          <w:bCs/>
        </w:rPr>
      </w:pPr>
      <w:r w:rsidRPr="00E90FEE">
        <w:rPr>
          <w:rFonts w:cs="Arial"/>
          <w:b/>
          <w:bCs/>
        </w:rPr>
        <w:t>Policy Application</w:t>
      </w:r>
    </w:p>
    <w:p w14:paraId="3F66C4B2" w14:textId="77777777" w:rsidR="00E90FEE" w:rsidRPr="00E90FEE" w:rsidRDefault="00E90FEE" w:rsidP="006E7149">
      <w:pPr>
        <w:pStyle w:val="BodyText"/>
        <w:numPr>
          <w:ilvl w:val="1"/>
          <w:numId w:val="8"/>
        </w:numPr>
        <w:spacing w:before="120" w:after="120" w:line="259" w:lineRule="auto"/>
        <w:jc w:val="both"/>
        <w:rPr>
          <w:sz w:val="22"/>
          <w:szCs w:val="22"/>
        </w:rPr>
      </w:pPr>
      <w:r w:rsidRPr="00E90FEE">
        <w:rPr>
          <w:sz w:val="22"/>
          <w:szCs w:val="22"/>
        </w:rPr>
        <w:t>This</w:t>
      </w:r>
      <w:r w:rsidRPr="00E90FEE">
        <w:rPr>
          <w:spacing w:val="-11"/>
          <w:sz w:val="22"/>
          <w:szCs w:val="22"/>
        </w:rPr>
        <w:t xml:space="preserve"> </w:t>
      </w:r>
      <w:r w:rsidRPr="00E90FEE">
        <w:rPr>
          <w:sz w:val="22"/>
          <w:szCs w:val="22"/>
        </w:rPr>
        <w:t>Policy</w:t>
      </w:r>
      <w:r w:rsidRPr="00E90FEE">
        <w:rPr>
          <w:spacing w:val="-12"/>
          <w:sz w:val="22"/>
          <w:szCs w:val="22"/>
        </w:rPr>
        <w:t xml:space="preserve"> </w:t>
      </w:r>
      <w:r w:rsidRPr="00E90FEE">
        <w:rPr>
          <w:sz w:val="22"/>
          <w:szCs w:val="22"/>
        </w:rPr>
        <w:t>applies</w:t>
      </w:r>
      <w:r w:rsidRPr="00E90FEE">
        <w:rPr>
          <w:spacing w:val="-13"/>
          <w:sz w:val="22"/>
          <w:szCs w:val="22"/>
        </w:rPr>
        <w:t xml:space="preserve"> </w:t>
      </w:r>
      <w:r w:rsidRPr="00E90FEE">
        <w:rPr>
          <w:sz w:val="22"/>
          <w:szCs w:val="22"/>
        </w:rPr>
        <w:t>to</w:t>
      </w:r>
      <w:r w:rsidRPr="00E90FEE">
        <w:rPr>
          <w:spacing w:val="-11"/>
          <w:sz w:val="22"/>
          <w:szCs w:val="22"/>
        </w:rPr>
        <w:t xml:space="preserve"> </w:t>
      </w:r>
      <w:r w:rsidRPr="00E90FEE">
        <w:rPr>
          <w:sz w:val="22"/>
          <w:szCs w:val="22"/>
        </w:rPr>
        <w:t>individuals</w:t>
      </w:r>
      <w:r w:rsidRPr="00E90FEE">
        <w:rPr>
          <w:spacing w:val="-10"/>
          <w:sz w:val="22"/>
          <w:szCs w:val="22"/>
        </w:rPr>
        <w:t xml:space="preserve"> </w:t>
      </w:r>
      <w:r w:rsidRPr="00E90FEE">
        <w:rPr>
          <w:sz w:val="22"/>
          <w:szCs w:val="22"/>
        </w:rPr>
        <w:t>with</w:t>
      </w:r>
      <w:r w:rsidRPr="00E90FEE">
        <w:rPr>
          <w:spacing w:val="-10"/>
          <w:sz w:val="22"/>
          <w:szCs w:val="22"/>
        </w:rPr>
        <w:t xml:space="preserve"> </w:t>
      </w:r>
      <w:r w:rsidRPr="00E90FEE">
        <w:rPr>
          <w:sz w:val="22"/>
          <w:szCs w:val="22"/>
        </w:rPr>
        <w:t>a</w:t>
      </w:r>
      <w:r w:rsidRPr="00E90FEE">
        <w:rPr>
          <w:spacing w:val="-12"/>
          <w:sz w:val="22"/>
          <w:szCs w:val="22"/>
        </w:rPr>
        <w:t xml:space="preserve"> </w:t>
      </w:r>
      <w:r w:rsidRPr="00E90FEE">
        <w:rPr>
          <w:sz w:val="22"/>
          <w:szCs w:val="22"/>
        </w:rPr>
        <w:t>disability</w:t>
      </w:r>
      <w:r w:rsidRPr="00E90FEE">
        <w:rPr>
          <w:spacing w:val="-12"/>
          <w:sz w:val="22"/>
          <w:szCs w:val="22"/>
        </w:rPr>
        <w:t xml:space="preserve"> </w:t>
      </w:r>
      <w:r w:rsidRPr="00E90FEE">
        <w:rPr>
          <w:sz w:val="22"/>
          <w:szCs w:val="22"/>
        </w:rPr>
        <w:t>participating</w:t>
      </w:r>
      <w:r w:rsidRPr="00E90FEE">
        <w:rPr>
          <w:spacing w:val="-10"/>
          <w:sz w:val="22"/>
          <w:szCs w:val="22"/>
        </w:rPr>
        <w:t xml:space="preserve"> </w:t>
      </w:r>
      <w:r w:rsidRPr="00E90FEE">
        <w:rPr>
          <w:sz w:val="22"/>
          <w:szCs w:val="22"/>
        </w:rPr>
        <w:t>in</w:t>
      </w:r>
      <w:r w:rsidRPr="00E90FEE">
        <w:rPr>
          <w:spacing w:val="-10"/>
          <w:sz w:val="22"/>
          <w:szCs w:val="22"/>
        </w:rPr>
        <w:t xml:space="preserve"> </w:t>
      </w:r>
      <w:r w:rsidRPr="00E90FEE">
        <w:rPr>
          <w:sz w:val="22"/>
          <w:szCs w:val="22"/>
        </w:rPr>
        <w:t>the</w:t>
      </w:r>
      <w:r w:rsidRPr="00E90FEE">
        <w:rPr>
          <w:spacing w:val="-10"/>
          <w:sz w:val="22"/>
          <w:szCs w:val="22"/>
        </w:rPr>
        <w:t xml:space="preserve"> </w:t>
      </w:r>
      <w:r w:rsidRPr="00E90FEE">
        <w:rPr>
          <w:sz w:val="22"/>
          <w:szCs w:val="22"/>
        </w:rPr>
        <w:t>following</w:t>
      </w:r>
      <w:r w:rsidRPr="00E90FEE">
        <w:rPr>
          <w:spacing w:val="-11"/>
          <w:sz w:val="22"/>
          <w:szCs w:val="22"/>
        </w:rPr>
        <w:t xml:space="preserve"> </w:t>
      </w:r>
      <w:r w:rsidRPr="00E90FEE">
        <w:rPr>
          <w:sz w:val="22"/>
          <w:szCs w:val="22"/>
        </w:rPr>
        <w:t>programs</w:t>
      </w:r>
      <w:r w:rsidRPr="00E90FEE">
        <w:rPr>
          <w:spacing w:val="-10"/>
          <w:sz w:val="22"/>
          <w:szCs w:val="22"/>
        </w:rPr>
        <w:t xml:space="preserve"> </w:t>
      </w:r>
      <w:r w:rsidRPr="00E90FEE">
        <w:rPr>
          <w:sz w:val="22"/>
          <w:szCs w:val="22"/>
        </w:rPr>
        <w:t>provided by the Housing Authority:</w:t>
      </w:r>
    </w:p>
    <w:p w14:paraId="6494B21C" w14:textId="77777777" w:rsidR="00E90FEE" w:rsidRPr="00E90FEE" w:rsidRDefault="00E90FEE" w:rsidP="006E7149">
      <w:pPr>
        <w:pStyle w:val="ListParagraph"/>
        <w:widowControl w:val="0"/>
        <w:numPr>
          <w:ilvl w:val="2"/>
          <w:numId w:val="4"/>
        </w:numPr>
        <w:tabs>
          <w:tab w:val="left" w:pos="821"/>
        </w:tabs>
        <w:autoSpaceDE w:val="0"/>
        <w:autoSpaceDN w:val="0"/>
        <w:spacing w:before="120" w:after="120"/>
        <w:contextualSpacing w:val="0"/>
        <w:rPr>
          <w:rFonts w:cs="Arial"/>
        </w:rPr>
      </w:pPr>
      <w:r w:rsidRPr="00E90FEE">
        <w:rPr>
          <w:rFonts w:cs="Arial"/>
        </w:rPr>
        <w:t>Applicants for public</w:t>
      </w:r>
      <w:r w:rsidRPr="00E90FEE">
        <w:rPr>
          <w:rFonts w:cs="Arial"/>
          <w:spacing w:val="-7"/>
        </w:rPr>
        <w:t xml:space="preserve"> </w:t>
      </w:r>
      <w:r w:rsidRPr="00E90FEE">
        <w:rPr>
          <w:rFonts w:cs="Arial"/>
        </w:rPr>
        <w:t>housing;</w:t>
      </w:r>
    </w:p>
    <w:p w14:paraId="3781C705" w14:textId="77777777" w:rsidR="00E90FEE" w:rsidRPr="00E90FEE" w:rsidRDefault="00E90FEE" w:rsidP="006E7149">
      <w:pPr>
        <w:pStyle w:val="ListParagraph"/>
        <w:widowControl w:val="0"/>
        <w:numPr>
          <w:ilvl w:val="2"/>
          <w:numId w:val="4"/>
        </w:numPr>
        <w:tabs>
          <w:tab w:val="left" w:pos="821"/>
        </w:tabs>
        <w:autoSpaceDE w:val="0"/>
        <w:autoSpaceDN w:val="0"/>
        <w:spacing w:before="120" w:after="120"/>
        <w:contextualSpacing w:val="0"/>
        <w:rPr>
          <w:rFonts w:cs="Arial"/>
        </w:rPr>
      </w:pPr>
      <w:r w:rsidRPr="00E90FEE">
        <w:rPr>
          <w:rFonts w:cs="Arial"/>
        </w:rPr>
        <w:t>Applicants for the Housing Choice Voucher</w:t>
      </w:r>
      <w:r w:rsidRPr="00E90FEE">
        <w:rPr>
          <w:rFonts w:cs="Arial"/>
          <w:spacing w:val="-7"/>
        </w:rPr>
        <w:t xml:space="preserve"> </w:t>
      </w:r>
      <w:r w:rsidRPr="00E90FEE">
        <w:rPr>
          <w:rFonts w:cs="Arial"/>
        </w:rPr>
        <w:t>Program;</w:t>
      </w:r>
    </w:p>
    <w:p w14:paraId="08BCE569" w14:textId="77777777" w:rsidR="00E90FEE" w:rsidRPr="00E90FEE" w:rsidRDefault="00E90FEE" w:rsidP="006E7149">
      <w:pPr>
        <w:pStyle w:val="ListParagraph"/>
        <w:widowControl w:val="0"/>
        <w:numPr>
          <w:ilvl w:val="2"/>
          <w:numId w:val="4"/>
        </w:numPr>
        <w:tabs>
          <w:tab w:val="left" w:pos="821"/>
        </w:tabs>
        <w:autoSpaceDE w:val="0"/>
        <w:autoSpaceDN w:val="0"/>
        <w:spacing w:before="120" w:after="120"/>
        <w:contextualSpacing w:val="0"/>
        <w:rPr>
          <w:rFonts w:cs="Arial"/>
        </w:rPr>
      </w:pPr>
      <w:r w:rsidRPr="00E90FEE">
        <w:rPr>
          <w:rFonts w:cs="Arial"/>
        </w:rPr>
        <w:t>Residents of public housing</w:t>
      </w:r>
      <w:r w:rsidRPr="00E90FEE">
        <w:rPr>
          <w:rFonts w:cs="Arial"/>
          <w:spacing w:val="-2"/>
        </w:rPr>
        <w:t xml:space="preserve"> </w:t>
      </w:r>
      <w:r w:rsidRPr="00E90FEE">
        <w:rPr>
          <w:rFonts w:cs="Arial"/>
        </w:rPr>
        <w:t>developments;</w:t>
      </w:r>
    </w:p>
    <w:p w14:paraId="51B99169" w14:textId="77777777" w:rsidR="00E90FEE" w:rsidRPr="00E90FEE" w:rsidRDefault="00E90FEE" w:rsidP="006E7149">
      <w:pPr>
        <w:pStyle w:val="ListParagraph"/>
        <w:widowControl w:val="0"/>
        <w:numPr>
          <w:ilvl w:val="2"/>
          <w:numId w:val="4"/>
        </w:numPr>
        <w:tabs>
          <w:tab w:val="left" w:pos="821"/>
        </w:tabs>
        <w:autoSpaceDE w:val="0"/>
        <w:autoSpaceDN w:val="0"/>
        <w:spacing w:before="120" w:after="120"/>
        <w:contextualSpacing w:val="0"/>
        <w:rPr>
          <w:rFonts w:cs="Arial"/>
        </w:rPr>
      </w:pPr>
      <w:r w:rsidRPr="00E90FEE">
        <w:rPr>
          <w:rFonts w:cs="Arial"/>
        </w:rPr>
        <w:t>Participants of the Housing Choice Voucher Program;</w:t>
      </w:r>
      <w:r w:rsidRPr="00E90FEE">
        <w:rPr>
          <w:rFonts w:cs="Arial"/>
          <w:spacing w:val="-7"/>
        </w:rPr>
        <w:t xml:space="preserve"> </w:t>
      </w:r>
      <w:r w:rsidRPr="00E90FEE">
        <w:rPr>
          <w:rFonts w:cs="Arial"/>
        </w:rPr>
        <w:t>and</w:t>
      </w:r>
    </w:p>
    <w:p w14:paraId="570C3FB0" w14:textId="77777777" w:rsidR="00E90FEE" w:rsidRPr="00E90FEE" w:rsidRDefault="00E90FEE" w:rsidP="006E7149">
      <w:pPr>
        <w:pStyle w:val="ListParagraph"/>
        <w:widowControl w:val="0"/>
        <w:numPr>
          <w:ilvl w:val="2"/>
          <w:numId w:val="4"/>
        </w:numPr>
        <w:tabs>
          <w:tab w:val="left" w:pos="821"/>
        </w:tabs>
        <w:autoSpaceDE w:val="0"/>
        <w:autoSpaceDN w:val="0"/>
        <w:spacing w:before="120" w:after="120"/>
        <w:contextualSpacing w:val="0"/>
        <w:rPr>
          <w:rFonts w:cs="Arial"/>
        </w:rPr>
      </w:pPr>
      <w:r w:rsidRPr="00E90FEE">
        <w:rPr>
          <w:rFonts w:cs="Arial"/>
        </w:rPr>
        <w:t>Participants in all other programs or activities receiving federal financial assistance</w:t>
      </w:r>
      <w:r w:rsidRPr="00E90FEE">
        <w:rPr>
          <w:rFonts w:cs="Arial"/>
          <w:spacing w:val="-34"/>
        </w:rPr>
        <w:t xml:space="preserve"> </w:t>
      </w:r>
      <w:r w:rsidRPr="00E90FEE">
        <w:rPr>
          <w:rFonts w:cs="Arial"/>
        </w:rPr>
        <w:t>that are conducted or sponsored by the Housing</w:t>
      </w:r>
      <w:r w:rsidRPr="00E90FEE">
        <w:rPr>
          <w:rFonts w:cs="Arial"/>
          <w:spacing w:val="1"/>
        </w:rPr>
        <w:t xml:space="preserve"> </w:t>
      </w:r>
      <w:r w:rsidRPr="00E90FEE">
        <w:rPr>
          <w:rFonts w:cs="Arial"/>
        </w:rPr>
        <w:t>Authority.</w:t>
      </w:r>
    </w:p>
    <w:p w14:paraId="0BF414EA" w14:textId="77777777" w:rsidR="00E90FEE" w:rsidRPr="00E90FEE" w:rsidRDefault="00E90FEE" w:rsidP="006E7149">
      <w:pPr>
        <w:pStyle w:val="ListParagraph"/>
        <w:widowControl w:val="0"/>
        <w:numPr>
          <w:ilvl w:val="1"/>
          <w:numId w:val="4"/>
        </w:numPr>
        <w:autoSpaceDE w:val="0"/>
        <w:autoSpaceDN w:val="0"/>
        <w:spacing w:before="120" w:after="120"/>
        <w:contextualSpacing w:val="0"/>
        <w:rPr>
          <w:rFonts w:cs="Arial"/>
        </w:rPr>
      </w:pPr>
      <w:r w:rsidRPr="00E90FEE">
        <w:rPr>
          <w:rFonts w:cs="Arial"/>
        </w:rPr>
        <w:t xml:space="preserve">Because a reasonable modification involves a structural change made to existing premises, the Housing Authority is only able to consider requests for reasonable </w:t>
      </w:r>
      <w:r w:rsidRPr="00B96D5F">
        <w:rPr>
          <w:rFonts w:cs="Arial"/>
          <w:b/>
          <w:bCs/>
        </w:rPr>
        <w:t>modifications</w:t>
      </w:r>
      <w:r w:rsidRPr="00E90FEE">
        <w:rPr>
          <w:rFonts w:cs="Arial"/>
        </w:rPr>
        <w:t xml:space="preserve"> on properties that it owns or controls. Accordingly, the Housing Authority requires landlords to comply with disability laws. </w:t>
      </w:r>
    </w:p>
    <w:p w14:paraId="2DD2FD8C" w14:textId="77777777" w:rsidR="00E90FEE" w:rsidRPr="00E90FEE" w:rsidRDefault="00E90FEE" w:rsidP="006E7149">
      <w:pPr>
        <w:pStyle w:val="ListParagraph"/>
        <w:widowControl w:val="0"/>
        <w:numPr>
          <w:ilvl w:val="0"/>
          <w:numId w:val="4"/>
        </w:numPr>
        <w:autoSpaceDE w:val="0"/>
        <w:autoSpaceDN w:val="0"/>
        <w:spacing w:before="240" w:after="120"/>
        <w:contextualSpacing w:val="0"/>
        <w:rPr>
          <w:rFonts w:cs="Arial"/>
          <w:b/>
          <w:bCs/>
        </w:rPr>
      </w:pPr>
      <w:r w:rsidRPr="00E90FEE">
        <w:rPr>
          <w:rFonts w:cs="Arial"/>
          <w:b/>
          <w:bCs/>
        </w:rPr>
        <w:t>Procedures</w:t>
      </w:r>
    </w:p>
    <w:p w14:paraId="1255A19A" w14:textId="77777777" w:rsidR="00E90FEE" w:rsidRPr="00E90FEE" w:rsidRDefault="00E90FEE" w:rsidP="006E7149">
      <w:pPr>
        <w:pStyle w:val="BodyText"/>
        <w:numPr>
          <w:ilvl w:val="1"/>
          <w:numId w:val="9"/>
        </w:numPr>
        <w:spacing w:before="120" w:after="120" w:line="259" w:lineRule="auto"/>
        <w:jc w:val="both"/>
        <w:rPr>
          <w:sz w:val="22"/>
          <w:szCs w:val="22"/>
        </w:rPr>
      </w:pPr>
      <w:r w:rsidRPr="00E90FEE">
        <w:rPr>
          <w:sz w:val="22"/>
          <w:szCs w:val="22"/>
        </w:rPr>
        <w:t xml:space="preserve">A person with a disability may request a reasonable accommodation during the application process, residency in public housing, or participation in the Housing Choice Voucher Program of the Housing Authority. </w:t>
      </w:r>
    </w:p>
    <w:p w14:paraId="7A255E31" w14:textId="77777777" w:rsidR="00E90FEE" w:rsidRPr="00E90FEE" w:rsidRDefault="00E90FEE" w:rsidP="006E7149">
      <w:pPr>
        <w:pStyle w:val="BodyText"/>
        <w:numPr>
          <w:ilvl w:val="1"/>
          <w:numId w:val="4"/>
        </w:numPr>
        <w:spacing w:before="120" w:after="120" w:line="259" w:lineRule="auto"/>
        <w:jc w:val="both"/>
        <w:rPr>
          <w:sz w:val="22"/>
          <w:szCs w:val="22"/>
        </w:rPr>
      </w:pPr>
      <w:r w:rsidRPr="00E90FEE">
        <w:rPr>
          <w:sz w:val="22"/>
          <w:szCs w:val="22"/>
        </w:rPr>
        <w:t>The person with a disability may submit all requests in writing, orally, or by any other equally effective means of communication. If the person with a disability is unable to submit a request in writing, the Housing Authority will assist the individual to reduce the request to written form.</w:t>
      </w:r>
    </w:p>
    <w:p w14:paraId="069B886C" w14:textId="77777777" w:rsidR="00E90FEE" w:rsidRPr="00E90FEE" w:rsidRDefault="00E90FEE" w:rsidP="006E7149">
      <w:pPr>
        <w:pStyle w:val="BodyText"/>
        <w:numPr>
          <w:ilvl w:val="1"/>
          <w:numId w:val="4"/>
        </w:numPr>
        <w:spacing w:before="120" w:after="120" w:line="259" w:lineRule="auto"/>
        <w:jc w:val="both"/>
        <w:rPr>
          <w:sz w:val="22"/>
          <w:szCs w:val="22"/>
        </w:rPr>
      </w:pPr>
      <w:r w:rsidRPr="00E90FEE">
        <w:rPr>
          <w:sz w:val="22"/>
          <w:szCs w:val="22"/>
        </w:rPr>
        <w:t xml:space="preserve">The </w:t>
      </w:r>
      <w:r w:rsidRPr="00E90FEE">
        <w:rPr>
          <w:i/>
          <w:iCs/>
          <w:sz w:val="22"/>
          <w:szCs w:val="22"/>
        </w:rPr>
        <w:t>Request for Reasonable Accommodation</w:t>
      </w:r>
      <w:r w:rsidRPr="00E90FEE">
        <w:rPr>
          <w:sz w:val="22"/>
          <w:szCs w:val="22"/>
        </w:rPr>
        <w:t xml:space="preserve"> (Request Form) is available at each public housing development, at the Housing Authority’s Main Administrative Office, and online at </w:t>
      </w:r>
      <w:hyperlink r:id="rId22">
        <w:r w:rsidRPr="00E90FEE">
          <w:rPr>
            <w:color w:val="0000FF"/>
            <w:sz w:val="22"/>
            <w:szCs w:val="22"/>
            <w:u w:val="single" w:color="0000FF"/>
          </w:rPr>
          <w:t>www.housingforhouston.com</w:t>
        </w:r>
      </w:hyperlink>
      <w:r w:rsidRPr="00E90FEE">
        <w:rPr>
          <w:sz w:val="22"/>
          <w:szCs w:val="22"/>
        </w:rPr>
        <w:t xml:space="preserve">. </w:t>
      </w:r>
    </w:p>
    <w:p w14:paraId="17CD4C36" w14:textId="77777777" w:rsidR="00E90FEE" w:rsidRPr="00E90FEE" w:rsidRDefault="00E90FEE" w:rsidP="006E7149">
      <w:pPr>
        <w:pStyle w:val="BodyText"/>
        <w:numPr>
          <w:ilvl w:val="1"/>
          <w:numId w:val="4"/>
        </w:numPr>
        <w:spacing w:before="120" w:after="120" w:line="259" w:lineRule="auto"/>
        <w:jc w:val="both"/>
        <w:rPr>
          <w:sz w:val="22"/>
          <w:szCs w:val="22"/>
        </w:rPr>
      </w:pPr>
      <w:r w:rsidRPr="00E90FEE">
        <w:rPr>
          <w:sz w:val="22"/>
          <w:szCs w:val="22"/>
        </w:rPr>
        <w:t>Reasonable accommodation requests that are completed by requester and a knowledgeable</w:t>
      </w:r>
      <w:r w:rsidR="00F271F6">
        <w:rPr>
          <w:sz w:val="22"/>
          <w:szCs w:val="22"/>
        </w:rPr>
        <w:t xml:space="preserve"> </w:t>
      </w:r>
      <w:r w:rsidRPr="00E90FEE">
        <w:rPr>
          <w:sz w:val="22"/>
          <w:szCs w:val="22"/>
        </w:rPr>
        <w:t>third party may be submitted to the Legal Compliance Officer (LCO) in any of the following manners:</w:t>
      </w:r>
    </w:p>
    <w:p w14:paraId="39F17734" w14:textId="77777777" w:rsidR="00E90FEE" w:rsidRPr="00E90FEE" w:rsidRDefault="00E90FEE" w:rsidP="006E7149">
      <w:pPr>
        <w:pStyle w:val="BodyText"/>
        <w:numPr>
          <w:ilvl w:val="2"/>
          <w:numId w:val="4"/>
        </w:numPr>
        <w:spacing w:before="120" w:after="120" w:line="259" w:lineRule="auto"/>
        <w:jc w:val="both"/>
        <w:rPr>
          <w:sz w:val="22"/>
          <w:szCs w:val="22"/>
        </w:rPr>
      </w:pPr>
      <w:r w:rsidRPr="00E90FEE">
        <w:rPr>
          <w:sz w:val="22"/>
          <w:szCs w:val="22"/>
        </w:rPr>
        <w:t>In person at the Housing Authority’s main office at 2640 Fountain View Dr.</w:t>
      </w:r>
    </w:p>
    <w:p w14:paraId="7F76D995" w14:textId="77777777" w:rsidR="00E90FEE" w:rsidRPr="00E90FEE" w:rsidRDefault="00E90FEE" w:rsidP="006E7149">
      <w:pPr>
        <w:pStyle w:val="BodyText"/>
        <w:numPr>
          <w:ilvl w:val="2"/>
          <w:numId w:val="4"/>
        </w:numPr>
        <w:spacing w:before="120" w:after="120" w:line="259" w:lineRule="auto"/>
        <w:jc w:val="both"/>
        <w:rPr>
          <w:sz w:val="22"/>
          <w:szCs w:val="22"/>
        </w:rPr>
      </w:pPr>
      <w:r w:rsidRPr="00E90FEE">
        <w:rPr>
          <w:sz w:val="22"/>
          <w:szCs w:val="22"/>
        </w:rPr>
        <w:t>Via mail to:</w:t>
      </w:r>
    </w:p>
    <w:p w14:paraId="0D862537" w14:textId="77777777" w:rsidR="00E90FEE" w:rsidRPr="00E90FEE" w:rsidRDefault="00E90FEE" w:rsidP="00A61161">
      <w:pPr>
        <w:pStyle w:val="BodyText"/>
        <w:ind w:left="1440"/>
        <w:jc w:val="both"/>
        <w:rPr>
          <w:sz w:val="22"/>
          <w:szCs w:val="22"/>
        </w:rPr>
      </w:pPr>
      <w:r w:rsidRPr="00E90FEE">
        <w:rPr>
          <w:sz w:val="22"/>
          <w:szCs w:val="22"/>
        </w:rPr>
        <w:t>Legal Compliance Officer</w:t>
      </w:r>
    </w:p>
    <w:p w14:paraId="6E4E5AA9" w14:textId="77777777" w:rsidR="00E90FEE" w:rsidRPr="00E90FEE" w:rsidRDefault="00E90FEE" w:rsidP="00A61161">
      <w:pPr>
        <w:pStyle w:val="BodyText"/>
        <w:ind w:left="1440"/>
        <w:jc w:val="both"/>
        <w:rPr>
          <w:sz w:val="22"/>
          <w:szCs w:val="22"/>
        </w:rPr>
      </w:pPr>
      <w:r w:rsidRPr="00E90FEE">
        <w:rPr>
          <w:sz w:val="22"/>
          <w:szCs w:val="22"/>
        </w:rPr>
        <w:t>Houston Housing Authority</w:t>
      </w:r>
    </w:p>
    <w:p w14:paraId="4EF901A0" w14:textId="77777777" w:rsidR="00E90FEE" w:rsidRPr="00E90FEE" w:rsidRDefault="00E90FEE" w:rsidP="00A61161">
      <w:pPr>
        <w:pStyle w:val="BodyText"/>
        <w:ind w:left="1440"/>
        <w:jc w:val="both"/>
        <w:rPr>
          <w:sz w:val="22"/>
          <w:szCs w:val="22"/>
        </w:rPr>
      </w:pPr>
      <w:r w:rsidRPr="00E90FEE">
        <w:rPr>
          <w:sz w:val="22"/>
          <w:szCs w:val="22"/>
        </w:rPr>
        <w:t xml:space="preserve">2640 Fountain View Dr. </w:t>
      </w:r>
    </w:p>
    <w:p w14:paraId="41C03742" w14:textId="77777777" w:rsidR="00E90FEE" w:rsidRPr="00E90FEE" w:rsidRDefault="00E90FEE" w:rsidP="00A61161">
      <w:pPr>
        <w:pStyle w:val="BodyText"/>
        <w:ind w:left="1440"/>
        <w:jc w:val="both"/>
        <w:rPr>
          <w:sz w:val="22"/>
          <w:szCs w:val="22"/>
        </w:rPr>
      </w:pPr>
      <w:r w:rsidRPr="00E90FEE">
        <w:rPr>
          <w:sz w:val="22"/>
          <w:szCs w:val="22"/>
        </w:rPr>
        <w:t>Houston, TX 77057</w:t>
      </w:r>
    </w:p>
    <w:p w14:paraId="0614BA8B" w14:textId="77777777" w:rsidR="00E90FEE" w:rsidRPr="00E90FEE" w:rsidRDefault="00E90FEE" w:rsidP="006E7149">
      <w:pPr>
        <w:pStyle w:val="BodyText"/>
        <w:numPr>
          <w:ilvl w:val="2"/>
          <w:numId w:val="4"/>
        </w:numPr>
        <w:spacing w:before="120" w:after="120" w:line="259" w:lineRule="auto"/>
        <w:jc w:val="both"/>
        <w:rPr>
          <w:sz w:val="22"/>
          <w:szCs w:val="22"/>
        </w:rPr>
      </w:pPr>
      <w:r w:rsidRPr="00E90FEE">
        <w:rPr>
          <w:sz w:val="22"/>
          <w:szCs w:val="22"/>
        </w:rPr>
        <w:t xml:space="preserve">Via email to </w:t>
      </w:r>
      <w:hyperlink r:id="rId23">
        <w:r w:rsidRPr="00E90FEE">
          <w:rPr>
            <w:color w:val="0462C1"/>
            <w:sz w:val="22"/>
            <w:szCs w:val="22"/>
            <w:u w:val="single" w:color="0462C1"/>
          </w:rPr>
          <w:t>504ada@housingforhouston.com</w:t>
        </w:r>
      </w:hyperlink>
      <w:r w:rsidRPr="00E90FEE">
        <w:rPr>
          <w:sz w:val="22"/>
          <w:szCs w:val="22"/>
        </w:rPr>
        <w:t xml:space="preserve">; or </w:t>
      </w:r>
    </w:p>
    <w:p w14:paraId="6445189F" w14:textId="77777777" w:rsidR="00E90FEE" w:rsidRPr="00E90FEE" w:rsidRDefault="00E90FEE" w:rsidP="006E7149">
      <w:pPr>
        <w:pStyle w:val="BodyText"/>
        <w:numPr>
          <w:ilvl w:val="2"/>
          <w:numId w:val="4"/>
        </w:numPr>
        <w:spacing w:before="120" w:after="120" w:line="259" w:lineRule="auto"/>
        <w:jc w:val="both"/>
        <w:rPr>
          <w:sz w:val="22"/>
          <w:szCs w:val="22"/>
        </w:rPr>
      </w:pPr>
      <w:r w:rsidRPr="00E90FEE">
        <w:rPr>
          <w:sz w:val="22"/>
          <w:szCs w:val="22"/>
        </w:rPr>
        <w:t>Via fax to (713) 260-0808.</w:t>
      </w:r>
    </w:p>
    <w:p w14:paraId="49CE7975" w14:textId="77777777" w:rsidR="00E90FEE" w:rsidRPr="00E90FEE" w:rsidRDefault="00E90FEE" w:rsidP="006E7149">
      <w:pPr>
        <w:pStyle w:val="BodyText"/>
        <w:numPr>
          <w:ilvl w:val="1"/>
          <w:numId w:val="4"/>
        </w:numPr>
        <w:spacing w:before="120" w:after="120" w:line="259" w:lineRule="auto"/>
        <w:jc w:val="both"/>
        <w:rPr>
          <w:sz w:val="22"/>
          <w:szCs w:val="22"/>
        </w:rPr>
      </w:pPr>
      <w:r w:rsidRPr="00E90FEE">
        <w:rPr>
          <w:sz w:val="22"/>
          <w:szCs w:val="22"/>
        </w:rPr>
        <w:t>The Housing Authority</w:t>
      </w:r>
      <w:r w:rsidRPr="00E90FEE">
        <w:rPr>
          <w:spacing w:val="-13"/>
          <w:sz w:val="22"/>
          <w:szCs w:val="22"/>
        </w:rPr>
        <w:t xml:space="preserve"> </w:t>
      </w:r>
      <w:r w:rsidRPr="00E90FEE">
        <w:rPr>
          <w:sz w:val="22"/>
          <w:szCs w:val="22"/>
        </w:rPr>
        <w:t>will</w:t>
      </w:r>
      <w:r w:rsidRPr="00E90FEE">
        <w:rPr>
          <w:spacing w:val="-12"/>
          <w:sz w:val="22"/>
          <w:szCs w:val="22"/>
        </w:rPr>
        <w:t xml:space="preserve"> </w:t>
      </w:r>
      <w:r w:rsidRPr="00E90FEE">
        <w:rPr>
          <w:sz w:val="22"/>
          <w:szCs w:val="22"/>
        </w:rPr>
        <w:t>endeavor</w:t>
      </w:r>
      <w:r w:rsidRPr="00E90FEE">
        <w:rPr>
          <w:spacing w:val="-13"/>
          <w:sz w:val="22"/>
          <w:szCs w:val="22"/>
        </w:rPr>
        <w:t xml:space="preserve"> </w:t>
      </w:r>
      <w:r w:rsidRPr="00E90FEE">
        <w:rPr>
          <w:sz w:val="22"/>
          <w:szCs w:val="22"/>
        </w:rPr>
        <w:t>to</w:t>
      </w:r>
      <w:r w:rsidRPr="00E90FEE">
        <w:rPr>
          <w:spacing w:val="-8"/>
          <w:sz w:val="22"/>
          <w:szCs w:val="22"/>
        </w:rPr>
        <w:t xml:space="preserve"> </w:t>
      </w:r>
      <w:r w:rsidRPr="00E90FEE">
        <w:rPr>
          <w:sz w:val="22"/>
          <w:szCs w:val="22"/>
        </w:rPr>
        <w:t>enter</w:t>
      </w:r>
      <w:r w:rsidRPr="00E90FEE">
        <w:rPr>
          <w:spacing w:val="-8"/>
          <w:sz w:val="22"/>
          <w:szCs w:val="22"/>
        </w:rPr>
        <w:t xml:space="preserve"> </w:t>
      </w:r>
      <w:r w:rsidRPr="00E90FEE">
        <w:rPr>
          <w:sz w:val="22"/>
          <w:szCs w:val="22"/>
        </w:rPr>
        <w:t>into</w:t>
      </w:r>
      <w:r w:rsidRPr="00E90FEE">
        <w:rPr>
          <w:spacing w:val="-10"/>
          <w:sz w:val="22"/>
          <w:szCs w:val="22"/>
        </w:rPr>
        <w:t xml:space="preserve"> </w:t>
      </w:r>
      <w:r w:rsidRPr="00E90FEE">
        <w:rPr>
          <w:sz w:val="22"/>
          <w:szCs w:val="22"/>
        </w:rPr>
        <w:t>an</w:t>
      </w:r>
      <w:r w:rsidRPr="00E90FEE">
        <w:rPr>
          <w:spacing w:val="-10"/>
          <w:sz w:val="22"/>
          <w:szCs w:val="22"/>
        </w:rPr>
        <w:t xml:space="preserve"> </w:t>
      </w:r>
      <w:r w:rsidRPr="00E90FEE">
        <w:rPr>
          <w:sz w:val="22"/>
          <w:szCs w:val="22"/>
        </w:rPr>
        <w:t>interactive</w:t>
      </w:r>
      <w:r w:rsidRPr="00E90FEE">
        <w:rPr>
          <w:spacing w:val="-8"/>
          <w:sz w:val="22"/>
          <w:szCs w:val="22"/>
        </w:rPr>
        <w:t xml:space="preserve"> </w:t>
      </w:r>
      <w:r w:rsidRPr="00E90FEE">
        <w:rPr>
          <w:sz w:val="22"/>
          <w:szCs w:val="22"/>
        </w:rPr>
        <w:t>process</w:t>
      </w:r>
      <w:r w:rsidRPr="00E90FEE">
        <w:rPr>
          <w:spacing w:val="-11"/>
          <w:sz w:val="22"/>
          <w:szCs w:val="22"/>
        </w:rPr>
        <w:t xml:space="preserve"> </w:t>
      </w:r>
      <w:r w:rsidRPr="00E90FEE">
        <w:rPr>
          <w:sz w:val="22"/>
          <w:szCs w:val="22"/>
        </w:rPr>
        <w:t>with</w:t>
      </w:r>
      <w:r w:rsidRPr="00E90FEE">
        <w:rPr>
          <w:spacing w:val="-10"/>
          <w:sz w:val="22"/>
          <w:szCs w:val="22"/>
        </w:rPr>
        <w:t xml:space="preserve"> </w:t>
      </w:r>
      <w:r w:rsidRPr="00E90FEE">
        <w:rPr>
          <w:sz w:val="22"/>
          <w:szCs w:val="22"/>
        </w:rPr>
        <w:t>the</w:t>
      </w:r>
      <w:r w:rsidRPr="00E90FEE">
        <w:rPr>
          <w:spacing w:val="-11"/>
          <w:sz w:val="22"/>
          <w:szCs w:val="22"/>
        </w:rPr>
        <w:t xml:space="preserve"> </w:t>
      </w:r>
      <w:r w:rsidRPr="00E90FEE">
        <w:rPr>
          <w:sz w:val="22"/>
          <w:szCs w:val="22"/>
        </w:rPr>
        <w:t>requester</w:t>
      </w:r>
      <w:r w:rsidRPr="00E90FEE">
        <w:rPr>
          <w:spacing w:val="-9"/>
          <w:sz w:val="22"/>
          <w:szCs w:val="22"/>
        </w:rPr>
        <w:t xml:space="preserve"> </w:t>
      </w:r>
      <w:r w:rsidRPr="00E90FEE">
        <w:rPr>
          <w:sz w:val="22"/>
          <w:szCs w:val="22"/>
        </w:rPr>
        <w:t>in</w:t>
      </w:r>
      <w:r w:rsidRPr="00E90FEE">
        <w:rPr>
          <w:spacing w:val="-10"/>
          <w:sz w:val="22"/>
          <w:szCs w:val="22"/>
        </w:rPr>
        <w:t xml:space="preserve"> </w:t>
      </w:r>
      <w:r w:rsidRPr="00E90FEE">
        <w:rPr>
          <w:sz w:val="22"/>
          <w:szCs w:val="22"/>
        </w:rPr>
        <w:t>order</w:t>
      </w:r>
      <w:r w:rsidRPr="00E90FEE">
        <w:rPr>
          <w:spacing w:val="-10"/>
          <w:sz w:val="22"/>
          <w:szCs w:val="22"/>
        </w:rPr>
        <w:t xml:space="preserve"> </w:t>
      </w:r>
      <w:r w:rsidRPr="00E90FEE">
        <w:rPr>
          <w:sz w:val="22"/>
          <w:szCs w:val="22"/>
        </w:rPr>
        <w:t>to</w:t>
      </w:r>
      <w:r w:rsidRPr="00E90FEE">
        <w:rPr>
          <w:spacing w:val="-8"/>
          <w:sz w:val="22"/>
          <w:szCs w:val="22"/>
        </w:rPr>
        <w:t xml:space="preserve"> </w:t>
      </w:r>
      <w:r w:rsidRPr="00E90FEE">
        <w:rPr>
          <w:sz w:val="22"/>
          <w:szCs w:val="22"/>
        </w:rPr>
        <w:t xml:space="preserve">discuss the disability-related need for the requested accommodation and possible alternative accommodations, if any. While it is always the requester’s choice to enter into </w:t>
      </w:r>
      <w:r w:rsidRPr="00E90FEE">
        <w:rPr>
          <w:spacing w:val="-3"/>
          <w:sz w:val="22"/>
          <w:szCs w:val="22"/>
        </w:rPr>
        <w:t xml:space="preserve">an </w:t>
      </w:r>
      <w:r w:rsidRPr="00E90FEE">
        <w:rPr>
          <w:sz w:val="22"/>
          <w:szCs w:val="22"/>
        </w:rPr>
        <w:t>interactive process with the Housing Authority, such a process is intended to help all concerned in the process by seeking to provide an effective accommodation that does not pose an undue financial and administrative burden for the Housing Authority.</w:t>
      </w:r>
    </w:p>
    <w:p w14:paraId="11165459" w14:textId="77777777" w:rsidR="00E90FEE" w:rsidRPr="00E90FEE" w:rsidRDefault="00E90FEE" w:rsidP="006E7149">
      <w:pPr>
        <w:pStyle w:val="BodyText"/>
        <w:numPr>
          <w:ilvl w:val="1"/>
          <w:numId w:val="4"/>
        </w:numPr>
        <w:spacing w:before="120" w:after="120" w:line="259" w:lineRule="auto"/>
        <w:jc w:val="both"/>
        <w:rPr>
          <w:sz w:val="22"/>
          <w:szCs w:val="22"/>
        </w:rPr>
      </w:pPr>
      <w:r w:rsidRPr="00E90FEE">
        <w:rPr>
          <w:sz w:val="22"/>
          <w:szCs w:val="22"/>
        </w:rPr>
        <w:t>Decisions to approve or deny requests for reasonable accommodations shall be made on a case-by-case basis with the consideration of the disability and the needs of the person as well as the nature of the program or activity in which the person seeks to participate.  Reasonable accommodation methods or actions that may be appropriate for a particular program and person may be found to be inappropriate for another program or individual.</w:t>
      </w:r>
    </w:p>
    <w:p w14:paraId="20AEA1D1" w14:textId="77777777" w:rsidR="00E90FEE" w:rsidRPr="00E90FEE" w:rsidRDefault="00E90FEE" w:rsidP="006E7149">
      <w:pPr>
        <w:pStyle w:val="ListParagraph"/>
        <w:widowControl w:val="0"/>
        <w:numPr>
          <w:ilvl w:val="0"/>
          <w:numId w:val="4"/>
        </w:numPr>
        <w:autoSpaceDE w:val="0"/>
        <w:autoSpaceDN w:val="0"/>
        <w:spacing w:before="240" w:after="120"/>
        <w:contextualSpacing w:val="0"/>
        <w:rPr>
          <w:rFonts w:cs="Arial"/>
          <w:b/>
          <w:bCs/>
        </w:rPr>
      </w:pPr>
      <w:r w:rsidRPr="00E90FEE">
        <w:rPr>
          <w:rFonts w:cs="Arial"/>
          <w:b/>
          <w:bCs/>
        </w:rPr>
        <w:t>Administrative Closure</w:t>
      </w:r>
    </w:p>
    <w:p w14:paraId="66828D57" w14:textId="77777777" w:rsidR="00E90FEE" w:rsidRPr="00E90FEE" w:rsidRDefault="00E90FEE" w:rsidP="006E7149">
      <w:pPr>
        <w:pStyle w:val="ListParagraph"/>
        <w:widowControl w:val="0"/>
        <w:numPr>
          <w:ilvl w:val="1"/>
          <w:numId w:val="10"/>
        </w:numPr>
        <w:autoSpaceDE w:val="0"/>
        <w:autoSpaceDN w:val="0"/>
        <w:spacing w:before="120" w:after="120"/>
        <w:contextualSpacing w:val="0"/>
        <w:rPr>
          <w:rFonts w:cs="Arial"/>
        </w:rPr>
      </w:pPr>
      <w:r w:rsidRPr="00E90FEE">
        <w:rPr>
          <w:rFonts w:cs="Arial"/>
        </w:rPr>
        <w:t xml:space="preserve">If additional information or documentation is required, the Legal Compliance Officer will notify the requester in writing. If the LCO does not receive the requested information within twenty-one (21) calendar days from the date of the written request for information, the request for a reasonable accommodation will be administratively closed. </w:t>
      </w:r>
    </w:p>
    <w:p w14:paraId="39752835" w14:textId="77777777" w:rsidR="00E90FEE" w:rsidRPr="00E90FEE" w:rsidRDefault="00E90FEE" w:rsidP="006E7149">
      <w:pPr>
        <w:pStyle w:val="ListParagraph"/>
        <w:widowControl w:val="0"/>
        <w:numPr>
          <w:ilvl w:val="1"/>
          <w:numId w:val="4"/>
        </w:numPr>
        <w:autoSpaceDE w:val="0"/>
        <w:autoSpaceDN w:val="0"/>
        <w:spacing w:before="120" w:after="120"/>
        <w:contextualSpacing w:val="0"/>
        <w:rPr>
          <w:rFonts w:cs="Arial"/>
        </w:rPr>
      </w:pPr>
      <w:r w:rsidRPr="00E90FEE">
        <w:rPr>
          <w:rFonts w:cs="Arial"/>
        </w:rPr>
        <w:t xml:space="preserve">The administrative closure is not a denial. If the requester submits the requested information after twenty-one (21) calendar days, the request for a reasonable accommodation will be reopened as of the date that requested information is received. </w:t>
      </w:r>
    </w:p>
    <w:p w14:paraId="5E945EC8" w14:textId="77777777" w:rsidR="00E90FEE" w:rsidRPr="00E90FEE" w:rsidRDefault="00E90FEE" w:rsidP="006E7149">
      <w:pPr>
        <w:pStyle w:val="ListParagraph"/>
        <w:widowControl w:val="0"/>
        <w:numPr>
          <w:ilvl w:val="1"/>
          <w:numId w:val="4"/>
        </w:numPr>
        <w:autoSpaceDE w:val="0"/>
        <w:autoSpaceDN w:val="0"/>
        <w:spacing w:before="120" w:after="120"/>
        <w:contextualSpacing w:val="0"/>
        <w:rPr>
          <w:rFonts w:cs="Arial"/>
        </w:rPr>
      </w:pPr>
      <w:r w:rsidRPr="00E90FEE">
        <w:rPr>
          <w:rFonts w:cs="Arial"/>
        </w:rPr>
        <w:t>Administrative closures may occur but are not limited to the following reasons:</w:t>
      </w:r>
    </w:p>
    <w:p w14:paraId="7D04FD36" w14:textId="77777777" w:rsidR="00E90FEE" w:rsidRPr="00E90FEE" w:rsidRDefault="00E90FEE" w:rsidP="006E7149">
      <w:pPr>
        <w:pStyle w:val="ListParagraph"/>
        <w:widowControl w:val="0"/>
        <w:numPr>
          <w:ilvl w:val="2"/>
          <w:numId w:val="4"/>
        </w:numPr>
        <w:autoSpaceDE w:val="0"/>
        <w:autoSpaceDN w:val="0"/>
        <w:spacing w:before="120" w:after="120"/>
        <w:contextualSpacing w:val="0"/>
        <w:rPr>
          <w:rFonts w:cs="Arial"/>
        </w:rPr>
      </w:pPr>
      <w:r w:rsidRPr="00E90FEE">
        <w:rPr>
          <w:rFonts w:cs="Arial"/>
        </w:rPr>
        <w:t>Failure to supply required information</w:t>
      </w:r>
      <w:r w:rsidR="00BC2D1E">
        <w:rPr>
          <w:rFonts w:cs="Arial"/>
        </w:rPr>
        <w:t>;</w:t>
      </w:r>
      <w:r w:rsidRPr="00E90FEE">
        <w:rPr>
          <w:rFonts w:cs="Arial"/>
        </w:rPr>
        <w:t xml:space="preserve"> </w:t>
      </w:r>
    </w:p>
    <w:p w14:paraId="437309A9" w14:textId="77777777" w:rsidR="00E90FEE" w:rsidRPr="00E90FEE" w:rsidRDefault="00E90FEE" w:rsidP="006E7149">
      <w:pPr>
        <w:pStyle w:val="ListParagraph"/>
        <w:widowControl w:val="0"/>
        <w:numPr>
          <w:ilvl w:val="2"/>
          <w:numId w:val="4"/>
        </w:numPr>
        <w:autoSpaceDE w:val="0"/>
        <w:autoSpaceDN w:val="0"/>
        <w:spacing w:before="120" w:after="120"/>
        <w:contextualSpacing w:val="0"/>
        <w:rPr>
          <w:rFonts w:cs="Arial"/>
        </w:rPr>
      </w:pPr>
      <w:r w:rsidRPr="00E90FEE">
        <w:rPr>
          <w:rFonts w:cs="Arial"/>
        </w:rPr>
        <w:t>Requesting a modification to a property the HHA does not control or own</w:t>
      </w:r>
      <w:r w:rsidR="00BC2D1E">
        <w:rPr>
          <w:rFonts w:cs="Arial"/>
        </w:rPr>
        <w:t>;</w:t>
      </w:r>
    </w:p>
    <w:p w14:paraId="2F467AC7" w14:textId="77777777" w:rsidR="00E90FEE" w:rsidRPr="00E90FEE" w:rsidRDefault="00E90FEE" w:rsidP="006E7149">
      <w:pPr>
        <w:pStyle w:val="ListParagraph"/>
        <w:widowControl w:val="0"/>
        <w:numPr>
          <w:ilvl w:val="2"/>
          <w:numId w:val="4"/>
        </w:numPr>
        <w:autoSpaceDE w:val="0"/>
        <w:autoSpaceDN w:val="0"/>
        <w:spacing w:before="120" w:after="120"/>
        <w:contextualSpacing w:val="0"/>
        <w:rPr>
          <w:rFonts w:cs="Arial"/>
        </w:rPr>
      </w:pPr>
      <w:r w:rsidRPr="00E90FEE">
        <w:rPr>
          <w:rFonts w:cs="Arial"/>
        </w:rPr>
        <w:t>Requesting specific location of a unit on a property the HHA does not control or own</w:t>
      </w:r>
      <w:r w:rsidR="00BC2D1E">
        <w:rPr>
          <w:rFonts w:cs="Arial"/>
        </w:rPr>
        <w:t>; and/or</w:t>
      </w:r>
    </w:p>
    <w:p w14:paraId="3DE0EABA" w14:textId="77777777" w:rsidR="00E90FEE" w:rsidRPr="00E90FEE" w:rsidRDefault="00E90FEE" w:rsidP="006E7149">
      <w:pPr>
        <w:pStyle w:val="ListParagraph"/>
        <w:widowControl w:val="0"/>
        <w:numPr>
          <w:ilvl w:val="2"/>
          <w:numId w:val="4"/>
        </w:numPr>
        <w:autoSpaceDE w:val="0"/>
        <w:autoSpaceDN w:val="0"/>
        <w:spacing w:before="120" w:after="120"/>
        <w:contextualSpacing w:val="0"/>
        <w:rPr>
          <w:rFonts w:cs="Arial"/>
        </w:rPr>
      </w:pPr>
      <w:r w:rsidRPr="00E90FEE">
        <w:rPr>
          <w:rFonts w:cs="Arial"/>
        </w:rPr>
        <w:t>If a request can be met through standard policies and/or regulations.</w:t>
      </w:r>
    </w:p>
    <w:p w14:paraId="7899B184" w14:textId="77777777" w:rsidR="00E90FEE" w:rsidRPr="00E90FEE" w:rsidRDefault="00E90FEE" w:rsidP="006E7149">
      <w:pPr>
        <w:pStyle w:val="ListParagraph"/>
        <w:widowControl w:val="0"/>
        <w:numPr>
          <w:ilvl w:val="1"/>
          <w:numId w:val="4"/>
        </w:numPr>
        <w:autoSpaceDE w:val="0"/>
        <w:autoSpaceDN w:val="0"/>
        <w:spacing w:before="120" w:after="120"/>
        <w:contextualSpacing w:val="0"/>
        <w:rPr>
          <w:rFonts w:cs="Arial"/>
        </w:rPr>
      </w:pPr>
      <w:r w:rsidRPr="00E90FEE">
        <w:rPr>
          <w:rFonts w:cs="Arial"/>
        </w:rPr>
        <w:t>Since an administrative closure is not a denial of accommodation there will be no right to an informal hearing.</w:t>
      </w:r>
    </w:p>
    <w:p w14:paraId="3B3C0DE3" w14:textId="77777777" w:rsidR="00E90FEE" w:rsidRPr="00E90FEE" w:rsidRDefault="00E90FEE" w:rsidP="006E7149">
      <w:pPr>
        <w:pStyle w:val="ListParagraph"/>
        <w:widowControl w:val="0"/>
        <w:numPr>
          <w:ilvl w:val="0"/>
          <w:numId w:val="4"/>
        </w:numPr>
        <w:autoSpaceDE w:val="0"/>
        <w:autoSpaceDN w:val="0"/>
        <w:spacing w:before="240" w:after="120"/>
        <w:contextualSpacing w:val="0"/>
        <w:rPr>
          <w:rFonts w:cs="Arial"/>
          <w:b/>
          <w:bCs/>
        </w:rPr>
      </w:pPr>
      <w:r w:rsidRPr="00E90FEE">
        <w:rPr>
          <w:rFonts w:cs="Arial"/>
          <w:b/>
          <w:bCs/>
        </w:rPr>
        <w:t>Decision</w:t>
      </w:r>
    </w:p>
    <w:p w14:paraId="09ED9DE7" w14:textId="77777777" w:rsidR="00E90FEE" w:rsidRPr="00E90FEE" w:rsidRDefault="00E90FEE" w:rsidP="006E7149">
      <w:pPr>
        <w:pStyle w:val="BodyText"/>
        <w:numPr>
          <w:ilvl w:val="1"/>
          <w:numId w:val="11"/>
        </w:numPr>
        <w:spacing w:before="120" w:after="120" w:line="259" w:lineRule="auto"/>
        <w:jc w:val="both"/>
        <w:rPr>
          <w:sz w:val="22"/>
          <w:szCs w:val="22"/>
        </w:rPr>
      </w:pPr>
      <w:r w:rsidRPr="00E90FEE">
        <w:rPr>
          <w:sz w:val="22"/>
          <w:szCs w:val="22"/>
        </w:rPr>
        <w:t xml:space="preserve">With receipt of all required supporting documentation, the LCO will issue a written determination on the request for a reasonable accommodation. Upon request, the written notification will be provided in an alternate format.  </w:t>
      </w:r>
    </w:p>
    <w:p w14:paraId="7BCF51A0" w14:textId="77777777" w:rsidR="00E90FEE" w:rsidRPr="00E90FEE" w:rsidRDefault="00E90FEE" w:rsidP="006E7149">
      <w:pPr>
        <w:pStyle w:val="BodyText"/>
        <w:numPr>
          <w:ilvl w:val="1"/>
          <w:numId w:val="4"/>
        </w:numPr>
        <w:spacing w:before="120" w:after="120" w:line="259" w:lineRule="auto"/>
        <w:jc w:val="both"/>
        <w:rPr>
          <w:sz w:val="22"/>
          <w:szCs w:val="22"/>
        </w:rPr>
      </w:pPr>
      <w:r w:rsidRPr="00E90FEE">
        <w:rPr>
          <w:sz w:val="22"/>
          <w:szCs w:val="22"/>
        </w:rPr>
        <w:t>Notifications of approved reasonable accommodation requests will be forwarded to the appropriate staff to implement the accommodation. Notifications of denied reasonable accommodation requests will provide information on the procedures for appealing the determination.</w:t>
      </w:r>
    </w:p>
    <w:p w14:paraId="5B7B557E" w14:textId="77777777" w:rsidR="00E90FEE" w:rsidRPr="00E90FEE" w:rsidRDefault="00E90FEE" w:rsidP="006E7149">
      <w:pPr>
        <w:pStyle w:val="BodyText"/>
        <w:numPr>
          <w:ilvl w:val="1"/>
          <w:numId w:val="4"/>
        </w:numPr>
        <w:spacing w:before="120" w:after="120" w:line="259" w:lineRule="auto"/>
        <w:jc w:val="both"/>
        <w:rPr>
          <w:sz w:val="22"/>
          <w:szCs w:val="22"/>
        </w:rPr>
      </w:pPr>
      <w:r w:rsidRPr="00E90FEE">
        <w:rPr>
          <w:sz w:val="22"/>
          <w:szCs w:val="22"/>
        </w:rPr>
        <w:t xml:space="preserve">If a request for reasonable accommodation is denied but an alternative accommodation is available, the Housing Authority will offer the requester the alternative accommodation and the date by which they must accept or decline. </w:t>
      </w:r>
    </w:p>
    <w:p w14:paraId="258BB20B" w14:textId="77777777" w:rsidR="00E90FEE" w:rsidRPr="00E90FEE" w:rsidRDefault="00E90FEE" w:rsidP="006E7149">
      <w:pPr>
        <w:pStyle w:val="BodyText"/>
        <w:numPr>
          <w:ilvl w:val="1"/>
          <w:numId w:val="4"/>
        </w:numPr>
        <w:spacing w:before="120" w:after="120" w:line="259" w:lineRule="auto"/>
        <w:jc w:val="both"/>
        <w:rPr>
          <w:sz w:val="22"/>
          <w:szCs w:val="22"/>
        </w:rPr>
      </w:pPr>
      <w:r w:rsidRPr="00E90FEE">
        <w:rPr>
          <w:sz w:val="22"/>
          <w:szCs w:val="22"/>
        </w:rPr>
        <w:t>If the requester makes a subsequent request for a different reasonable accommodation, such request will be processed as a new reasonable accommodation request.</w:t>
      </w:r>
    </w:p>
    <w:p w14:paraId="7B3A1FB7" w14:textId="77777777" w:rsidR="00E90FEE" w:rsidRPr="00E90FEE" w:rsidRDefault="00E90FEE" w:rsidP="006E7149">
      <w:pPr>
        <w:pStyle w:val="ListParagraph"/>
        <w:widowControl w:val="0"/>
        <w:numPr>
          <w:ilvl w:val="0"/>
          <w:numId w:val="4"/>
        </w:numPr>
        <w:autoSpaceDE w:val="0"/>
        <w:autoSpaceDN w:val="0"/>
        <w:spacing w:before="240" w:after="120"/>
        <w:contextualSpacing w:val="0"/>
        <w:rPr>
          <w:rFonts w:cs="Arial"/>
          <w:b/>
          <w:bCs/>
        </w:rPr>
      </w:pPr>
      <w:r w:rsidRPr="00E90FEE">
        <w:rPr>
          <w:rFonts w:cs="Arial"/>
          <w:b/>
          <w:bCs/>
        </w:rPr>
        <w:t>Verification of Need for a Reasonable Accommodation</w:t>
      </w:r>
    </w:p>
    <w:p w14:paraId="7FDFB9DF" w14:textId="77777777" w:rsidR="00E90FEE" w:rsidRPr="00E90FEE" w:rsidRDefault="00E90FEE" w:rsidP="006E7149">
      <w:pPr>
        <w:pStyle w:val="BodyText"/>
        <w:numPr>
          <w:ilvl w:val="1"/>
          <w:numId w:val="12"/>
        </w:numPr>
        <w:spacing w:before="120" w:after="120" w:line="259" w:lineRule="auto"/>
        <w:jc w:val="both"/>
        <w:rPr>
          <w:sz w:val="22"/>
          <w:szCs w:val="22"/>
        </w:rPr>
      </w:pPr>
      <w:r w:rsidRPr="00E90FEE">
        <w:rPr>
          <w:sz w:val="22"/>
          <w:szCs w:val="22"/>
        </w:rPr>
        <w:t>The Housing Authority may request documentation to verify that the person requesting an accommodation</w:t>
      </w:r>
      <w:r w:rsidRPr="00E90FEE">
        <w:rPr>
          <w:spacing w:val="-7"/>
          <w:sz w:val="22"/>
          <w:szCs w:val="22"/>
        </w:rPr>
        <w:t xml:space="preserve"> </w:t>
      </w:r>
      <w:r w:rsidRPr="00E90FEE">
        <w:rPr>
          <w:sz w:val="22"/>
          <w:szCs w:val="22"/>
        </w:rPr>
        <w:t>is</w:t>
      </w:r>
      <w:r w:rsidRPr="00E90FEE">
        <w:rPr>
          <w:spacing w:val="-7"/>
          <w:sz w:val="22"/>
          <w:szCs w:val="22"/>
        </w:rPr>
        <w:t xml:space="preserve"> </w:t>
      </w:r>
      <w:r w:rsidRPr="00E90FEE">
        <w:rPr>
          <w:sz w:val="22"/>
          <w:szCs w:val="22"/>
        </w:rPr>
        <w:t>a</w:t>
      </w:r>
      <w:r w:rsidRPr="00E90FEE">
        <w:rPr>
          <w:spacing w:val="-9"/>
          <w:sz w:val="22"/>
          <w:szCs w:val="22"/>
        </w:rPr>
        <w:t xml:space="preserve"> </w:t>
      </w:r>
      <w:r w:rsidRPr="00E90FEE">
        <w:rPr>
          <w:sz w:val="22"/>
          <w:szCs w:val="22"/>
        </w:rPr>
        <w:t>person</w:t>
      </w:r>
      <w:r w:rsidRPr="00E90FEE">
        <w:rPr>
          <w:spacing w:val="-3"/>
          <w:sz w:val="22"/>
          <w:szCs w:val="22"/>
        </w:rPr>
        <w:t xml:space="preserve"> </w:t>
      </w:r>
      <w:r w:rsidRPr="00E90FEE">
        <w:rPr>
          <w:sz w:val="22"/>
          <w:szCs w:val="22"/>
        </w:rPr>
        <w:t>with</w:t>
      </w:r>
      <w:r w:rsidRPr="00E90FEE">
        <w:rPr>
          <w:spacing w:val="-7"/>
          <w:sz w:val="22"/>
          <w:szCs w:val="22"/>
        </w:rPr>
        <w:t xml:space="preserve"> </w:t>
      </w:r>
      <w:r w:rsidRPr="00E90FEE">
        <w:rPr>
          <w:sz w:val="22"/>
          <w:szCs w:val="22"/>
        </w:rPr>
        <w:t>a</w:t>
      </w:r>
      <w:r w:rsidRPr="00E90FEE">
        <w:rPr>
          <w:spacing w:val="-9"/>
          <w:sz w:val="22"/>
          <w:szCs w:val="22"/>
        </w:rPr>
        <w:t xml:space="preserve"> </w:t>
      </w:r>
      <w:r w:rsidRPr="00E90FEE">
        <w:rPr>
          <w:sz w:val="22"/>
          <w:szCs w:val="22"/>
        </w:rPr>
        <w:t>disability</w:t>
      </w:r>
      <w:r w:rsidRPr="00E90FEE">
        <w:rPr>
          <w:spacing w:val="-9"/>
          <w:sz w:val="22"/>
          <w:szCs w:val="22"/>
        </w:rPr>
        <w:t xml:space="preserve"> </w:t>
      </w:r>
      <w:r w:rsidRPr="00E90FEE">
        <w:rPr>
          <w:sz w:val="22"/>
          <w:szCs w:val="22"/>
        </w:rPr>
        <w:t>and</w:t>
      </w:r>
      <w:r w:rsidRPr="00E90FEE">
        <w:rPr>
          <w:spacing w:val="-7"/>
          <w:sz w:val="22"/>
          <w:szCs w:val="22"/>
        </w:rPr>
        <w:t xml:space="preserve"> </w:t>
      </w:r>
      <w:r w:rsidRPr="00E90FEE">
        <w:rPr>
          <w:sz w:val="22"/>
          <w:szCs w:val="22"/>
        </w:rPr>
        <w:t>such</w:t>
      </w:r>
      <w:r w:rsidRPr="00E90FEE">
        <w:rPr>
          <w:spacing w:val="-7"/>
          <w:sz w:val="22"/>
          <w:szCs w:val="22"/>
        </w:rPr>
        <w:t xml:space="preserve"> </w:t>
      </w:r>
      <w:r w:rsidRPr="00E90FEE">
        <w:rPr>
          <w:sz w:val="22"/>
          <w:szCs w:val="22"/>
        </w:rPr>
        <w:t>person</w:t>
      </w:r>
      <w:r w:rsidRPr="00E90FEE">
        <w:rPr>
          <w:spacing w:val="-7"/>
          <w:sz w:val="22"/>
          <w:szCs w:val="22"/>
        </w:rPr>
        <w:t xml:space="preserve"> </w:t>
      </w:r>
      <w:r w:rsidRPr="00E90FEE">
        <w:rPr>
          <w:sz w:val="22"/>
          <w:szCs w:val="22"/>
        </w:rPr>
        <w:t>has</w:t>
      </w:r>
      <w:r w:rsidRPr="00E90FEE">
        <w:rPr>
          <w:spacing w:val="-6"/>
          <w:sz w:val="22"/>
          <w:szCs w:val="22"/>
        </w:rPr>
        <w:t xml:space="preserve"> </w:t>
      </w:r>
      <w:r w:rsidRPr="00E90FEE">
        <w:rPr>
          <w:sz w:val="22"/>
          <w:szCs w:val="22"/>
        </w:rPr>
        <w:t>a</w:t>
      </w:r>
      <w:r w:rsidRPr="00E90FEE">
        <w:rPr>
          <w:spacing w:val="-9"/>
          <w:sz w:val="22"/>
          <w:szCs w:val="22"/>
        </w:rPr>
        <w:t xml:space="preserve"> </w:t>
      </w:r>
      <w:r w:rsidRPr="00E90FEE">
        <w:rPr>
          <w:sz w:val="22"/>
          <w:szCs w:val="22"/>
        </w:rPr>
        <w:t>disability-related</w:t>
      </w:r>
      <w:r w:rsidRPr="00E90FEE">
        <w:rPr>
          <w:spacing w:val="-7"/>
          <w:sz w:val="22"/>
          <w:szCs w:val="22"/>
        </w:rPr>
        <w:t xml:space="preserve"> </w:t>
      </w:r>
      <w:r w:rsidRPr="00E90FEE">
        <w:rPr>
          <w:sz w:val="22"/>
          <w:szCs w:val="22"/>
        </w:rPr>
        <w:t>need</w:t>
      </w:r>
      <w:r w:rsidRPr="00E90FEE">
        <w:rPr>
          <w:spacing w:val="-7"/>
          <w:sz w:val="22"/>
          <w:szCs w:val="22"/>
        </w:rPr>
        <w:t xml:space="preserve"> </w:t>
      </w:r>
      <w:r w:rsidRPr="00E90FEE">
        <w:rPr>
          <w:sz w:val="22"/>
          <w:szCs w:val="22"/>
        </w:rPr>
        <w:t>for</w:t>
      </w:r>
      <w:r w:rsidRPr="00E90FEE">
        <w:rPr>
          <w:spacing w:val="-7"/>
          <w:sz w:val="22"/>
          <w:szCs w:val="22"/>
        </w:rPr>
        <w:t xml:space="preserve"> </w:t>
      </w:r>
      <w:r w:rsidRPr="00E90FEE">
        <w:rPr>
          <w:sz w:val="22"/>
          <w:szCs w:val="22"/>
        </w:rPr>
        <w:t>the requested reasonable</w:t>
      </w:r>
      <w:r w:rsidRPr="00E90FEE">
        <w:rPr>
          <w:spacing w:val="2"/>
          <w:sz w:val="22"/>
          <w:szCs w:val="22"/>
        </w:rPr>
        <w:t xml:space="preserve"> </w:t>
      </w:r>
      <w:r w:rsidRPr="00E90FEE">
        <w:rPr>
          <w:sz w:val="22"/>
          <w:szCs w:val="22"/>
        </w:rPr>
        <w:t>accommodation. The Housing Authority shall not require unnecessary information regarding the person’s disability such as the specific disability or the nature or extent of the</w:t>
      </w:r>
      <w:r w:rsidRPr="00E90FEE">
        <w:rPr>
          <w:spacing w:val="-12"/>
          <w:sz w:val="22"/>
          <w:szCs w:val="22"/>
        </w:rPr>
        <w:t xml:space="preserve"> </w:t>
      </w:r>
      <w:r w:rsidRPr="00E90FEE">
        <w:rPr>
          <w:sz w:val="22"/>
          <w:szCs w:val="22"/>
        </w:rPr>
        <w:t>disability.</w:t>
      </w:r>
    </w:p>
    <w:p w14:paraId="44EA8CBC" w14:textId="77777777" w:rsidR="00E90FEE" w:rsidRPr="00E90FEE" w:rsidRDefault="00E90FEE" w:rsidP="006E7149">
      <w:pPr>
        <w:pStyle w:val="BodyText"/>
        <w:numPr>
          <w:ilvl w:val="1"/>
          <w:numId w:val="4"/>
        </w:numPr>
        <w:spacing w:before="120" w:after="120" w:line="259" w:lineRule="auto"/>
        <w:jc w:val="both"/>
        <w:rPr>
          <w:sz w:val="22"/>
          <w:szCs w:val="22"/>
        </w:rPr>
      </w:pPr>
      <w:r w:rsidRPr="00E90FEE">
        <w:rPr>
          <w:sz w:val="22"/>
          <w:szCs w:val="22"/>
        </w:rPr>
        <w:t>Once approved for a reasonable accommodation, persons</w:t>
      </w:r>
      <w:r w:rsidRPr="00E90FEE">
        <w:rPr>
          <w:spacing w:val="-11"/>
          <w:sz w:val="22"/>
          <w:szCs w:val="22"/>
        </w:rPr>
        <w:t xml:space="preserve"> </w:t>
      </w:r>
      <w:r w:rsidRPr="00E90FEE">
        <w:rPr>
          <w:sz w:val="22"/>
          <w:szCs w:val="22"/>
        </w:rPr>
        <w:t>with</w:t>
      </w:r>
      <w:r w:rsidRPr="00E90FEE">
        <w:rPr>
          <w:spacing w:val="-10"/>
          <w:sz w:val="22"/>
          <w:szCs w:val="22"/>
        </w:rPr>
        <w:t xml:space="preserve"> </w:t>
      </w:r>
      <w:r w:rsidRPr="00E90FEE">
        <w:rPr>
          <w:sz w:val="22"/>
          <w:szCs w:val="22"/>
        </w:rPr>
        <w:t>a</w:t>
      </w:r>
      <w:r w:rsidRPr="00E90FEE">
        <w:rPr>
          <w:spacing w:val="-9"/>
          <w:sz w:val="22"/>
          <w:szCs w:val="22"/>
        </w:rPr>
        <w:t xml:space="preserve"> </w:t>
      </w:r>
      <w:r w:rsidRPr="00E90FEE">
        <w:rPr>
          <w:sz w:val="22"/>
          <w:szCs w:val="22"/>
        </w:rPr>
        <w:t>verified</w:t>
      </w:r>
      <w:r w:rsidRPr="00E90FEE">
        <w:rPr>
          <w:spacing w:val="-9"/>
          <w:sz w:val="22"/>
          <w:szCs w:val="22"/>
        </w:rPr>
        <w:t xml:space="preserve"> </w:t>
      </w:r>
      <w:r w:rsidRPr="00E90FEE">
        <w:rPr>
          <w:sz w:val="22"/>
          <w:szCs w:val="22"/>
        </w:rPr>
        <w:t>need</w:t>
      </w:r>
      <w:r w:rsidRPr="00E90FEE">
        <w:rPr>
          <w:spacing w:val="-9"/>
          <w:sz w:val="22"/>
          <w:szCs w:val="22"/>
        </w:rPr>
        <w:t xml:space="preserve"> </w:t>
      </w:r>
      <w:r w:rsidRPr="00E90FEE">
        <w:rPr>
          <w:sz w:val="22"/>
          <w:szCs w:val="22"/>
        </w:rPr>
        <w:t>a reasonable accommodation</w:t>
      </w:r>
      <w:r w:rsidRPr="00E90FEE">
        <w:rPr>
          <w:spacing w:val="-9"/>
          <w:sz w:val="22"/>
          <w:szCs w:val="22"/>
        </w:rPr>
        <w:t xml:space="preserve"> </w:t>
      </w:r>
      <w:r w:rsidRPr="00E90FEE">
        <w:rPr>
          <w:sz w:val="22"/>
          <w:szCs w:val="22"/>
        </w:rPr>
        <w:t>must</w:t>
      </w:r>
      <w:r w:rsidRPr="00E90FEE">
        <w:rPr>
          <w:spacing w:val="-5"/>
          <w:sz w:val="22"/>
          <w:szCs w:val="22"/>
        </w:rPr>
        <w:t xml:space="preserve"> </w:t>
      </w:r>
      <w:r w:rsidRPr="00E90FEE">
        <w:rPr>
          <w:sz w:val="22"/>
          <w:szCs w:val="22"/>
        </w:rPr>
        <w:t>submit</w:t>
      </w:r>
      <w:r w:rsidRPr="00E90FEE">
        <w:rPr>
          <w:spacing w:val="-6"/>
          <w:sz w:val="22"/>
          <w:szCs w:val="22"/>
        </w:rPr>
        <w:t xml:space="preserve"> </w:t>
      </w:r>
      <w:r w:rsidRPr="00E90FEE">
        <w:rPr>
          <w:sz w:val="22"/>
          <w:szCs w:val="22"/>
        </w:rPr>
        <w:t>a</w:t>
      </w:r>
      <w:r w:rsidRPr="00E90FEE">
        <w:rPr>
          <w:spacing w:val="-11"/>
          <w:sz w:val="22"/>
          <w:szCs w:val="22"/>
        </w:rPr>
        <w:t xml:space="preserve"> new </w:t>
      </w:r>
      <w:r w:rsidRPr="00E90FEE">
        <w:rPr>
          <w:sz w:val="22"/>
          <w:szCs w:val="22"/>
        </w:rPr>
        <w:t>Request</w:t>
      </w:r>
      <w:r w:rsidRPr="00E90FEE">
        <w:rPr>
          <w:spacing w:val="-10"/>
          <w:sz w:val="22"/>
          <w:szCs w:val="22"/>
        </w:rPr>
        <w:t xml:space="preserve"> </w:t>
      </w:r>
      <w:r w:rsidRPr="00E90FEE">
        <w:rPr>
          <w:sz w:val="22"/>
          <w:szCs w:val="22"/>
        </w:rPr>
        <w:t>for Reasonable Accommodation on a bi</w:t>
      </w:r>
      <w:r w:rsidR="00B9192F">
        <w:rPr>
          <w:sz w:val="22"/>
          <w:szCs w:val="22"/>
        </w:rPr>
        <w:t>e</w:t>
      </w:r>
      <w:r w:rsidRPr="00E90FEE">
        <w:rPr>
          <w:sz w:val="22"/>
          <w:szCs w:val="22"/>
        </w:rPr>
        <w:t>nn</w:t>
      </w:r>
      <w:r w:rsidR="00B9192F">
        <w:rPr>
          <w:sz w:val="22"/>
          <w:szCs w:val="22"/>
        </w:rPr>
        <w:t>i</w:t>
      </w:r>
      <w:r w:rsidRPr="00E90FEE">
        <w:rPr>
          <w:sz w:val="22"/>
          <w:szCs w:val="22"/>
        </w:rPr>
        <w:t xml:space="preserve">al basis in order for the accommodation to be re-verified. For example, if a request was approved on June 1, 2023, the client will need to submit a renewal of their accommodation by June 1, 2025. </w:t>
      </w:r>
    </w:p>
    <w:p w14:paraId="7525D159" w14:textId="77777777" w:rsidR="00E90FEE" w:rsidRPr="00E90FEE" w:rsidRDefault="00E90FEE" w:rsidP="006E7149">
      <w:pPr>
        <w:pStyle w:val="BodyText"/>
        <w:numPr>
          <w:ilvl w:val="1"/>
          <w:numId w:val="4"/>
        </w:numPr>
        <w:spacing w:before="120" w:after="120" w:line="259" w:lineRule="auto"/>
        <w:jc w:val="both"/>
        <w:rPr>
          <w:sz w:val="22"/>
          <w:szCs w:val="22"/>
        </w:rPr>
      </w:pPr>
      <w:r w:rsidRPr="00E90FEE">
        <w:rPr>
          <w:sz w:val="22"/>
          <w:szCs w:val="22"/>
        </w:rPr>
        <w:t>Verification of a person’s disability may be submitted by a knowledgeable third party.</w:t>
      </w:r>
    </w:p>
    <w:p w14:paraId="46DD475B" w14:textId="77777777" w:rsidR="00E90FEE" w:rsidRPr="00E90FEE" w:rsidRDefault="00E90FEE" w:rsidP="006E7149">
      <w:pPr>
        <w:pStyle w:val="ListParagraph"/>
        <w:widowControl w:val="0"/>
        <w:numPr>
          <w:ilvl w:val="0"/>
          <w:numId w:val="4"/>
        </w:numPr>
        <w:autoSpaceDE w:val="0"/>
        <w:autoSpaceDN w:val="0"/>
        <w:spacing w:before="240" w:after="120"/>
        <w:contextualSpacing w:val="0"/>
        <w:rPr>
          <w:rFonts w:cs="Arial"/>
          <w:b/>
          <w:bCs/>
        </w:rPr>
      </w:pPr>
      <w:r w:rsidRPr="00E90FEE">
        <w:rPr>
          <w:rFonts w:cs="Arial"/>
          <w:b/>
          <w:bCs/>
        </w:rPr>
        <w:t>Guidelines for Denying Reasonable Accommodation Requests</w:t>
      </w:r>
    </w:p>
    <w:p w14:paraId="320749FF" w14:textId="77777777" w:rsidR="00E90FEE" w:rsidRPr="00E90FEE" w:rsidRDefault="00E90FEE" w:rsidP="006E7149">
      <w:pPr>
        <w:pStyle w:val="BodyText"/>
        <w:numPr>
          <w:ilvl w:val="1"/>
          <w:numId w:val="13"/>
        </w:numPr>
        <w:spacing w:before="120" w:after="120" w:line="259" w:lineRule="auto"/>
        <w:jc w:val="both"/>
        <w:rPr>
          <w:sz w:val="22"/>
          <w:szCs w:val="22"/>
        </w:rPr>
      </w:pPr>
      <w:r w:rsidRPr="00E90FEE">
        <w:rPr>
          <w:sz w:val="22"/>
          <w:szCs w:val="22"/>
        </w:rPr>
        <w:t>Requested accommodations will not be approved if the person’s disability is not verified, the individual is not a person with a disability, or the requested accommodation is not necessary and reasonable based on the health care provider’s responses.</w:t>
      </w:r>
    </w:p>
    <w:p w14:paraId="5CAE909B" w14:textId="77777777" w:rsidR="00E90FEE" w:rsidRPr="00E90FEE" w:rsidRDefault="00E90FEE" w:rsidP="006E7149">
      <w:pPr>
        <w:pStyle w:val="BodyText"/>
        <w:widowControl/>
        <w:numPr>
          <w:ilvl w:val="1"/>
          <w:numId w:val="4"/>
        </w:numPr>
        <w:spacing w:before="120" w:after="120" w:line="259" w:lineRule="auto"/>
        <w:jc w:val="both"/>
        <w:rPr>
          <w:sz w:val="22"/>
          <w:szCs w:val="22"/>
        </w:rPr>
      </w:pPr>
      <w:r w:rsidRPr="00E90FEE">
        <w:rPr>
          <w:sz w:val="22"/>
          <w:szCs w:val="22"/>
        </w:rPr>
        <w:t>Additionally,</w:t>
      </w:r>
      <w:r w:rsidRPr="00E90FEE">
        <w:rPr>
          <w:spacing w:val="-17"/>
          <w:sz w:val="22"/>
          <w:szCs w:val="22"/>
        </w:rPr>
        <w:t xml:space="preserve"> </w:t>
      </w:r>
      <w:r w:rsidRPr="00E90FEE">
        <w:rPr>
          <w:sz w:val="22"/>
          <w:szCs w:val="22"/>
        </w:rPr>
        <w:t>requested</w:t>
      </w:r>
      <w:r w:rsidRPr="00E90FEE">
        <w:rPr>
          <w:spacing w:val="-12"/>
          <w:sz w:val="22"/>
          <w:szCs w:val="22"/>
        </w:rPr>
        <w:t xml:space="preserve"> </w:t>
      </w:r>
      <w:r w:rsidRPr="00E90FEE">
        <w:rPr>
          <w:sz w:val="22"/>
          <w:szCs w:val="22"/>
        </w:rPr>
        <w:t>accommodations</w:t>
      </w:r>
      <w:r w:rsidRPr="00E90FEE">
        <w:rPr>
          <w:spacing w:val="-15"/>
          <w:sz w:val="22"/>
          <w:szCs w:val="22"/>
        </w:rPr>
        <w:t xml:space="preserve"> </w:t>
      </w:r>
      <w:r w:rsidRPr="00E90FEE">
        <w:rPr>
          <w:sz w:val="22"/>
          <w:szCs w:val="22"/>
        </w:rPr>
        <w:t>will</w:t>
      </w:r>
      <w:r w:rsidRPr="00E90FEE">
        <w:rPr>
          <w:spacing w:val="-16"/>
          <w:sz w:val="22"/>
          <w:szCs w:val="22"/>
        </w:rPr>
        <w:t xml:space="preserve"> </w:t>
      </w:r>
      <w:r w:rsidRPr="00E90FEE">
        <w:rPr>
          <w:sz w:val="22"/>
          <w:szCs w:val="22"/>
        </w:rPr>
        <w:t>not</w:t>
      </w:r>
      <w:r w:rsidRPr="00E90FEE">
        <w:rPr>
          <w:spacing w:val="-18"/>
          <w:sz w:val="22"/>
          <w:szCs w:val="22"/>
        </w:rPr>
        <w:t xml:space="preserve"> </w:t>
      </w:r>
      <w:r w:rsidRPr="00E90FEE">
        <w:rPr>
          <w:sz w:val="22"/>
          <w:szCs w:val="22"/>
        </w:rPr>
        <w:t>be</w:t>
      </w:r>
      <w:r w:rsidRPr="00E90FEE">
        <w:rPr>
          <w:spacing w:val="-13"/>
          <w:sz w:val="22"/>
          <w:szCs w:val="22"/>
        </w:rPr>
        <w:t xml:space="preserve"> </w:t>
      </w:r>
      <w:r w:rsidRPr="00E90FEE">
        <w:rPr>
          <w:sz w:val="22"/>
          <w:szCs w:val="22"/>
        </w:rPr>
        <w:t>approved</w:t>
      </w:r>
      <w:r w:rsidRPr="00E90FEE">
        <w:rPr>
          <w:spacing w:val="-16"/>
          <w:sz w:val="22"/>
          <w:szCs w:val="22"/>
        </w:rPr>
        <w:t xml:space="preserve"> </w:t>
      </w:r>
      <w:r w:rsidRPr="00E90FEE">
        <w:rPr>
          <w:sz w:val="22"/>
          <w:szCs w:val="22"/>
        </w:rPr>
        <w:t>if</w:t>
      </w:r>
      <w:r w:rsidRPr="00E90FEE">
        <w:rPr>
          <w:spacing w:val="-15"/>
          <w:sz w:val="22"/>
          <w:szCs w:val="22"/>
        </w:rPr>
        <w:t xml:space="preserve"> </w:t>
      </w:r>
      <w:r w:rsidRPr="00E90FEE">
        <w:rPr>
          <w:sz w:val="22"/>
          <w:szCs w:val="22"/>
        </w:rPr>
        <w:t>one</w:t>
      </w:r>
      <w:r w:rsidRPr="00E90FEE">
        <w:rPr>
          <w:spacing w:val="-15"/>
          <w:sz w:val="22"/>
          <w:szCs w:val="22"/>
        </w:rPr>
        <w:t xml:space="preserve"> </w:t>
      </w:r>
      <w:r w:rsidRPr="00E90FEE">
        <w:rPr>
          <w:sz w:val="22"/>
          <w:szCs w:val="22"/>
        </w:rPr>
        <w:t>of</w:t>
      </w:r>
      <w:r w:rsidRPr="00E90FEE">
        <w:rPr>
          <w:spacing w:val="-16"/>
          <w:sz w:val="22"/>
          <w:szCs w:val="22"/>
        </w:rPr>
        <w:t xml:space="preserve"> </w:t>
      </w:r>
      <w:r w:rsidRPr="00E90FEE">
        <w:rPr>
          <w:sz w:val="22"/>
          <w:szCs w:val="22"/>
        </w:rPr>
        <w:t>the</w:t>
      </w:r>
      <w:r w:rsidRPr="00E90FEE">
        <w:rPr>
          <w:spacing w:val="-18"/>
          <w:sz w:val="22"/>
          <w:szCs w:val="22"/>
        </w:rPr>
        <w:t xml:space="preserve"> </w:t>
      </w:r>
      <w:r w:rsidRPr="00E90FEE">
        <w:rPr>
          <w:sz w:val="22"/>
          <w:szCs w:val="22"/>
        </w:rPr>
        <w:t>following</w:t>
      </w:r>
      <w:r w:rsidRPr="00E90FEE">
        <w:rPr>
          <w:spacing w:val="-15"/>
          <w:sz w:val="22"/>
          <w:szCs w:val="22"/>
        </w:rPr>
        <w:t xml:space="preserve"> </w:t>
      </w:r>
      <w:r w:rsidRPr="00E90FEE">
        <w:rPr>
          <w:sz w:val="22"/>
          <w:szCs w:val="22"/>
        </w:rPr>
        <w:t>would</w:t>
      </w:r>
      <w:r w:rsidRPr="00E90FEE">
        <w:rPr>
          <w:spacing w:val="-16"/>
          <w:sz w:val="22"/>
          <w:szCs w:val="22"/>
        </w:rPr>
        <w:t xml:space="preserve"> </w:t>
      </w:r>
      <w:r w:rsidRPr="00E90FEE">
        <w:rPr>
          <w:sz w:val="22"/>
          <w:szCs w:val="22"/>
        </w:rPr>
        <w:t>occur as a result of the</w:t>
      </w:r>
      <w:r w:rsidRPr="00E90FEE">
        <w:rPr>
          <w:spacing w:val="-3"/>
          <w:sz w:val="22"/>
          <w:szCs w:val="22"/>
        </w:rPr>
        <w:t xml:space="preserve"> </w:t>
      </w:r>
      <w:r w:rsidRPr="00E90FEE">
        <w:rPr>
          <w:sz w:val="22"/>
          <w:szCs w:val="22"/>
        </w:rPr>
        <w:t>approval:</w:t>
      </w:r>
    </w:p>
    <w:p w14:paraId="2FEE6366" w14:textId="77777777" w:rsidR="00E90FEE" w:rsidRPr="00E90FEE" w:rsidRDefault="00E90FEE" w:rsidP="006E7149">
      <w:pPr>
        <w:pStyle w:val="ListParagraph"/>
        <w:widowControl w:val="0"/>
        <w:numPr>
          <w:ilvl w:val="2"/>
          <w:numId w:val="4"/>
        </w:numPr>
        <w:tabs>
          <w:tab w:val="left" w:pos="821"/>
        </w:tabs>
        <w:autoSpaceDE w:val="0"/>
        <w:autoSpaceDN w:val="0"/>
        <w:spacing w:before="120" w:after="120"/>
        <w:contextualSpacing w:val="0"/>
        <w:rPr>
          <w:rFonts w:cs="Arial"/>
        </w:rPr>
      </w:pPr>
      <w:r w:rsidRPr="00E90FEE">
        <w:rPr>
          <w:rFonts w:cs="Arial"/>
        </w:rPr>
        <w:t>A violation of state and/or federal</w:t>
      </w:r>
      <w:r w:rsidRPr="00E90FEE">
        <w:rPr>
          <w:rFonts w:cs="Arial"/>
          <w:spacing w:val="2"/>
        </w:rPr>
        <w:t xml:space="preserve"> </w:t>
      </w:r>
      <w:r w:rsidRPr="00E90FEE">
        <w:rPr>
          <w:rFonts w:cs="Arial"/>
        </w:rPr>
        <w:t>law;</w:t>
      </w:r>
    </w:p>
    <w:p w14:paraId="676818C5" w14:textId="77777777" w:rsidR="00E90FEE" w:rsidRPr="00E90FEE" w:rsidRDefault="00E90FEE" w:rsidP="006E7149">
      <w:pPr>
        <w:pStyle w:val="ListParagraph"/>
        <w:widowControl w:val="0"/>
        <w:numPr>
          <w:ilvl w:val="2"/>
          <w:numId w:val="4"/>
        </w:numPr>
        <w:tabs>
          <w:tab w:val="left" w:pos="821"/>
        </w:tabs>
        <w:autoSpaceDE w:val="0"/>
        <w:autoSpaceDN w:val="0"/>
        <w:spacing w:before="120" w:after="120"/>
        <w:contextualSpacing w:val="0"/>
        <w:rPr>
          <w:rFonts w:cs="Arial"/>
        </w:rPr>
      </w:pPr>
      <w:r w:rsidRPr="00E90FEE">
        <w:rPr>
          <w:rFonts w:cs="Arial"/>
        </w:rPr>
        <w:t>A fundamental alteration in the nature of the public housing</w:t>
      </w:r>
      <w:r w:rsidRPr="00E90FEE">
        <w:rPr>
          <w:rFonts w:cs="Arial"/>
          <w:spacing w:val="-11"/>
        </w:rPr>
        <w:t xml:space="preserve"> </w:t>
      </w:r>
      <w:r w:rsidRPr="00E90FEE">
        <w:rPr>
          <w:rFonts w:cs="Arial"/>
        </w:rPr>
        <w:t>program;</w:t>
      </w:r>
    </w:p>
    <w:p w14:paraId="1F8B19CE" w14:textId="77777777" w:rsidR="00E90FEE" w:rsidRPr="00E90FEE" w:rsidRDefault="00E90FEE" w:rsidP="006E7149">
      <w:pPr>
        <w:pStyle w:val="ListParagraph"/>
        <w:widowControl w:val="0"/>
        <w:numPr>
          <w:ilvl w:val="2"/>
          <w:numId w:val="4"/>
        </w:numPr>
        <w:tabs>
          <w:tab w:val="left" w:pos="821"/>
        </w:tabs>
        <w:autoSpaceDE w:val="0"/>
        <w:autoSpaceDN w:val="0"/>
        <w:spacing w:before="120" w:after="120"/>
        <w:contextualSpacing w:val="0"/>
        <w:rPr>
          <w:rFonts w:cs="Arial"/>
        </w:rPr>
      </w:pPr>
      <w:r w:rsidRPr="00E90FEE">
        <w:rPr>
          <w:rFonts w:cs="Arial"/>
        </w:rPr>
        <w:t>An undue financial and administrative burden to the Housing</w:t>
      </w:r>
      <w:r w:rsidRPr="00E90FEE">
        <w:rPr>
          <w:rFonts w:cs="Arial"/>
          <w:spacing w:val="-10"/>
        </w:rPr>
        <w:t xml:space="preserve"> </w:t>
      </w:r>
      <w:r w:rsidRPr="00E90FEE">
        <w:rPr>
          <w:rFonts w:cs="Arial"/>
        </w:rPr>
        <w:t>Authority;</w:t>
      </w:r>
    </w:p>
    <w:p w14:paraId="3669BE51" w14:textId="77777777" w:rsidR="00E90FEE" w:rsidRPr="00E90FEE" w:rsidRDefault="00E90FEE" w:rsidP="006E7149">
      <w:pPr>
        <w:pStyle w:val="ListParagraph"/>
        <w:widowControl w:val="0"/>
        <w:numPr>
          <w:ilvl w:val="2"/>
          <w:numId w:val="4"/>
        </w:numPr>
        <w:tabs>
          <w:tab w:val="left" w:pos="821"/>
        </w:tabs>
        <w:autoSpaceDE w:val="0"/>
        <w:autoSpaceDN w:val="0"/>
        <w:spacing w:before="120" w:after="120"/>
        <w:contextualSpacing w:val="0"/>
        <w:rPr>
          <w:rFonts w:cs="Arial"/>
        </w:rPr>
      </w:pPr>
      <w:r w:rsidRPr="00E90FEE">
        <w:rPr>
          <w:rFonts w:cs="Arial"/>
        </w:rPr>
        <w:t>A structurally impracticable alteration;</w:t>
      </w:r>
      <w:r w:rsidRPr="00E90FEE">
        <w:rPr>
          <w:rFonts w:cs="Arial"/>
          <w:spacing w:val="5"/>
        </w:rPr>
        <w:t xml:space="preserve"> </w:t>
      </w:r>
      <w:r w:rsidRPr="00E90FEE">
        <w:rPr>
          <w:rFonts w:cs="Arial"/>
        </w:rPr>
        <w:t>or</w:t>
      </w:r>
    </w:p>
    <w:p w14:paraId="11B6F209" w14:textId="77777777" w:rsidR="00E90FEE" w:rsidRPr="00E90FEE" w:rsidRDefault="00E90FEE" w:rsidP="006E7149">
      <w:pPr>
        <w:pStyle w:val="ListParagraph"/>
        <w:widowControl w:val="0"/>
        <w:numPr>
          <w:ilvl w:val="2"/>
          <w:numId w:val="4"/>
        </w:numPr>
        <w:tabs>
          <w:tab w:val="left" w:pos="821"/>
        </w:tabs>
        <w:autoSpaceDE w:val="0"/>
        <w:autoSpaceDN w:val="0"/>
        <w:spacing w:before="120" w:after="120"/>
        <w:contextualSpacing w:val="0"/>
        <w:rPr>
          <w:rFonts w:cs="Arial"/>
        </w:rPr>
      </w:pPr>
      <w:r w:rsidRPr="00E90FEE">
        <w:rPr>
          <w:rFonts w:cs="Arial"/>
        </w:rPr>
        <w:t>A housing unit alteration requires the removal or alteration of a load-bearing structural member.</w:t>
      </w:r>
    </w:p>
    <w:p w14:paraId="326FF71F" w14:textId="77777777" w:rsidR="00E90FEE" w:rsidRPr="00E90FEE" w:rsidRDefault="00E90FEE" w:rsidP="006E7149">
      <w:pPr>
        <w:pStyle w:val="ListParagraph"/>
        <w:widowControl w:val="0"/>
        <w:numPr>
          <w:ilvl w:val="0"/>
          <w:numId w:val="4"/>
        </w:numPr>
        <w:autoSpaceDE w:val="0"/>
        <w:autoSpaceDN w:val="0"/>
        <w:spacing w:before="240" w:after="120"/>
        <w:contextualSpacing w:val="0"/>
        <w:rPr>
          <w:rFonts w:cs="Arial"/>
          <w:b/>
          <w:bCs/>
        </w:rPr>
      </w:pPr>
      <w:r w:rsidRPr="00E90FEE">
        <w:rPr>
          <w:rFonts w:cs="Arial"/>
          <w:b/>
          <w:bCs/>
        </w:rPr>
        <w:t>Public Housing Development Resident Transfers</w:t>
      </w:r>
    </w:p>
    <w:p w14:paraId="0C682E6A" w14:textId="77777777" w:rsidR="00E90FEE" w:rsidRPr="00E90FEE" w:rsidRDefault="00E90FEE" w:rsidP="006E7149">
      <w:pPr>
        <w:pStyle w:val="BodyText"/>
        <w:numPr>
          <w:ilvl w:val="1"/>
          <w:numId w:val="14"/>
        </w:numPr>
        <w:spacing w:before="120" w:after="120" w:line="259" w:lineRule="auto"/>
        <w:jc w:val="both"/>
        <w:rPr>
          <w:sz w:val="22"/>
          <w:szCs w:val="22"/>
        </w:rPr>
      </w:pPr>
      <w:r w:rsidRPr="00E90FEE">
        <w:rPr>
          <w:sz w:val="22"/>
          <w:szCs w:val="22"/>
        </w:rPr>
        <w:t xml:space="preserve">If the Legal Compliance Officer determines that a resident has a verified need for a modified unit, the Housing Authority may offer the resident the opportunity to transfer to an available unit with the required accessibility features. </w:t>
      </w:r>
    </w:p>
    <w:p w14:paraId="13C95D4C" w14:textId="77777777" w:rsidR="00E90FEE" w:rsidRPr="00E90FEE" w:rsidRDefault="00E90FEE" w:rsidP="006E7149">
      <w:pPr>
        <w:pStyle w:val="BodyText"/>
        <w:numPr>
          <w:ilvl w:val="1"/>
          <w:numId w:val="4"/>
        </w:numPr>
        <w:spacing w:before="120" w:after="120" w:line="259" w:lineRule="auto"/>
        <w:jc w:val="both"/>
        <w:rPr>
          <w:sz w:val="22"/>
          <w:szCs w:val="22"/>
        </w:rPr>
      </w:pPr>
      <w:r w:rsidRPr="00E90FEE">
        <w:rPr>
          <w:sz w:val="22"/>
          <w:szCs w:val="22"/>
        </w:rPr>
        <w:t xml:space="preserve">If the resident rejects two (2) offers to transfer to an available unit with the necessary accessibility features, the resident’s name will be placed at the bottom of the waiting list for an accessible housing unit with the required number of bedrooms. </w:t>
      </w:r>
    </w:p>
    <w:p w14:paraId="2F0CD659" w14:textId="77777777" w:rsidR="00E90FEE" w:rsidRPr="00E90FEE" w:rsidRDefault="00E90FEE" w:rsidP="006E7149">
      <w:pPr>
        <w:pStyle w:val="BodyText"/>
        <w:numPr>
          <w:ilvl w:val="1"/>
          <w:numId w:val="4"/>
        </w:numPr>
        <w:spacing w:before="120" w:after="120" w:line="259" w:lineRule="auto"/>
        <w:jc w:val="both"/>
        <w:rPr>
          <w:sz w:val="22"/>
          <w:szCs w:val="22"/>
        </w:rPr>
      </w:pPr>
      <w:r w:rsidRPr="00E90FEE">
        <w:rPr>
          <w:sz w:val="22"/>
          <w:szCs w:val="22"/>
        </w:rPr>
        <w:t>The</w:t>
      </w:r>
      <w:r w:rsidRPr="00E90FEE">
        <w:rPr>
          <w:spacing w:val="-16"/>
          <w:sz w:val="22"/>
          <w:szCs w:val="22"/>
        </w:rPr>
        <w:t xml:space="preserve"> </w:t>
      </w:r>
      <w:r w:rsidRPr="00E90FEE">
        <w:rPr>
          <w:sz w:val="22"/>
          <w:szCs w:val="22"/>
        </w:rPr>
        <w:t>Housing</w:t>
      </w:r>
      <w:r w:rsidRPr="00E90FEE">
        <w:rPr>
          <w:spacing w:val="-15"/>
          <w:sz w:val="22"/>
          <w:szCs w:val="22"/>
        </w:rPr>
        <w:t xml:space="preserve"> </w:t>
      </w:r>
      <w:r w:rsidRPr="00E90FEE">
        <w:rPr>
          <w:sz w:val="22"/>
          <w:szCs w:val="22"/>
        </w:rPr>
        <w:t>Authority</w:t>
      </w:r>
      <w:r w:rsidRPr="00E90FEE">
        <w:rPr>
          <w:spacing w:val="-13"/>
          <w:sz w:val="22"/>
          <w:szCs w:val="22"/>
        </w:rPr>
        <w:t xml:space="preserve"> </w:t>
      </w:r>
      <w:r w:rsidRPr="00E90FEE">
        <w:rPr>
          <w:sz w:val="22"/>
          <w:szCs w:val="22"/>
        </w:rPr>
        <w:t>is</w:t>
      </w:r>
      <w:r w:rsidRPr="00E90FEE">
        <w:rPr>
          <w:spacing w:val="-15"/>
          <w:sz w:val="22"/>
          <w:szCs w:val="22"/>
        </w:rPr>
        <w:t xml:space="preserve"> </w:t>
      </w:r>
      <w:r w:rsidRPr="00E90FEE">
        <w:rPr>
          <w:sz w:val="22"/>
          <w:szCs w:val="22"/>
        </w:rPr>
        <w:t>financially</w:t>
      </w:r>
      <w:r w:rsidRPr="00E90FEE">
        <w:rPr>
          <w:spacing w:val="-13"/>
          <w:sz w:val="22"/>
          <w:szCs w:val="22"/>
        </w:rPr>
        <w:t xml:space="preserve"> </w:t>
      </w:r>
      <w:r w:rsidRPr="00E90FEE">
        <w:rPr>
          <w:sz w:val="22"/>
          <w:szCs w:val="22"/>
        </w:rPr>
        <w:t>responsible</w:t>
      </w:r>
      <w:r w:rsidRPr="00E90FEE">
        <w:rPr>
          <w:spacing w:val="-14"/>
          <w:sz w:val="22"/>
          <w:szCs w:val="22"/>
        </w:rPr>
        <w:t xml:space="preserve"> </w:t>
      </w:r>
      <w:r w:rsidRPr="00E90FEE">
        <w:rPr>
          <w:sz w:val="22"/>
          <w:szCs w:val="22"/>
        </w:rPr>
        <w:t>for</w:t>
      </w:r>
      <w:r w:rsidRPr="00E90FEE">
        <w:rPr>
          <w:spacing w:val="-11"/>
          <w:sz w:val="22"/>
          <w:szCs w:val="22"/>
        </w:rPr>
        <w:t xml:space="preserve"> </w:t>
      </w:r>
      <w:r w:rsidRPr="00E90FEE">
        <w:rPr>
          <w:sz w:val="22"/>
          <w:szCs w:val="22"/>
        </w:rPr>
        <w:t>reasonable</w:t>
      </w:r>
      <w:r w:rsidRPr="00E90FEE">
        <w:rPr>
          <w:spacing w:val="-12"/>
          <w:sz w:val="22"/>
          <w:szCs w:val="22"/>
        </w:rPr>
        <w:t xml:space="preserve"> </w:t>
      </w:r>
      <w:r w:rsidRPr="00E90FEE">
        <w:rPr>
          <w:sz w:val="22"/>
          <w:szCs w:val="22"/>
        </w:rPr>
        <w:t>moving-related</w:t>
      </w:r>
      <w:r w:rsidRPr="00E90FEE">
        <w:rPr>
          <w:spacing w:val="-13"/>
          <w:sz w:val="22"/>
          <w:szCs w:val="22"/>
        </w:rPr>
        <w:t xml:space="preserve"> </w:t>
      </w:r>
      <w:r w:rsidRPr="00E90FEE">
        <w:rPr>
          <w:sz w:val="22"/>
          <w:szCs w:val="22"/>
        </w:rPr>
        <w:t>expenses</w:t>
      </w:r>
      <w:r w:rsidRPr="00E90FEE">
        <w:rPr>
          <w:spacing w:val="-14"/>
          <w:sz w:val="22"/>
          <w:szCs w:val="22"/>
        </w:rPr>
        <w:t xml:space="preserve"> </w:t>
      </w:r>
      <w:r w:rsidRPr="00E90FEE">
        <w:rPr>
          <w:sz w:val="22"/>
          <w:szCs w:val="22"/>
        </w:rPr>
        <w:t>incurred by the resident with the disability who needs to transfer to an accessible unit and the resident without a disability who needs to move out of the accessible unit. This obligation is part of the Housing Authority’s duty to accommodate its residents with disabilities and provide accessible units with accessible</w:t>
      </w:r>
      <w:r w:rsidRPr="00E90FEE">
        <w:rPr>
          <w:spacing w:val="-9"/>
          <w:sz w:val="22"/>
          <w:szCs w:val="22"/>
        </w:rPr>
        <w:t xml:space="preserve"> </w:t>
      </w:r>
      <w:r w:rsidRPr="00E90FEE">
        <w:rPr>
          <w:sz w:val="22"/>
          <w:szCs w:val="22"/>
        </w:rPr>
        <w:t>features.</w:t>
      </w:r>
    </w:p>
    <w:p w14:paraId="1A87CE7B" w14:textId="77777777" w:rsidR="00E90FEE" w:rsidRPr="00E90FEE" w:rsidRDefault="00E90FEE" w:rsidP="006E7149">
      <w:pPr>
        <w:pStyle w:val="ListParagraph"/>
        <w:widowControl w:val="0"/>
        <w:numPr>
          <w:ilvl w:val="0"/>
          <w:numId w:val="4"/>
        </w:numPr>
        <w:autoSpaceDE w:val="0"/>
        <w:autoSpaceDN w:val="0"/>
        <w:spacing w:before="240" w:after="120"/>
        <w:contextualSpacing w:val="0"/>
        <w:rPr>
          <w:rFonts w:cs="Arial"/>
        </w:rPr>
      </w:pPr>
      <w:r w:rsidRPr="00E90FEE">
        <w:rPr>
          <w:rFonts w:cs="Arial"/>
          <w:b/>
          <w:bCs/>
        </w:rPr>
        <w:t>Right to Appeal Denial of Request for a Reasonable Accommodation</w:t>
      </w:r>
    </w:p>
    <w:p w14:paraId="6708F65C" w14:textId="77777777" w:rsidR="00E90FEE" w:rsidRPr="00E90FEE" w:rsidRDefault="00E90FEE" w:rsidP="006E7149">
      <w:pPr>
        <w:pStyle w:val="BodyText"/>
        <w:numPr>
          <w:ilvl w:val="1"/>
          <w:numId w:val="15"/>
        </w:numPr>
        <w:spacing w:before="120" w:after="120" w:line="259" w:lineRule="auto"/>
        <w:jc w:val="both"/>
        <w:rPr>
          <w:sz w:val="22"/>
          <w:szCs w:val="22"/>
        </w:rPr>
      </w:pPr>
      <w:r w:rsidRPr="00E90FEE">
        <w:rPr>
          <w:sz w:val="22"/>
          <w:szCs w:val="22"/>
        </w:rPr>
        <w:t>If</w:t>
      </w:r>
      <w:r w:rsidRPr="00E90FEE">
        <w:rPr>
          <w:spacing w:val="-8"/>
          <w:sz w:val="22"/>
          <w:szCs w:val="22"/>
        </w:rPr>
        <w:t xml:space="preserve"> </w:t>
      </w:r>
      <w:r w:rsidRPr="00E90FEE">
        <w:rPr>
          <w:sz w:val="22"/>
          <w:szCs w:val="22"/>
        </w:rPr>
        <w:t>the</w:t>
      </w:r>
      <w:r w:rsidRPr="00E90FEE">
        <w:rPr>
          <w:spacing w:val="-8"/>
          <w:sz w:val="22"/>
          <w:szCs w:val="22"/>
        </w:rPr>
        <w:t xml:space="preserve"> </w:t>
      </w:r>
      <w:r w:rsidRPr="00E90FEE">
        <w:rPr>
          <w:sz w:val="22"/>
          <w:szCs w:val="22"/>
        </w:rPr>
        <w:t>request</w:t>
      </w:r>
      <w:r w:rsidRPr="00E90FEE">
        <w:rPr>
          <w:spacing w:val="-10"/>
          <w:sz w:val="22"/>
          <w:szCs w:val="22"/>
        </w:rPr>
        <w:t xml:space="preserve"> </w:t>
      </w:r>
      <w:r w:rsidRPr="00E90FEE">
        <w:rPr>
          <w:sz w:val="22"/>
          <w:szCs w:val="22"/>
        </w:rPr>
        <w:t>for</w:t>
      </w:r>
      <w:r w:rsidRPr="00E90FEE">
        <w:rPr>
          <w:spacing w:val="-6"/>
          <w:sz w:val="22"/>
          <w:szCs w:val="22"/>
        </w:rPr>
        <w:t xml:space="preserve"> </w:t>
      </w:r>
      <w:r w:rsidRPr="00E90FEE">
        <w:rPr>
          <w:sz w:val="22"/>
          <w:szCs w:val="22"/>
        </w:rPr>
        <w:t>a</w:t>
      </w:r>
      <w:r w:rsidRPr="00E90FEE">
        <w:rPr>
          <w:spacing w:val="-9"/>
          <w:sz w:val="22"/>
          <w:szCs w:val="22"/>
        </w:rPr>
        <w:t xml:space="preserve"> </w:t>
      </w:r>
      <w:r w:rsidRPr="00E90FEE">
        <w:rPr>
          <w:sz w:val="22"/>
          <w:szCs w:val="22"/>
        </w:rPr>
        <w:t>reasonable</w:t>
      </w:r>
      <w:r w:rsidRPr="00E90FEE">
        <w:rPr>
          <w:spacing w:val="-7"/>
          <w:sz w:val="22"/>
          <w:szCs w:val="22"/>
        </w:rPr>
        <w:t xml:space="preserve"> </w:t>
      </w:r>
      <w:r w:rsidRPr="00E90FEE">
        <w:rPr>
          <w:sz w:val="22"/>
          <w:szCs w:val="22"/>
        </w:rPr>
        <w:t>accommodation</w:t>
      </w:r>
      <w:r w:rsidRPr="00E90FEE">
        <w:rPr>
          <w:spacing w:val="-6"/>
          <w:sz w:val="22"/>
          <w:szCs w:val="22"/>
        </w:rPr>
        <w:t xml:space="preserve"> </w:t>
      </w:r>
      <w:r w:rsidRPr="00E90FEE">
        <w:rPr>
          <w:sz w:val="22"/>
          <w:szCs w:val="22"/>
        </w:rPr>
        <w:t>is</w:t>
      </w:r>
      <w:r w:rsidRPr="00E90FEE">
        <w:rPr>
          <w:spacing w:val="-10"/>
          <w:sz w:val="22"/>
          <w:szCs w:val="22"/>
        </w:rPr>
        <w:t xml:space="preserve"> </w:t>
      </w:r>
      <w:r w:rsidRPr="00E90FEE">
        <w:rPr>
          <w:sz w:val="22"/>
          <w:szCs w:val="22"/>
        </w:rPr>
        <w:t>denied,</w:t>
      </w:r>
      <w:r w:rsidRPr="00E90FEE">
        <w:rPr>
          <w:spacing w:val="-10"/>
          <w:sz w:val="22"/>
          <w:szCs w:val="22"/>
        </w:rPr>
        <w:t xml:space="preserve"> </w:t>
      </w:r>
      <w:r w:rsidRPr="00E90FEE">
        <w:rPr>
          <w:sz w:val="22"/>
          <w:szCs w:val="22"/>
        </w:rPr>
        <w:t>the</w:t>
      </w:r>
      <w:r w:rsidRPr="00E90FEE">
        <w:rPr>
          <w:spacing w:val="-7"/>
          <w:sz w:val="22"/>
          <w:szCs w:val="22"/>
        </w:rPr>
        <w:t xml:space="preserve"> </w:t>
      </w:r>
      <w:r w:rsidRPr="00E90FEE">
        <w:rPr>
          <w:sz w:val="22"/>
          <w:szCs w:val="22"/>
        </w:rPr>
        <w:t>requester</w:t>
      </w:r>
      <w:r w:rsidRPr="00E90FEE">
        <w:rPr>
          <w:spacing w:val="-7"/>
          <w:sz w:val="22"/>
          <w:szCs w:val="22"/>
        </w:rPr>
        <w:t xml:space="preserve"> </w:t>
      </w:r>
      <w:r w:rsidRPr="00E90FEE">
        <w:rPr>
          <w:sz w:val="22"/>
          <w:szCs w:val="22"/>
        </w:rPr>
        <w:t>may</w:t>
      </w:r>
      <w:r w:rsidRPr="00E90FEE">
        <w:rPr>
          <w:spacing w:val="-7"/>
          <w:sz w:val="22"/>
          <w:szCs w:val="22"/>
        </w:rPr>
        <w:t xml:space="preserve"> </w:t>
      </w:r>
      <w:r w:rsidRPr="00E90FEE">
        <w:rPr>
          <w:sz w:val="22"/>
          <w:szCs w:val="22"/>
        </w:rPr>
        <w:t>file</w:t>
      </w:r>
      <w:r w:rsidRPr="00E90FEE">
        <w:rPr>
          <w:spacing w:val="-7"/>
          <w:sz w:val="22"/>
          <w:szCs w:val="22"/>
        </w:rPr>
        <w:t xml:space="preserve"> </w:t>
      </w:r>
      <w:r w:rsidRPr="00E90FEE">
        <w:rPr>
          <w:sz w:val="22"/>
          <w:szCs w:val="22"/>
        </w:rPr>
        <w:t>a</w:t>
      </w:r>
      <w:r w:rsidRPr="00E90FEE">
        <w:rPr>
          <w:spacing w:val="-8"/>
          <w:sz w:val="22"/>
          <w:szCs w:val="22"/>
        </w:rPr>
        <w:t xml:space="preserve"> </w:t>
      </w:r>
      <w:r w:rsidRPr="00E90FEE">
        <w:rPr>
          <w:sz w:val="22"/>
          <w:szCs w:val="22"/>
        </w:rPr>
        <w:t>written</w:t>
      </w:r>
      <w:r w:rsidRPr="00E90FEE">
        <w:rPr>
          <w:spacing w:val="-7"/>
          <w:sz w:val="22"/>
          <w:szCs w:val="22"/>
        </w:rPr>
        <w:t xml:space="preserve"> </w:t>
      </w:r>
      <w:r w:rsidRPr="00E90FEE">
        <w:rPr>
          <w:sz w:val="22"/>
          <w:szCs w:val="22"/>
        </w:rPr>
        <w:t xml:space="preserve">appeal of the determination by the Legal Compliance Officer. </w:t>
      </w:r>
    </w:p>
    <w:p w14:paraId="5DE011AB" w14:textId="77777777" w:rsidR="00E90FEE" w:rsidRPr="00E90FEE" w:rsidRDefault="00E90FEE" w:rsidP="006E7149">
      <w:pPr>
        <w:pStyle w:val="BodyText"/>
        <w:numPr>
          <w:ilvl w:val="1"/>
          <w:numId w:val="4"/>
        </w:numPr>
        <w:spacing w:before="120" w:after="120" w:line="259" w:lineRule="auto"/>
        <w:jc w:val="both"/>
        <w:rPr>
          <w:sz w:val="22"/>
          <w:szCs w:val="22"/>
        </w:rPr>
      </w:pPr>
      <w:r w:rsidRPr="00E90FEE">
        <w:rPr>
          <w:sz w:val="22"/>
          <w:szCs w:val="22"/>
        </w:rPr>
        <w:t xml:space="preserve">The written appeal must be submitted to the Houston Housing Authority within fifteen (15) calendar days from the decision date in order to receive an informal hearing.  </w:t>
      </w:r>
    </w:p>
    <w:p w14:paraId="7812BCB0" w14:textId="77777777" w:rsidR="00E90FEE" w:rsidRPr="00E90FEE" w:rsidRDefault="00E90FEE" w:rsidP="006E7149">
      <w:pPr>
        <w:pStyle w:val="BodyText"/>
        <w:numPr>
          <w:ilvl w:val="1"/>
          <w:numId w:val="4"/>
        </w:numPr>
        <w:spacing w:before="120" w:after="120" w:line="259" w:lineRule="auto"/>
        <w:jc w:val="both"/>
        <w:rPr>
          <w:sz w:val="22"/>
          <w:szCs w:val="22"/>
        </w:rPr>
      </w:pPr>
      <w:r w:rsidRPr="00E90FEE">
        <w:rPr>
          <w:sz w:val="22"/>
          <w:szCs w:val="22"/>
        </w:rPr>
        <w:t>The Legal Compliance Officer shall attend all informal hearings and advise the requester and the Hearing Officer on the applicable laws, regulations, and policies that were used to render the denial of the request for a reasonable</w:t>
      </w:r>
      <w:r w:rsidRPr="00E90FEE">
        <w:rPr>
          <w:spacing w:val="-15"/>
          <w:sz w:val="22"/>
          <w:szCs w:val="22"/>
        </w:rPr>
        <w:t xml:space="preserve"> </w:t>
      </w:r>
      <w:r w:rsidRPr="00E90FEE">
        <w:rPr>
          <w:sz w:val="22"/>
          <w:szCs w:val="22"/>
        </w:rPr>
        <w:t>accommodation.</w:t>
      </w:r>
    </w:p>
    <w:p w14:paraId="01DD978A" w14:textId="77777777" w:rsidR="00E90FEE" w:rsidRPr="00E90FEE" w:rsidRDefault="00E90FEE" w:rsidP="006E7149">
      <w:pPr>
        <w:pStyle w:val="BodyText"/>
        <w:numPr>
          <w:ilvl w:val="1"/>
          <w:numId w:val="4"/>
        </w:numPr>
        <w:spacing w:before="120" w:after="120" w:line="259" w:lineRule="auto"/>
        <w:jc w:val="both"/>
        <w:rPr>
          <w:sz w:val="22"/>
          <w:szCs w:val="22"/>
        </w:rPr>
      </w:pPr>
      <w:r w:rsidRPr="00E90FEE">
        <w:rPr>
          <w:sz w:val="22"/>
          <w:szCs w:val="22"/>
        </w:rPr>
        <w:t>Applicants, residents, and participants may at any time exercise their right to appeal a Housing Authority decision through the local HUD office or the United States Department of Justice. The local HUD office’s contact information is provided below:</w:t>
      </w:r>
    </w:p>
    <w:p w14:paraId="2D0B3651" w14:textId="77777777" w:rsidR="00E90FEE" w:rsidRPr="00E90FEE" w:rsidRDefault="00E90FEE" w:rsidP="00A61161">
      <w:pPr>
        <w:pStyle w:val="BodyText"/>
        <w:ind w:left="1440"/>
        <w:jc w:val="both"/>
        <w:rPr>
          <w:sz w:val="22"/>
          <w:szCs w:val="22"/>
        </w:rPr>
      </w:pPr>
      <w:r w:rsidRPr="00E90FEE">
        <w:rPr>
          <w:sz w:val="22"/>
          <w:szCs w:val="22"/>
        </w:rPr>
        <w:t xml:space="preserve">U.S. Department of Housing and Urban Development </w:t>
      </w:r>
    </w:p>
    <w:p w14:paraId="222F8936" w14:textId="77777777" w:rsidR="00E90FEE" w:rsidRPr="00E90FEE" w:rsidRDefault="00E90FEE" w:rsidP="00A61161">
      <w:pPr>
        <w:pStyle w:val="BodyText"/>
        <w:ind w:left="1440"/>
        <w:jc w:val="both"/>
        <w:rPr>
          <w:sz w:val="22"/>
          <w:szCs w:val="22"/>
        </w:rPr>
      </w:pPr>
      <w:r w:rsidRPr="00E90FEE">
        <w:rPr>
          <w:sz w:val="22"/>
          <w:szCs w:val="22"/>
        </w:rPr>
        <w:t>1301 Fannin Street, Suite 2200</w:t>
      </w:r>
    </w:p>
    <w:p w14:paraId="14AFA78C" w14:textId="77777777" w:rsidR="00E90FEE" w:rsidRPr="00E90FEE" w:rsidRDefault="00E90FEE" w:rsidP="00A61161">
      <w:pPr>
        <w:pStyle w:val="BodyText"/>
        <w:ind w:left="1440"/>
        <w:jc w:val="both"/>
        <w:rPr>
          <w:sz w:val="22"/>
          <w:szCs w:val="22"/>
        </w:rPr>
      </w:pPr>
      <w:r w:rsidRPr="00E90FEE">
        <w:rPr>
          <w:sz w:val="22"/>
          <w:szCs w:val="22"/>
        </w:rPr>
        <w:t>Houston, Texas 77002</w:t>
      </w:r>
    </w:p>
    <w:p w14:paraId="31BB71EA" w14:textId="77777777" w:rsidR="00E90FEE" w:rsidRPr="00E90FEE" w:rsidRDefault="00E90FEE" w:rsidP="00A61161">
      <w:pPr>
        <w:pStyle w:val="BodyText"/>
        <w:ind w:left="1440"/>
        <w:jc w:val="both"/>
        <w:rPr>
          <w:sz w:val="22"/>
          <w:szCs w:val="22"/>
        </w:rPr>
      </w:pPr>
      <w:r w:rsidRPr="00E90FEE">
        <w:rPr>
          <w:sz w:val="22"/>
          <w:szCs w:val="22"/>
        </w:rPr>
        <w:t>Phone: (713) 718-3199  TTY: 711</w:t>
      </w:r>
    </w:p>
    <w:p w14:paraId="7F0DDF7E" w14:textId="77777777" w:rsidR="00E90FEE" w:rsidRPr="00E90FEE" w:rsidRDefault="00E90FEE" w:rsidP="00A61161">
      <w:pPr>
        <w:pStyle w:val="BodyText"/>
        <w:ind w:left="1440"/>
        <w:jc w:val="both"/>
        <w:rPr>
          <w:sz w:val="22"/>
          <w:szCs w:val="22"/>
        </w:rPr>
      </w:pPr>
      <w:r w:rsidRPr="00E90FEE">
        <w:rPr>
          <w:sz w:val="22"/>
          <w:szCs w:val="22"/>
        </w:rPr>
        <w:t>Fax: (713) 718-3225</w:t>
      </w:r>
    </w:p>
    <w:p w14:paraId="5243DB89" w14:textId="77777777" w:rsidR="00E572AE" w:rsidRDefault="00E572AE" w:rsidP="00E90FEE">
      <w:pPr>
        <w:sectPr w:rsidR="00E572AE" w:rsidSect="00EE2233">
          <w:pgSz w:w="12240" w:h="15840"/>
          <w:pgMar w:top="1440" w:right="1440" w:bottom="1440" w:left="1440" w:header="720" w:footer="720" w:gutter="0"/>
          <w:cols w:space="720"/>
          <w:docGrid w:linePitch="360"/>
        </w:sectPr>
      </w:pPr>
    </w:p>
    <w:p w14:paraId="1049ECDE" w14:textId="77777777" w:rsidR="00D56318" w:rsidRDefault="00EE7094" w:rsidP="00D56318">
      <w:pPr>
        <w:pStyle w:val="Heading1"/>
        <w:numPr>
          <w:ilvl w:val="0"/>
          <w:numId w:val="0"/>
        </w:numPr>
      </w:pPr>
      <w:bookmarkStart w:id="4140" w:name="_APPENDIX_B:_LANGUAGE"/>
      <w:bookmarkStart w:id="4141" w:name="_Ref144995132"/>
      <w:bookmarkStart w:id="4142" w:name="_Ref145412194"/>
      <w:bookmarkStart w:id="4143" w:name="_Toc173222806"/>
      <w:bookmarkStart w:id="4144" w:name="_Toc200375912"/>
      <w:bookmarkStart w:id="4145" w:name="_Toc200377073"/>
      <w:bookmarkEnd w:id="4140"/>
      <w:r>
        <w:t xml:space="preserve">APPENDIX </w:t>
      </w:r>
      <w:r w:rsidR="006B584D">
        <w:t>B</w:t>
      </w:r>
      <w:r>
        <w:t>:</w:t>
      </w:r>
      <w:r w:rsidR="00DC561E">
        <w:t xml:space="preserve"> LANGUAGE ASSISTANCE PLAN AND LIMITED ENGLISH PROFICIENCY (LEP) POLICY</w:t>
      </w:r>
      <w:bookmarkEnd w:id="4141"/>
      <w:bookmarkEnd w:id="4142"/>
      <w:bookmarkEnd w:id="4143"/>
      <w:bookmarkEnd w:id="4144"/>
      <w:bookmarkEnd w:id="4145"/>
    </w:p>
    <w:p w14:paraId="7F10A8CE" w14:textId="77777777" w:rsidR="00DC561E" w:rsidRPr="00DC561E" w:rsidRDefault="00DC561E" w:rsidP="006E7149">
      <w:pPr>
        <w:pStyle w:val="ListParagraph"/>
        <w:widowControl w:val="0"/>
        <w:numPr>
          <w:ilvl w:val="0"/>
          <w:numId w:val="19"/>
        </w:numPr>
        <w:autoSpaceDE w:val="0"/>
        <w:autoSpaceDN w:val="0"/>
        <w:spacing w:before="240" w:after="120"/>
        <w:contextualSpacing w:val="0"/>
        <w:jc w:val="left"/>
        <w:rPr>
          <w:rFonts w:cs="Arial"/>
          <w:b/>
          <w:bCs/>
        </w:rPr>
      </w:pPr>
      <w:r w:rsidRPr="00DC561E">
        <w:rPr>
          <w:rFonts w:cs="Arial"/>
          <w:b/>
          <w:bCs/>
        </w:rPr>
        <w:t xml:space="preserve">Goals of </w:t>
      </w:r>
      <w:r w:rsidRPr="00DC561E">
        <w:rPr>
          <w:rFonts w:cs="Arial"/>
          <w:b/>
          <w:bCs/>
          <w:spacing w:val="4"/>
        </w:rPr>
        <w:t xml:space="preserve">the Language </w:t>
      </w:r>
      <w:r w:rsidRPr="00DC561E">
        <w:rPr>
          <w:rFonts w:cs="Arial"/>
          <w:b/>
          <w:bCs/>
        </w:rPr>
        <w:t>Assistance</w:t>
      </w:r>
      <w:r w:rsidRPr="00DC561E">
        <w:rPr>
          <w:rFonts w:cs="Arial"/>
          <w:b/>
          <w:bCs/>
          <w:spacing w:val="52"/>
        </w:rPr>
        <w:t xml:space="preserve"> </w:t>
      </w:r>
      <w:r w:rsidRPr="00DC561E">
        <w:rPr>
          <w:rFonts w:cs="Arial"/>
          <w:b/>
          <w:bCs/>
        </w:rPr>
        <w:t>Plan</w:t>
      </w:r>
    </w:p>
    <w:p w14:paraId="3D28F4D3" w14:textId="77777777" w:rsidR="00DC561E" w:rsidRPr="00DC561E" w:rsidRDefault="00DC561E" w:rsidP="00282F15">
      <w:r w:rsidRPr="00DC561E">
        <w:t>The goals of HHA’s Language Assistance Plan</w:t>
      </w:r>
      <w:r w:rsidRPr="00DC561E">
        <w:rPr>
          <w:spacing w:val="-33"/>
        </w:rPr>
        <w:t xml:space="preserve"> </w:t>
      </w:r>
      <w:r w:rsidRPr="00DC561E">
        <w:t>include:</w:t>
      </w:r>
    </w:p>
    <w:p w14:paraId="67452495" w14:textId="77777777" w:rsidR="00DC561E" w:rsidRPr="00DC561E" w:rsidRDefault="00DC561E" w:rsidP="006E7149">
      <w:pPr>
        <w:pStyle w:val="ListParagraph"/>
        <w:widowControl w:val="0"/>
        <w:numPr>
          <w:ilvl w:val="0"/>
          <w:numId w:val="16"/>
        </w:numPr>
        <w:tabs>
          <w:tab w:val="left" w:pos="999"/>
        </w:tabs>
        <w:autoSpaceDE w:val="0"/>
        <w:autoSpaceDN w:val="0"/>
        <w:spacing w:before="120" w:after="120"/>
        <w:contextualSpacing w:val="0"/>
        <w:rPr>
          <w:rFonts w:cs="Arial"/>
        </w:rPr>
      </w:pPr>
      <w:r w:rsidRPr="00DC561E">
        <w:rPr>
          <w:rFonts w:cs="Arial"/>
        </w:rPr>
        <w:t>To</w:t>
      </w:r>
      <w:r w:rsidRPr="00DC561E">
        <w:rPr>
          <w:rFonts w:cs="Arial"/>
          <w:spacing w:val="-4"/>
        </w:rPr>
        <w:t xml:space="preserve"> </w:t>
      </w:r>
      <w:r w:rsidRPr="00DC561E">
        <w:rPr>
          <w:rFonts w:cs="Arial"/>
        </w:rPr>
        <w:t>ensure</w:t>
      </w:r>
      <w:r w:rsidRPr="00DC561E">
        <w:rPr>
          <w:rFonts w:cs="Arial"/>
          <w:spacing w:val="-3"/>
        </w:rPr>
        <w:t xml:space="preserve"> </w:t>
      </w:r>
      <w:r w:rsidRPr="00DC561E">
        <w:rPr>
          <w:rFonts w:cs="Arial"/>
        </w:rPr>
        <w:t>meaningful access</w:t>
      </w:r>
      <w:r w:rsidRPr="00DC561E">
        <w:rPr>
          <w:rFonts w:cs="Arial"/>
          <w:spacing w:val="-2"/>
        </w:rPr>
        <w:t xml:space="preserve"> </w:t>
      </w:r>
      <w:r w:rsidRPr="00DC561E">
        <w:rPr>
          <w:rFonts w:cs="Arial"/>
        </w:rPr>
        <w:t>to</w:t>
      </w:r>
      <w:r w:rsidRPr="00DC561E">
        <w:rPr>
          <w:rFonts w:cs="Arial"/>
          <w:spacing w:val="-4"/>
        </w:rPr>
        <w:t xml:space="preserve"> </w:t>
      </w:r>
      <w:r w:rsidRPr="00DC561E">
        <w:rPr>
          <w:rFonts w:cs="Arial"/>
        </w:rPr>
        <w:t>HHA’s</w:t>
      </w:r>
      <w:r w:rsidRPr="00DC561E">
        <w:rPr>
          <w:rFonts w:cs="Arial"/>
          <w:spacing w:val="-2"/>
        </w:rPr>
        <w:t xml:space="preserve"> </w:t>
      </w:r>
      <w:r w:rsidRPr="00DC561E">
        <w:rPr>
          <w:rFonts w:cs="Arial"/>
        </w:rPr>
        <w:t>public</w:t>
      </w:r>
      <w:r w:rsidRPr="00DC561E">
        <w:rPr>
          <w:rFonts w:cs="Arial"/>
          <w:spacing w:val="-5"/>
        </w:rPr>
        <w:t xml:space="preserve"> </w:t>
      </w:r>
      <w:r w:rsidRPr="00DC561E">
        <w:rPr>
          <w:rFonts w:cs="Arial"/>
        </w:rPr>
        <w:t>housing</w:t>
      </w:r>
      <w:r w:rsidRPr="00DC561E">
        <w:rPr>
          <w:rFonts w:cs="Arial"/>
          <w:spacing w:val="-2"/>
        </w:rPr>
        <w:t xml:space="preserve"> </w:t>
      </w:r>
      <w:r w:rsidRPr="00DC561E">
        <w:rPr>
          <w:rFonts w:cs="Arial"/>
        </w:rPr>
        <w:t>and</w:t>
      </w:r>
      <w:r w:rsidRPr="00DC561E">
        <w:rPr>
          <w:rFonts w:cs="Arial"/>
          <w:spacing w:val="-3"/>
        </w:rPr>
        <w:t xml:space="preserve"> </w:t>
      </w:r>
      <w:r w:rsidRPr="00DC561E">
        <w:rPr>
          <w:rFonts w:cs="Arial"/>
        </w:rPr>
        <w:t>Housing</w:t>
      </w:r>
      <w:r w:rsidRPr="00DC561E">
        <w:rPr>
          <w:rFonts w:cs="Arial"/>
          <w:spacing w:val="-2"/>
        </w:rPr>
        <w:t xml:space="preserve"> </w:t>
      </w:r>
      <w:r w:rsidRPr="00DC561E">
        <w:rPr>
          <w:rFonts w:cs="Arial"/>
        </w:rPr>
        <w:t>Choice</w:t>
      </w:r>
      <w:r w:rsidRPr="00DC561E">
        <w:rPr>
          <w:rFonts w:cs="Arial"/>
          <w:spacing w:val="-3"/>
        </w:rPr>
        <w:t xml:space="preserve"> </w:t>
      </w:r>
      <w:r w:rsidRPr="00DC561E">
        <w:rPr>
          <w:rFonts w:cs="Arial"/>
        </w:rPr>
        <w:t>Voucher</w:t>
      </w:r>
      <w:r w:rsidRPr="00DC561E">
        <w:rPr>
          <w:rFonts w:cs="Arial"/>
          <w:spacing w:val="-2"/>
        </w:rPr>
        <w:t xml:space="preserve"> </w:t>
      </w:r>
      <w:r w:rsidRPr="00DC561E">
        <w:rPr>
          <w:rFonts w:cs="Arial"/>
        </w:rPr>
        <w:t>programs</w:t>
      </w:r>
      <w:r w:rsidRPr="00DC561E">
        <w:rPr>
          <w:rFonts w:cs="Arial"/>
          <w:spacing w:val="-3"/>
        </w:rPr>
        <w:t xml:space="preserve"> </w:t>
      </w:r>
      <w:r w:rsidRPr="00DC561E">
        <w:rPr>
          <w:rFonts w:cs="Arial"/>
        </w:rPr>
        <w:t>by</w:t>
      </w:r>
      <w:r w:rsidRPr="00DC561E">
        <w:rPr>
          <w:rFonts w:cs="Arial"/>
          <w:spacing w:val="-3"/>
        </w:rPr>
        <w:t xml:space="preserve"> </w:t>
      </w:r>
      <w:r w:rsidRPr="00DC561E">
        <w:rPr>
          <w:rFonts w:cs="Arial"/>
        </w:rPr>
        <w:t>all eligible individuals regardless of primary language</w:t>
      </w:r>
      <w:r w:rsidRPr="00DC561E">
        <w:rPr>
          <w:rFonts w:cs="Arial"/>
          <w:spacing w:val="-16"/>
        </w:rPr>
        <w:t xml:space="preserve"> </w:t>
      </w:r>
      <w:r w:rsidRPr="00DC561E">
        <w:rPr>
          <w:rFonts w:cs="Arial"/>
        </w:rPr>
        <w:t>spoken</w:t>
      </w:r>
      <w:r w:rsidR="00D4623A">
        <w:rPr>
          <w:rFonts w:cs="Arial"/>
        </w:rPr>
        <w:t>;</w:t>
      </w:r>
    </w:p>
    <w:p w14:paraId="6299517A" w14:textId="77777777" w:rsidR="00DC561E" w:rsidRPr="00DC561E" w:rsidRDefault="00DC561E" w:rsidP="006E7149">
      <w:pPr>
        <w:pStyle w:val="ListParagraph"/>
        <w:widowControl w:val="0"/>
        <w:numPr>
          <w:ilvl w:val="0"/>
          <w:numId w:val="16"/>
        </w:numPr>
        <w:tabs>
          <w:tab w:val="left" w:pos="999"/>
        </w:tabs>
        <w:autoSpaceDE w:val="0"/>
        <w:autoSpaceDN w:val="0"/>
        <w:spacing w:before="120" w:after="120"/>
        <w:contextualSpacing w:val="0"/>
        <w:rPr>
          <w:rFonts w:cs="Arial"/>
        </w:rPr>
      </w:pPr>
      <w:r w:rsidRPr="00DC561E">
        <w:rPr>
          <w:rFonts w:cs="Arial"/>
        </w:rPr>
        <w:t>To ensure that all LEP individuals are made aware that HHA will provide free oral interpretation services to facilitate their contacts with and participation in HHA</w:t>
      </w:r>
      <w:r w:rsidRPr="00DC561E">
        <w:rPr>
          <w:rFonts w:cs="Arial"/>
          <w:spacing w:val="-25"/>
        </w:rPr>
        <w:t xml:space="preserve"> </w:t>
      </w:r>
      <w:r w:rsidRPr="00DC561E">
        <w:rPr>
          <w:rFonts w:cs="Arial"/>
        </w:rPr>
        <w:t>program</w:t>
      </w:r>
      <w:r w:rsidR="00D4623A">
        <w:rPr>
          <w:rFonts w:cs="Arial"/>
        </w:rPr>
        <w:t>s;</w:t>
      </w:r>
    </w:p>
    <w:p w14:paraId="2ED79DFF" w14:textId="77777777" w:rsidR="00DC561E" w:rsidRPr="00DC561E" w:rsidRDefault="00DC561E" w:rsidP="006E7149">
      <w:pPr>
        <w:pStyle w:val="ListParagraph"/>
        <w:widowControl w:val="0"/>
        <w:numPr>
          <w:ilvl w:val="0"/>
          <w:numId w:val="16"/>
        </w:numPr>
        <w:tabs>
          <w:tab w:val="left" w:pos="999"/>
        </w:tabs>
        <w:autoSpaceDE w:val="0"/>
        <w:autoSpaceDN w:val="0"/>
        <w:spacing w:before="120" w:after="120"/>
        <w:contextualSpacing w:val="0"/>
        <w:rPr>
          <w:rFonts w:cs="Arial"/>
        </w:rPr>
      </w:pPr>
      <w:r w:rsidRPr="00DC561E">
        <w:rPr>
          <w:rFonts w:cs="Arial"/>
        </w:rPr>
        <w:t>To</w:t>
      </w:r>
      <w:r w:rsidRPr="00DC561E">
        <w:rPr>
          <w:rFonts w:cs="Arial"/>
          <w:spacing w:val="-5"/>
        </w:rPr>
        <w:t xml:space="preserve"> </w:t>
      </w:r>
      <w:r w:rsidRPr="00DC561E">
        <w:rPr>
          <w:rFonts w:cs="Arial"/>
        </w:rPr>
        <w:t>provide</w:t>
      </w:r>
      <w:r w:rsidRPr="00DC561E">
        <w:rPr>
          <w:rFonts w:cs="Arial"/>
          <w:spacing w:val="-3"/>
        </w:rPr>
        <w:t xml:space="preserve"> </w:t>
      </w:r>
      <w:r w:rsidRPr="00DC561E">
        <w:rPr>
          <w:rFonts w:cs="Arial"/>
        </w:rPr>
        <w:t>written</w:t>
      </w:r>
      <w:r w:rsidRPr="00DC561E">
        <w:rPr>
          <w:rFonts w:cs="Arial"/>
          <w:spacing w:val="-4"/>
        </w:rPr>
        <w:t xml:space="preserve"> </w:t>
      </w:r>
      <w:r w:rsidRPr="00DC561E">
        <w:rPr>
          <w:rFonts w:cs="Arial"/>
        </w:rPr>
        <w:t>translations</w:t>
      </w:r>
      <w:r w:rsidRPr="00DC561E">
        <w:rPr>
          <w:rFonts w:cs="Arial"/>
          <w:spacing w:val="-3"/>
        </w:rPr>
        <w:t xml:space="preserve"> </w:t>
      </w:r>
      <w:r w:rsidRPr="00DC561E">
        <w:rPr>
          <w:rFonts w:cs="Arial"/>
        </w:rPr>
        <w:t>of</w:t>
      </w:r>
      <w:r w:rsidRPr="00DC561E">
        <w:rPr>
          <w:rFonts w:cs="Arial"/>
          <w:spacing w:val="-4"/>
        </w:rPr>
        <w:t xml:space="preserve"> </w:t>
      </w:r>
      <w:r w:rsidRPr="00DC561E">
        <w:rPr>
          <w:rFonts w:cs="Arial"/>
        </w:rPr>
        <w:t>vital</w:t>
      </w:r>
      <w:r w:rsidRPr="00DC561E">
        <w:rPr>
          <w:rFonts w:cs="Arial"/>
          <w:spacing w:val="-2"/>
        </w:rPr>
        <w:t xml:space="preserve"> </w:t>
      </w:r>
      <w:r w:rsidRPr="00DC561E">
        <w:rPr>
          <w:rFonts w:cs="Arial"/>
        </w:rPr>
        <w:t>documents to LEP</w:t>
      </w:r>
      <w:r w:rsidRPr="00DC561E">
        <w:rPr>
          <w:rFonts w:cs="Arial"/>
          <w:spacing w:val="-3"/>
        </w:rPr>
        <w:t xml:space="preserve"> </w:t>
      </w:r>
      <w:r w:rsidRPr="00DC561E">
        <w:rPr>
          <w:rFonts w:cs="Arial"/>
        </w:rPr>
        <w:t>individuals</w:t>
      </w:r>
      <w:r w:rsidRPr="00DC561E">
        <w:rPr>
          <w:rFonts w:cs="Arial"/>
          <w:spacing w:val="-3"/>
        </w:rPr>
        <w:t xml:space="preserve"> </w:t>
      </w:r>
      <w:r w:rsidRPr="00DC561E">
        <w:rPr>
          <w:rFonts w:cs="Arial"/>
        </w:rPr>
        <w:t>in</w:t>
      </w:r>
      <w:r w:rsidRPr="00DC561E">
        <w:rPr>
          <w:rFonts w:cs="Arial"/>
          <w:spacing w:val="-5"/>
        </w:rPr>
        <w:t xml:space="preserve"> </w:t>
      </w:r>
      <w:r w:rsidRPr="00DC561E">
        <w:rPr>
          <w:rFonts w:cs="Arial"/>
        </w:rPr>
        <w:t>accordance</w:t>
      </w:r>
      <w:r w:rsidRPr="00DC561E">
        <w:rPr>
          <w:rFonts w:cs="Arial"/>
          <w:spacing w:val="-3"/>
        </w:rPr>
        <w:t xml:space="preserve"> </w:t>
      </w:r>
      <w:r w:rsidRPr="00DC561E">
        <w:rPr>
          <w:rFonts w:cs="Arial"/>
        </w:rPr>
        <w:t>with</w:t>
      </w:r>
      <w:r w:rsidRPr="00DC561E">
        <w:rPr>
          <w:rFonts w:cs="Arial"/>
          <w:spacing w:val="-5"/>
        </w:rPr>
        <w:t xml:space="preserve"> </w:t>
      </w:r>
      <w:r w:rsidRPr="00DC561E">
        <w:rPr>
          <w:rFonts w:cs="Arial"/>
        </w:rPr>
        <w:t>HUD’s</w:t>
      </w:r>
      <w:r w:rsidRPr="00DC561E">
        <w:rPr>
          <w:rFonts w:cs="Arial"/>
          <w:spacing w:val="-3"/>
        </w:rPr>
        <w:t xml:space="preserve"> </w:t>
      </w:r>
      <w:r w:rsidRPr="003D3BC1">
        <w:rPr>
          <w:rFonts w:cs="Arial"/>
          <w:i/>
          <w:iCs/>
        </w:rPr>
        <w:t>safe</w:t>
      </w:r>
      <w:r w:rsidRPr="003D3BC1">
        <w:rPr>
          <w:rFonts w:cs="Arial"/>
          <w:i/>
          <w:iCs/>
          <w:spacing w:val="-4"/>
        </w:rPr>
        <w:t xml:space="preserve"> </w:t>
      </w:r>
      <w:r w:rsidRPr="003D3BC1">
        <w:rPr>
          <w:rFonts w:cs="Arial"/>
          <w:i/>
          <w:iCs/>
        </w:rPr>
        <w:t>harbor</w:t>
      </w:r>
      <w:r w:rsidRPr="00DC561E">
        <w:rPr>
          <w:rFonts w:cs="Arial"/>
        </w:rPr>
        <w:t xml:space="preserve"> guidelines</w:t>
      </w:r>
      <w:r w:rsidR="00D4623A">
        <w:rPr>
          <w:rFonts w:cs="Arial"/>
        </w:rPr>
        <w:t>;</w:t>
      </w:r>
    </w:p>
    <w:p w14:paraId="20D50FF6" w14:textId="77777777" w:rsidR="00DC561E" w:rsidRPr="00DC561E" w:rsidRDefault="00DC561E" w:rsidP="006E7149">
      <w:pPr>
        <w:pStyle w:val="ListParagraph"/>
        <w:widowControl w:val="0"/>
        <w:numPr>
          <w:ilvl w:val="0"/>
          <w:numId w:val="16"/>
        </w:numPr>
        <w:tabs>
          <w:tab w:val="left" w:pos="999"/>
        </w:tabs>
        <w:autoSpaceDE w:val="0"/>
        <w:autoSpaceDN w:val="0"/>
        <w:spacing w:before="120" w:after="120"/>
        <w:contextualSpacing w:val="0"/>
        <w:rPr>
          <w:rFonts w:cs="Arial"/>
        </w:rPr>
      </w:pPr>
      <w:r w:rsidRPr="00DC561E">
        <w:rPr>
          <w:rFonts w:cs="Arial"/>
        </w:rPr>
        <w:t>To</w:t>
      </w:r>
      <w:r w:rsidRPr="00DC561E">
        <w:rPr>
          <w:rFonts w:cs="Arial"/>
          <w:spacing w:val="-4"/>
        </w:rPr>
        <w:t xml:space="preserve"> </w:t>
      </w:r>
      <w:r w:rsidRPr="00DC561E">
        <w:rPr>
          <w:rFonts w:cs="Arial"/>
        </w:rPr>
        <w:t>ensure</w:t>
      </w:r>
      <w:r w:rsidRPr="00DC561E">
        <w:rPr>
          <w:rFonts w:cs="Arial"/>
          <w:spacing w:val="-2"/>
        </w:rPr>
        <w:t xml:space="preserve"> </w:t>
      </w:r>
      <w:r w:rsidRPr="00DC561E">
        <w:rPr>
          <w:rFonts w:cs="Arial"/>
        </w:rPr>
        <w:t>that</w:t>
      </w:r>
      <w:r w:rsidRPr="00DC561E">
        <w:rPr>
          <w:rFonts w:cs="Arial"/>
          <w:spacing w:val="-4"/>
        </w:rPr>
        <w:t xml:space="preserve"> </w:t>
      </w:r>
      <w:r w:rsidRPr="00DC561E">
        <w:rPr>
          <w:rFonts w:cs="Arial"/>
        </w:rPr>
        <w:t>HHA</w:t>
      </w:r>
      <w:r w:rsidRPr="00DC561E">
        <w:rPr>
          <w:rFonts w:cs="Arial"/>
          <w:spacing w:val="-1"/>
        </w:rPr>
        <w:t xml:space="preserve"> </w:t>
      </w:r>
      <w:r w:rsidRPr="00DC561E">
        <w:rPr>
          <w:rFonts w:cs="Arial"/>
        </w:rPr>
        <w:t>staff</w:t>
      </w:r>
      <w:r w:rsidRPr="00DC561E">
        <w:rPr>
          <w:rFonts w:cs="Arial"/>
          <w:spacing w:val="-3"/>
        </w:rPr>
        <w:t xml:space="preserve"> </w:t>
      </w:r>
      <w:r w:rsidRPr="00DC561E">
        <w:rPr>
          <w:rFonts w:cs="Arial"/>
        </w:rPr>
        <w:t>are</w:t>
      </w:r>
      <w:r w:rsidRPr="00DC561E">
        <w:rPr>
          <w:rFonts w:cs="Arial"/>
          <w:spacing w:val="-2"/>
        </w:rPr>
        <w:t xml:space="preserve"> </w:t>
      </w:r>
      <w:r w:rsidRPr="00DC561E">
        <w:rPr>
          <w:rFonts w:cs="Arial"/>
        </w:rPr>
        <w:t>aware</w:t>
      </w:r>
      <w:r w:rsidRPr="00DC561E">
        <w:rPr>
          <w:rFonts w:cs="Arial"/>
          <w:spacing w:val="-2"/>
        </w:rPr>
        <w:t xml:space="preserve"> </w:t>
      </w:r>
      <w:r w:rsidRPr="00DC561E">
        <w:rPr>
          <w:rFonts w:cs="Arial"/>
        </w:rPr>
        <w:t>of</w:t>
      </w:r>
      <w:r w:rsidRPr="00DC561E">
        <w:rPr>
          <w:rFonts w:cs="Arial"/>
          <w:spacing w:val="-2"/>
        </w:rPr>
        <w:t xml:space="preserve"> </w:t>
      </w:r>
      <w:r w:rsidRPr="00DC561E">
        <w:rPr>
          <w:rFonts w:cs="Arial"/>
        </w:rPr>
        <w:t>available</w:t>
      </w:r>
      <w:r w:rsidRPr="00DC561E">
        <w:rPr>
          <w:rFonts w:cs="Arial"/>
          <w:spacing w:val="-2"/>
        </w:rPr>
        <w:t xml:space="preserve"> </w:t>
      </w:r>
      <w:r w:rsidRPr="00DC561E">
        <w:rPr>
          <w:rFonts w:cs="Arial"/>
        </w:rPr>
        <w:t>language</w:t>
      </w:r>
      <w:r w:rsidRPr="00DC561E">
        <w:rPr>
          <w:rFonts w:cs="Arial"/>
          <w:spacing w:val="-3"/>
        </w:rPr>
        <w:t xml:space="preserve"> </w:t>
      </w:r>
      <w:r w:rsidRPr="00DC561E">
        <w:rPr>
          <w:rFonts w:cs="Arial"/>
        </w:rPr>
        <w:t>assistance</w:t>
      </w:r>
      <w:r w:rsidRPr="00DC561E">
        <w:rPr>
          <w:rFonts w:cs="Arial"/>
          <w:spacing w:val="-2"/>
        </w:rPr>
        <w:t xml:space="preserve"> </w:t>
      </w:r>
      <w:r w:rsidRPr="00DC561E">
        <w:rPr>
          <w:rFonts w:cs="Arial"/>
        </w:rPr>
        <w:t>services</w:t>
      </w:r>
      <w:r w:rsidRPr="00DC561E">
        <w:rPr>
          <w:rFonts w:cs="Arial"/>
          <w:spacing w:val="-1"/>
        </w:rPr>
        <w:t xml:space="preserve"> </w:t>
      </w:r>
      <w:r w:rsidRPr="00DC561E">
        <w:rPr>
          <w:rFonts w:cs="Arial"/>
        </w:rPr>
        <w:t>and</w:t>
      </w:r>
      <w:r w:rsidRPr="00DC561E">
        <w:rPr>
          <w:rFonts w:cs="Arial"/>
          <w:spacing w:val="-3"/>
        </w:rPr>
        <w:t xml:space="preserve"> </w:t>
      </w:r>
      <w:r w:rsidRPr="00DC561E">
        <w:rPr>
          <w:rFonts w:cs="Arial"/>
        </w:rPr>
        <w:t>how</w:t>
      </w:r>
      <w:r w:rsidRPr="00DC561E">
        <w:rPr>
          <w:rFonts w:cs="Arial"/>
          <w:spacing w:val="-2"/>
        </w:rPr>
        <w:t xml:space="preserve"> </w:t>
      </w:r>
      <w:r w:rsidRPr="00DC561E">
        <w:rPr>
          <w:rFonts w:cs="Arial"/>
        </w:rPr>
        <w:t>these</w:t>
      </w:r>
      <w:r w:rsidRPr="00DC561E">
        <w:rPr>
          <w:rFonts w:cs="Arial"/>
          <w:spacing w:val="-2"/>
        </w:rPr>
        <w:t xml:space="preserve"> </w:t>
      </w:r>
      <w:r w:rsidRPr="00DC561E">
        <w:rPr>
          <w:rFonts w:cs="Arial"/>
        </w:rPr>
        <w:t>services</w:t>
      </w:r>
      <w:r w:rsidRPr="00DC561E">
        <w:rPr>
          <w:rFonts w:cs="Arial"/>
          <w:spacing w:val="-1"/>
        </w:rPr>
        <w:t xml:space="preserve"> </w:t>
      </w:r>
      <w:r w:rsidRPr="00DC561E">
        <w:rPr>
          <w:rFonts w:cs="Arial"/>
        </w:rPr>
        <w:t>need</w:t>
      </w:r>
      <w:r w:rsidRPr="00DC561E">
        <w:rPr>
          <w:rFonts w:cs="Arial"/>
          <w:spacing w:val="-3"/>
        </w:rPr>
        <w:t xml:space="preserve"> </w:t>
      </w:r>
      <w:r w:rsidRPr="00DC561E">
        <w:rPr>
          <w:rFonts w:cs="Arial"/>
        </w:rPr>
        <w:t>to be used when serving LEP</w:t>
      </w:r>
      <w:r w:rsidRPr="00DC561E">
        <w:rPr>
          <w:rFonts w:cs="Arial"/>
          <w:spacing w:val="-11"/>
        </w:rPr>
        <w:t xml:space="preserve"> </w:t>
      </w:r>
      <w:r w:rsidRPr="00DC561E">
        <w:rPr>
          <w:rFonts w:cs="Arial"/>
        </w:rPr>
        <w:t>individuals</w:t>
      </w:r>
      <w:r w:rsidR="00D4623A">
        <w:rPr>
          <w:rFonts w:cs="Arial"/>
        </w:rPr>
        <w:t>;</w:t>
      </w:r>
    </w:p>
    <w:p w14:paraId="28D21F6B" w14:textId="77777777" w:rsidR="00DC561E" w:rsidRPr="00DC561E" w:rsidRDefault="00DC561E" w:rsidP="006E7149">
      <w:pPr>
        <w:pStyle w:val="ListParagraph"/>
        <w:widowControl w:val="0"/>
        <w:numPr>
          <w:ilvl w:val="0"/>
          <w:numId w:val="16"/>
        </w:numPr>
        <w:tabs>
          <w:tab w:val="left" w:pos="999"/>
        </w:tabs>
        <w:autoSpaceDE w:val="0"/>
        <w:autoSpaceDN w:val="0"/>
        <w:spacing w:before="120" w:after="120"/>
        <w:contextualSpacing w:val="0"/>
        <w:rPr>
          <w:rFonts w:cs="Arial"/>
        </w:rPr>
      </w:pPr>
      <w:r w:rsidRPr="00DC561E">
        <w:rPr>
          <w:rFonts w:cs="Arial"/>
        </w:rPr>
        <w:t>To</w:t>
      </w:r>
      <w:r w:rsidRPr="00DC561E">
        <w:rPr>
          <w:rFonts w:cs="Arial"/>
          <w:spacing w:val="-4"/>
        </w:rPr>
        <w:t xml:space="preserve"> </w:t>
      </w:r>
      <w:r w:rsidRPr="00DC561E">
        <w:rPr>
          <w:rFonts w:cs="Arial"/>
        </w:rPr>
        <w:t>provide</w:t>
      </w:r>
      <w:r w:rsidRPr="00DC561E">
        <w:rPr>
          <w:rFonts w:cs="Arial"/>
          <w:spacing w:val="-3"/>
        </w:rPr>
        <w:t xml:space="preserve"> </w:t>
      </w:r>
      <w:r w:rsidRPr="00DC561E">
        <w:rPr>
          <w:rFonts w:cs="Arial"/>
        </w:rPr>
        <w:t>for</w:t>
      </w:r>
      <w:r w:rsidRPr="00DC561E">
        <w:rPr>
          <w:rFonts w:cs="Arial"/>
          <w:spacing w:val="-2"/>
        </w:rPr>
        <w:t xml:space="preserve"> </w:t>
      </w:r>
      <w:r w:rsidRPr="00DC561E">
        <w:rPr>
          <w:rFonts w:cs="Arial"/>
        </w:rPr>
        <w:t>periodic</w:t>
      </w:r>
      <w:r w:rsidRPr="00DC561E">
        <w:rPr>
          <w:rFonts w:cs="Arial"/>
          <w:spacing w:val="-5"/>
        </w:rPr>
        <w:t xml:space="preserve"> </w:t>
      </w:r>
      <w:r w:rsidRPr="00DC561E">
        <w:rPr>
          <w:rFonts w:cs="Arial"/>
        </w:rPr>
        <w:t>review</w:t>
      </w:r>
      <w:r w:rsidRPr="00DC561E">
        <w:rPr>
          <w:rFonts w:cs="Arial"/>
          <w:spacing w:val="-3"/>
        </w:rPr>
        <w:t xml:space="preserve"> </w:t>
      </w:r>
      <w:r w:rsidRPr="00DC561E">
        <w:rPr>
          <w:rFonts w:cs="Arial"/>
        </w:rPr>
        <w:t>and</w:t>
      </w:r>
      <w:r w:rsidRPr="00DC561E">
        <w:rPr>
          <w:rFonts w:cs="Arial"/>
          <w:spacing w:val="-3"/>
        </w:rPr>
        <w:t xml:space="preserve"> </w:t>
      </w:r>
      <w:r w:rsidRPr="00DC561E">
        <w:rPr>
          <w:rFonts w:cs="Arial"/>
        </w:rPr>
        <w:t>updating</w:t>
      </w:r>
      <w:r w:rsidRPr="00DC561E">
        <w:rPr>
          <w:rFonts w:cs="Arial"/>
          <w:spacing w:val="-2"/>
        </w:rPr>
        <w:t xml:space="preserve"> </w:t>
      </w:r>
      <w:r w:rsidRPr="00DC561E">
        <w:rPr>
          <w:rFonts w:cs="Arial"/>
        </w:rPr>
        <w:t>of</w:t>
      </w:r>
      <w:r w:rsidRPr="00DC561E">
        <w:rPr>
          <w:rFonts w:cs="Arial"/>
          <w:spacing w:val="-3"/>
        </w:rPr>
        <w:t xml:space="preserve"> </w:t>
      </w:r>
      <w:r w:rsidRPr="00DC561E">
        <w:rPr>
          <w:rFonts w:cs="Arial"/>
        </w:rPr>
        <w:t>language</w:t>
      </w:r>
      <w:r w:rsidRPr="00DC561E">
        <w:rPr>
          <w:rFonts w:cs="Arial"/>
          <w:spacing w:val="-2"/>
        </w:rPr>
        <w:t xml:space="preserve"> </w:t>
      </w:r>
      <w:r w:rsidRPr="00DC561E">
        <w:rPr>
          <w:rFonts w:cs="Arial"/>
        </w:rPr>
        <w:t>assistance</w:t>
      </w:r>
      <w:r w:rsidRPr="00DC561E">
        <w:rPr>
          <w:rFonts w:cs="Arial"/>
          <w:spacing w:val="-3"/>
        </w:rPr>
        <w:t xml:space="preserve"> </w:t>
      </w:r>
      <w:r w:rsidRPr="00DC561E">
        <w:rPr>
          <w:rFonts w:cs="Arial"/>
        </w:rPr>
        <w:t>plans</w:t>
      </w:r>
      <w:r w:rsidRPr="00DC561E">
        <w:rPr>
          <w:rFonts w:cs="Arial"/>
          <w:spacing w:val="-3"/>
        </w:rPr>
        <w:t xml:space="preserve"> </w:t>
      </w:r>
      <w:r w:rsidRPr="00DC561E">
        <w:rPr>
          <w:rFonts w:cs="Arial"/>
        </w:rPr>
        <w:t>and</w:t>
      </w:r>
      <w:r w:rsidRPr="00DC561E">
        <w:rPr>
          <w:rFonts w:cs="Arial"/>
          <w:spacing w:val="-3"/>
        </w:rPr>
        <w:t xml:space="preserve"> </w:t>
      </w:r>
      <w:r w:rsidRPr="00DC561E">
        <w:rPr>
          <w:rFonts w:cs="Arial"/>
        </w:rPr>
        <w:t>services</w:t>
      </w:r>
      <w:r w:rsidRPr="00DC561E">
        <w:rPr>
          <w:rFonts w:cs="Arial"/>
          <w:spacing w:val="-2"/>
        </w:rPr>
        <w:t xml:space="preserve"> </w:t>
      </w:r>
      <w:r w:rsidRPr="00DC561E">
        <w:rPr>
          <w:rFonts w:cs="Arial"/>
        </w:rPr>
        <w:t>in</w:t>
      </w:r>
      <w:r w:rsidRPr="00DC561E">
        <w:rPr>
          <w:rFonts w:cs="Arial"/>
          <w:spacing w:val="-4"/>
        </w:rPr>
        <w:t xml:space="preserve"> </w:t>
      </w:r>
      <w:r w:rsidRPr="00DC561E">
        <w:rPr>
          <w:rFonts w:cs="Arial"/>
        </w:rPr>
        <w:t>accordance</w:t>
      </w:r>
      <w:r w:rsidRPr="00DC561E">
        <w:rPr>
          <w:rFonts w:cs="Arial"/>
          <w:spacing w:val="3"/>
        </w:rPr>
        <w:t xml:space="preserve"> </w:t>
      </w:r>
      <w:r w:rsidRPr="00DC561E">
        <w:rPr>
          <w:rFonts w:cs="Arial"/>
        </w:rPr>
        <w:t>with community</w:t>
      </w:r>
      <w:r w:rsidRPr="00DC561E">
        <w:rPr>
          <w:rFonts w:cs="Arial"/>
          <w:spacing w:val="-1"/>
        </w:rPr>
        <w:t xml:space="preserve"> </w:t>
      </w:r>
      <w:r w:rsidRPr="00DC561E">
        <w:rPr>
          <w:rFonts w:cs="Arial"/>
        </w:rPr>
        <w:t>needs.</w:t>
      </w:r>
    </w:p>
    <w:p w14:paraId="200C178D" w14:textId="77777777" w:rsidR="00DC561E" w:rsidRDefault="00DC561E" w:rsidP="006E7149">
      <w:pPr>
        <w:pStyle w:val="ListParagraph"/>
        <w:widowControl w:val="0"/>
        <w:numPr>
          <w:ilvl w:val="0"/>
          <w:numId w:val="19"/>
        </w:numPr>
        <w:autoSpaceDE w:val="0"/>
        <w:autoSpaceDN w:val="0"/>
        <w:spacing w:before="120" w:after="120"/>
        <w:contextualSpacing w:val="0"/>
        <w:jc w:val="left"/>
        <w:rPr>
          <w:rFonts w:cs="Arial"/>
          <w:b/>
          <w:bCs/>
        </w:rPr>
      </w:pPr>
      <w:r w:rsidRPr="00DC561E">
        <w:rPr>
          <w:rFonts w:cs="Arial"/>
          <w:b/>
          <w:bCs/>
        </w:rPr>
        <w:t>LEP Individuals Who Need Language Assistance</w:t>
      </w:r>
    </w:p>
    <w:p w14:paraId="0AF0413C" w14:textId="2CE31A22" w:rsidR="00DC561E" w:rsidRDefault="00DC561E" w:rsidP="00DC561E">
      <w:r w:rsidRPr="00DC561E">
        <w:t>Houston is an incredibly diverse community in which numerous LEP households reside. According to 2014 Census data, 46.9% of Houston’s almost 2 million residents over the age of 5 speak a language other than English, including over at least thirty-nine (39) languages. The most frequently spoken non-English languages are Spanish, Vietnamese and Chinese</w:t>
      </w:r>
      <w:r w:rsidR="007D4BC6" w:rsidRPr="007D4BC6">
        <w:t>.</w:t>
      </w:r>
      <w:r w:rsidR="00B1545A">
        <w:rPr>
          <w:rStyle w:val="FootnoteReference"/>
        </w:rPr>
        <w:footnoteReference w:id="2"/>
      </w:r>
    </w:p>
    <w:p w14:paraId="3E035970" w14:textId="33477CA3" w:rsidR="00723890" w:rsidRDefault="00DC561E" w:rsidP="00DC561E">
      <w:pPr>
        <w:rPr>
          <w:rFonts w:cs="Arial"/>
        </w:rPr>
      </w:pPr>
      <w:r w:rsidRPr="00DC561E">
        <w:rPr>
          <w:rFonts w:cs="Arial"/>
        </w:rPr>
        <w:t>The census data provides Poverty Status by language.</w:t>
      </w:r>
      <w:r w:rsidR="00BD0A1D">
        <w:rPr>
          <w:rFonts w:cs="Arial"/>
        </w:rPr>
        <w:t xml:space="preserve"> </w:t>
      </w:r>
      <w:r w:rsidRPr="00DC561E">
        <w:rPr>
          <w:rFonts w:cs="Arial"/>
        </w:rPr>
        <w:t>Of those under the poverty level in Houston, 10.9% speak Spanish as seen in Table C16009. For the Houston MSA, 7.3% speak Spanish as highlighted in Table 1.</w:t>
      </w:r>
      <w:r w:rsidR="00723890">
        <w:rPr>
          <w:rFonts w:cs="Arial"/>
        </w:rPr>
        <w:br w:type="page"/>
      </w:r>
    </w:p>
    <w:p w14:paraId="218AF1D6" w14:textId="77777777" w:rsidR="00DC561E" w:rsidRPr="00DC561E" w:rsidRDefault="00DC561E" w:rsidP="00DC561E">
      <w:pPr>
        <w:spacing w:before="120" w:after="120"/>
        <w:jc w:val="center"/>
        <w:rPr>
          <w:rFonts w:cs="Arial"/>
          <w:b/>
          <w:bCs/>
        </w:rPr>
      </w:pPr>
      <w:r w:rsidRPr="00DC561E">
        <w:rPr>
          <w:rFonts w:cs="Arial"/>
          <w:b/>
          <w:bCs/>
        </w:rPr>
        <w:t>Table 1: Languages spoken by those under the poverty level in Houston and the Metro Area</w:t>
      </w:r>
    </w:p>
    <w:p w14:paraId="6A6C518B" w14:textId="77777777" w:rsidR="00DC561E" w:rsidRPr="00DC561E" w:rsidRDefault="00DC561E" w:rsidP="00DC561E">
      <w:pPr>
        <w:pStyle w:val="BodyText"/>
        <w:spacing w:before="120" w:after="120" w:line="259" w:lineRule="auto"/>
        <w:ind w:right="2365"/>
        <w:rPr>
          <w:sz w:val="22"/>
          <w:szCs w:val="22"/>
        </w:rPr>
      </w:pPr>
    </w:p>
    <w:tbl>
      <w:tblPr>
        <w:tblpPr w:leftFromText="180" w:rightFromText="180" w:vertAnchor="text" w:horzAnchor="margin" w:tblpY="-136"/>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1"/>
        <w:gridCol w:w="2424"/>
        <w:gridCol w:w="1187"/>
        <w:gridCol w:w="1187"/>
        <w:gridCol w:w="1187"/>
        <w:gridCol w:w="1187"/>
        <w:gridCol w:w="2177"/>
      </w:tblGrid>
      <w:tr w:rsidR="00723890" w:rsidRPr="00723890" w14:paraId="04D8385E" w14:textId="77777777" w:rsidTr="00723890">
        <w:trPr>
          <w:trHeight w:val="50"/>
        </w:trPr>
        <w:tc>
          <w:tcPr>
            <w:tcW w:w="0" w:type="auto"/>
            <w:vMerge w:val="restart"/>
            <w:tcBorders>
              <w:top w:val="nil"/>
              <w:left w:val="nil"/>
              <w:right w:val="single" w:sz="4" w:space="0" w:color="000000"/>
            </w:tcBorders>
          </w:tcPr>
          <w:p w14:paraId="5881212E" w14:textId="77777777" w:rsidR="00DC561E" w:rsidRPr="00723890" w:rsidRDefault="00DC561E" w:rsidP="00723890">
            <w:pPr>
              <w:pStyle w:val="TableParagraph"/>
              <w:rPr>
                <w:rFonts w:ascii="Arial" w:hAnsi="Arial" w:cs="Arial"/>
                <w:sz w:val="20"/>
                <w:szCs w:val="20"/>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CE2B9D3" w14:textId="77777777" w:rsidR="00DC561E" w:rsidRPr="00723890" w:rsidRDefault="00DC561E" w:rsidP="00723890">
            <w:pPr>
              <w:pStyle w:val="TableParagraph"/>
              <w:rPr>
                <w:rFonts w:ascii="Arial" w:hAnsi="Arial" w:cs="Arial"/>
                <w:b/>
                <w:bCs/>
                <w:sz w:val="20"/>
                <w:szCs w:val="20"/>
              </w:rPr>
            </w:pPr>
          </w:p>
        </w:tc>
        <w:tc>
          <w:tcPr>
            <w:tcW w:w="2374" w:type="dxa"/>
            <w:gridSpan w:val="2"/>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bottom"/>
          </w:tcPr>
          <w:p w14:paraId="50FFC4DE" w14:textId="77777777" w:rsidR="00DC561E" w:rsidRPr="00723890" w:rsidRDefault="00DC561E" w:rsidP="00723890">
            <w:pPr>
              <w:pStyle w:val="TableParagraph"/>
              <w:jc w:val="center"/>
              <w:rPr>
                <w:rFonts w:ascii="Arial" w:hAnsi="Arial" w:cs="Arial"/>
                <w:b/>
                <w:bCs/>
                <w:sz w:val="20"/>
                <w:szCs w:val="20"/>
              </w:rPr>
            </w:pPr>
            <w:r w:rsidRPr="00723890">
              <w:rPr>
                <w:rFonts w:ascii="Arial" w:hAnsi="Arial" w:cs="Arial"/>
                <w:b/>
                <w:bCs/>
                <w:sz w:val="20"/>
                <w:szCs w:val="20"/>
              </w:rPr>
              <w:t>Houston city, Texas</w:t>
            </w:r>
          </w:p>
        </w:tc>
        <w:tc>
          <w:tcPr>
            <w:tcW w:w="2374" w:type="dxa"/>
            <w:gridSpan w:val="2"/>
            <w:tcBorders>
              <w:top w:val="single" w:sz="4" w:space="0" w:color="000000"/>
              <w:left w:val="single" w:sz="4" w:space="0" w:color="auto"/>
              <w:bottom w:val="single" w:sz="4" w:space="0" w:color="000000"/>
              <w:right w:val="single" w:sz="4" w:space="0" w:color="auto"/>
            </w:tcBorders>
            <w:shd w:val="clear" w:color="auto" w:fill="D9D9D9" w:themeFill="background1" w:themeFillShade="D9"/>
            <w:vAlign w:val="bottom"/>
          </w:tcPr>
          <w:p w14:paraId="7F30642B" w14:textId="77777777" w:rsidR="00DC561E" w:rsidRPr="00723890" w:rsidRDefault="00DC561E" w:rsidP="00723890">
            <w:pPr>
              <w:pStyle w:val="TableParagraph"/>
              <w:ind w:left="106"/>
              <w:jc w:val="center"/>
              <w:rPr>
                <w:rFonts w:ascii="Arial" w:hAnsi="Arial" w:cs="Arial"/>
                <w:b/>
                <w:bCs/>
                <w:sz w:val="20"/>
                <w:szCs w:val="20"/>
              </w:rPr>
            </w:pPr>
            <w:r w:rsidRPr="00723890">
              <w:rPr>
                <w:rFonts w:ascii="Arial" w:hAnsi="Arial" w:cs="Arial"/>
                <w:b/>
                <w:bCs/>
                <w:sz w:val="20"/>
                <w:szCs w:val="20"/>
              </w:rPr>
              <w:t>Houston-Sugar Land</w:t>
            </w:r>
            <w:r w:rsidR="00723890" w:rsidRPr="00723890">
              <w:rPr>
                <w:rFonts w:ascii="Arial" w:hAnsi="Arial" w:cs="Arial"/>
                <w:b/>
                <w:bCs/>
                <w:sz w:val="20"/>
                <w:szCs w:val="20"/>
              </w:rPr>
              <w:t>-</w:t>
            </w:r>
            <w:r w:rsidRPr="00723890">
              <w:rPr>
                <w:rFonts w:ascii="Arial" w:hAnsi="Arial" w:cs="Arial"/>
                <w:b/>
                <w:bCs/>
                <w:sz w:val="20"/>
                <w:szCs w:val="20"/>
              </w:rPr>
              <w:t>Baytown, TX Metro Area</w:t>
            </w:r>
          </w:p>
        </w:tc>
        <w:tc>
          <w:tcPr>
            <w:tcW w:w="0" w:type="auto"/>
            <w:tcBorders>
              <w:top w:val="nil"/>
              <w:left w:val="single" w:sz="4" w:space="0" w:color="auto"/>
              <w:bottom w:val="nil"/>
              <w:right w:val="nil"/>
            </w:tcBorders>
          </w:tcPr>
          <w:p w14:paraId="7E7FB88F" w14:textId="77777777" w:rsidR="00DC561E" w:rsidRPr="00723890" w:rsidRDefault="00DC561E" w:rsidP="00723890">
            <w:pPr>
              <w:pStyle w:val="TableParagraph"/>
              <w:rPr>
                <w:rFonts w:ascii="Arial" w:hAnsi="Arial" w:cs="Arial"/>
                <w:sz w:val="20"/>
                <w:szCs w:val="20"/>
              </w:rPr>
            </w:pPr>
          </w:p>
        </w:tc>
      </w:tr>
      <w:tr w:rsidR="00723890" w:rsidRPr="00723890" w14:paraId="255CFE16" w14:textId="77777777" w:rsidTr="00123794">
        <w:trPr>
          <w:trHeight w:val="243"/>
        </w:trPr>
        <w:tc>
          <w:tcPr>
            <w:tcW w:w="0" w:type="auto"/>
            <w:vMerge/>
            <w:tcBorders>
              <w:top w:val="nil"/>
              <w:left w:val="nil"/>
              <w:right w:val="single" w:sz="4" w:space="0" w:color="000000"/>
            </w:tcBorders>
          </w:tcPr>
          <w:p w14:paraId="75F72FB5" w14:textId="77777777" w:rsidR="00DC561E" w:rsidRPr="00723890" w:rsidRDefault="00DC561E" w:rsidP="00723890">
            <w:pPr>
              <w:spacing w:after="0" w:line="240" w:lineRule="auto"/>
              <w:rPr>
                <w:rFonts w:cs="Arial"/>
                <w:sz w:val="20"/>
                <w:szCs w:val="20"/>
              </w:rPr>
            </w:pPr>
          </w:p>
        </w:tc>
        <w:tc>
          <w:tcPr>
            <w:tcW w:w="0" w:type="auto"/>
            <w:vMerge/>
            <w:tcBorders>
              <w:top w:val="nil"/>
              <w:left w:val="single" w:sz="4" w:space="0" w:color="000000"/>
              <w:bottom w:val="single" w:sz="4" w:space="0" w:color="000000"/>
              <w:right w:val="single" w:sz="4" w:space="0" w:color="000000"/>
            </w:tcBorders>
            <w:shd w:val="clear" w:color="auto" w:fill="D9D9D9" w:themeFill="background1" w:themeFillShade="D9"/>
          </w:tcPr>
          <w:p w14:paraId="26EE307C" w14:textId="77777777" w:rsidR="00DC561E" w:rsidRPr="00723890" w:rsidRDefault="00DC561E" w:rsidP="00723890">
            <w:pPr>
              <w:spacing w:after="0" w:line="240" w:lineRule="auto"/>
              <w:rPr>
                <w:rFonts w:cs="Arial"/>
                <w:b/>
                <w:bCs/>
                <w:sz w:val="20"/>
                <w:szCs w:val="20"/>
              </w:rPr>
            </w:pPr>
          </w:p>
        </w:tc>
        <w:tc>
          <w:tcPr>
            <w:tcW w:w="237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tcPr>
          <w:p w14:paraId="1AC6D719" w14:textId="77777777" w:rsidR="00DC561E" w:rsidRPr="00723890" w:rsidRDefault="00DC561E" w:rsidP="00723890">
            <w:pPr>
              <w:pStyle w:val="TableParagraph"/>
              <w:jc w:val="center"/>
              <w:rPr>
                <w:rFonts w:ascii="Arial" w:hAnsi="Arial" w:cs="Arial"/>
                <w:b/>
                <w:bCs/>
                <w:sz w:val="20"/>
                <w:szCs w:val="20"/>
              </w:rPr>
            </w:pPr>
            <w:r w:rsidRPr="00723890">
              <w:rPr>
                <w:rFonts w:ascii="Arial" w:hAnsi="Arial" w:cs="Arial"/>
                <w:b/>
                <w:bCs/>
                <w:sz w:val="20"/>
                <w:szCs w:val="20"/>
              </w:rPr>
              <w:t xml:space="preserve">2014 </w:t>
            </w:r>
            <w:r w:rsidR="00723890" w:rsidRPr="00723890">
              <w:rPr>
                <w:rFonts w:ascii="Arial" w:hAnsi="Arial" w:cs="Arial"/>
                <w:b/>
                <w:bCs/>
                <w:sz w:val="20"/>
                <w:szCs w:val="20"/>
              </w:rPr>
              <w:t>1-year</w:t>
            </w:r>
            <w:r w:rsidRPr="00723890">
              <w:rPr>
                <w:rFonts w:ascii="Arial" w:hAnsi="Arial" w:cs="Arial"/>
                <w:b/>
                <w:bCs/>
                <w:sz w:val="20"/>
                <w:szCs w:val="20"/>
              </w:rPr>
              <w:t xml:space="preserve"> estimate</w:t>
            </w:r>
          </w:p>
        </w:tc>
        <w:tc>
          <w:tcPr>
            <w:tcW w:w="237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tcPr>
          <w:p w14:paraId="59368996" w14:textId="77777777" w:rsidR="00DC561E" w:rsidRPr="00723890" w:rsidRDefault="00DC561E" w:rsidP="00723890">
            <w:pPr>
              <w:pStyle w:val="TableParagraph"/>
              <w:jc w:val="center"/>
              <w:rPr>
                <w:rFonts w:ascii="Arial" w:hAnsi="Arial" w:cs="Arial"/>
                <w:b/>
                <w:bCs/>
                <w:sz w:val="20"/>
                <w:szCs w:val="20"/>
              </w:rPr>
            </w:pPr>
            <w:r w:rsidRPr="00723890">
              <w:rPr>
                <w:rFonts w:ascii="Arial" w:hAnsi="Arial" w:cs="Arial"/>
                <w:b/>
                <w:bCs/>
                <w:sz w:val="20"/>
                <w:szCs w:val="20"/>
              </w:rPr>
              <w:t xml:space="preserve">2012 </w:t>
            </w:r>
            <w:r w:rsidR="00723890" w:rsidRPr="00723890">
              <w:rPr>
                <w:rFonts w:ascii="Arial" w:hAnsi="Arial" w:cs="Arial"/>
                <w:b/>
                <w:bCs/>
                <w:sz w:val="20"/>
                <w:szCs w:val="20"/>
              </w:rPr>
              <w:t>1-year</w:t>
            </w:r>
            <w:r w:rsidRPr="00723890">
              <w:rPr>
                <w:rFonts w:ascii="Arial" w:hAnsi="Arial" w:cs="Arial"/>
                <w:b/>
                <w:bCs/>
                <w:sz w:val="20"/>
                <w:szCs w:val="20"/>
              </w:rPr>
              <w:t xml:space="preserve"> estimate</w:t>
            </w:r>
          </w:p>
        </w:tc>
        <w:tc>
          <w:tcPr>
            <w:tcW w:w="0" w:type="auto"/>
            <w:vMerge w:val="restart"/>
            <w:tcBorders>
              <w:top w:val="nil"/>
              <w:left w:val="single" w:sz="4" w:space="0" w:color="000000"/>
              <w:right w:val="nil"/>
            </w:tcBorders>
            <w:vAlign w:val="center"/>
          </w:tcPr>
          <w:p w14:paraId="1C491F7A" w14:textId="77777777" w:rsidR="00DC561E" w:rsidRPr="00723890" w:rsidRDefault="00DC561E" w:rsidP="00123794">
            <w:pPr>
              <w:pStyle w:val="TableParagraph"/>
              <w:rPr>
                <w:rFonts w:ascii="Arial" w:hAnsi="Arial" w:cs="Arial"/>
                <w:sz w:val="20"/>
                <w:szCs w:val="20"/>
              </w:rPr>
            </w:pPr>
          </w:p>
          <w:p w14:paraId="3C4958F2" w14:textId="77777777" w:rsidR="00DC561E" w:rsidRPr="00723890" w:rsidRDefault="00DC561E" w:rsidP="00123794">
            <w:pPr>
              <w:pStyle w:val="TableParagraph"/>
              <w:rPr>
                <w:rFonts w:ascii="Arial" w:hAnsi="Arial" w:cs="Arial"/>
                <w:sz w:val="20"/>
                <w:szCs w:val="20"/>
              </w:rPr>
            </w:pPr>
          </w:p>
          <w:p w14:paraId="64E61CA5" w14:textId="77777777" w:rsidR="00DC561E" w:rsidRPr="00723890" w:rsidRDefault="00DC561E" w:rsidP="00123794">
            <w:pPr>
              <w:pStyle w:val="TableParagraph"/>
              <w:rPr>
                <w:rFonts w:ascii="Arial" w:hAnsi="Arial" w:cs="Arial"/>
                <w:sz w:val="20"/>
                <w:szCs w:val="20"/>
              </w:rPr>
            </w:pPr>
          </w:p>
          <w:p w14:paraId="6AE5D2E3" w14:textId="77777777" w:rsidR="00DC561E" w:rsidRPr="00723890" w:rsidRDefault="00DC561E" w:rsidP="00123794">
            <w:pPr>
              <w:pStyle w:val="TableParagraph"/>
              <w:rPr>
                <w:rFonts w:ascii="Arial" w:hAnsi="Arial" w:cs="Arial"/>
                <w:sz w:val="20"/>
                <w:szCs w:val="20"/>
              </w:rPr>
            </w:pPr>
          </w:p>
          <w:p w14:paraId="0DD82C5A" w14:textId="77777777" w:rsidR="00DC561E" w:rsidRPr="00723890" w:rsidRDefault="00DC561E" w:rsidP="00123794">
            <w:pPr>
              <w:pStyle w:val="TableParagraph"/>
              <w:rPr>
                <w:rFonts w:ascii="Arial" w:hAnsi="Arial" w:cs="Arial"/>
                <w:sz w:val="20"/>
                <w:szCs w:val="20"/>
              </w:rPr>
            </w:pPr>
          </w:p>
          <w:p w14:paraId="392A431A" w14:textId="77777777" w:rsidR="00DC561E" w:rsidRPr="00723890" w:rsidRDefault="00DC561E" w:rsidP="00123794">
            <w:pPr>
              <w:pStyle w:val="TableParagraph"/>
              <w:ind w:left="37" w:right="-42"/>
              <w:rPr>
                <w:rFonts w:ascii="Arial" w:hAnsi="Arial" w:cs="Arial"/>
                <w:sz w:val="20"/>
                <w:szCs w:val="20"/>
              </w:rPr>
            </w:pPr>
            <w:r w:rsidRPr="00723890">
              <w:rPr>
                <w:rFonts w:ascii="Arial" w:hAnsi="Arial" w:cs="Arial"/>
                <w:sz w:val="20"/>
                <w:szCs w:val="20"/>
              </w:rPr>
              <w:t>Requires written translation and</w:t>
            </w:r>
            <w:r w:rsidR="00723890">
              <w:rPr>
                <w:rFonts w:ascii="Arial" w:hAnsi="Arial" w:cs="Arial"/>
                <w:sz w:val="20"/>
                <w:szCs w:val="20"/>
              </w:rPr>
              <w:t xml:space="preserve"> oral </w:t>
            </w:r>
            <w:r w:rsidRPr="00723890">
              <w:rPr>
                <w:rFonts w:ascii="Arial" w:hAnsi="Arial" w:cs="Arial"/>
                <w:sz w:val="20"/>
                <w:szCs w:val="20"/>
              </w:rPr>
              <w:t>interpretation</w:t>
            </w:r>
          </w:p>
        </w:tc>
      </w:tr>
      <w:tr w:rsidR="00723890" w:rsidRPr="00723890" w14:paraId="573A16D2" w14:textId="77777777" w:rsidTr="00723890">
        <w:trPr>
          <w:trHeight w:val="526"/>
        </w:trPr>
        <w:tc>
          <w:tcPr>
            <w:tcW w:w="0" w:type="auto"/>
            <w:vMerge/>
            <w:tcBorders>
              <w:top w:val="nil"/>
              <w:left w:val="nil"/>
              <w:right w:val="single" w:sz="4" w:space="0" w:color="000000"/>
            </w:tcBorders>
          </w:tcPr>
          <w:p w14:paraId="7B8C49F6" w14:textId="77777777" w:rsidR="00DC561E" w:rsidRPr="00723890" w:rsidRDefault="00DC561E" w:rsidP="00723890">
            <w:pPr>
              <w:spacing w:after="0" w:line="240" w:lineRule="auto"/>
              <w:rPr>
                <w:rFonts w:cs="Arial"/>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FFE5681" w14:textId="77777777" w:rsidR="00DC561E" w:rsidRPr="00723890" w:rsidRDefault="00DC561E" w:rsidP="00723890">
            <w:pPr>
              <w:pStyle w:val="TableParagraph"/>
              <w:rPr>
                <w:rFonts w:ascii="Arial" w:hAnsi="Arial" w:cs="Arial"/>
                <w:sz w:val="20"/>
                <w:szCs w:val="20"/>
              </w:rPr>
            </w:pPr>
          </w:p>
        </w:tc>
        <w:tc>
          <w:tcPr>
            <w:tcW w:w="11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tcPr>
          <w:p w14:paraId="6B4981AE" w14:textId="77777777" w:rsidR="00DC561E" w:rsidRPr="00723890" w:rsidRDefault="00DC561E" w:rsidP="00723890">
            <w:pPr>
              <w:pStyle w:val="TableParagraph"/>
              <w:jc w:val="center"/>
              <w:rPr>
                <w:rFonts w:ascii="Arial" w:hAnsi="Arial" w:cs="Arial"/>
                <w:b/>
                <w:bCs/>
                <w:sz w:val="20"/>
                <w:szCs w:val="20"/>
              </w:rPr>
            </w:pPr>
            <w:r w:rsidRPr="00723890">
              <w:rPr>
                <w:rFonts w:ascii="Arial" w:hAnsi="Arial" w:cs="Arial"/>
                <w:b/>
                <w:bCs/>
                <w:sz w:val="20"/>
                <w:szCs w:val="20"/>
              </w:rPr>
              <w:t>Estimate</w:t>
            </w:r>
          </w:p>
        </w:tc>
        <w:tc>
          <w:tcPr>
            <w:tcW w:w="11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tcPr>
          <w:p w14:paraId="7E00E2D9" w14:textId="77777777" w:rsidR="00DC561E" w:rsidRPr="00723890" w:rsidRDefault="00DC561E" w:rsidP="00723890">
            <w:pPr>
              <w:pStyle w:val="TableParagraph"/>
              <w:ind w:left="106" w:right="111"/>
              <w:jc w:val="center"/>
              <w:rPr>
                <w:rFonts w:ascii="Arial" w:hAnsi="Arial" w:cs="Arial"/>
                <w:b/>
                <w:bCs/>
                <w:sz w:val="20"/>
                <w:szCs w:val="20"/>
              </w:rPr>
            </w:pPr>
            <w:r w:rsidRPr="00723890">
              <w:rPr>
                <w:rFonts w:ascii="Arial" w:hAnsi="Arial" w:cs="Arial"/>
                <w:b/>
                <w:bCs/>
                <w:sz w:val="20"/>
                <w:szCs w:val="20"/>
              </w:rPr>
              <w:t>Percent of Total</w:t>
            </w:r>
          </w:p>
        </w:tc>
        <w:tc>
          <w:tcPr>
            <w:tcW w:w="11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tcPr>
          <w:p w14:paraId="030B9BBE" w14:textId="77777777" w:rsidR="00DC561E" w:rsidRPr="00723890" w:rsidRDefault="00DC561E" w:rsidP="00723890">
            <w:pPr>
              <w:pStyle w:val="TableParagraph"/>
              <w:jc w:val="center"/>
              <w:rPr>
                <w:rFonts w:ascii="Arial" w:hAnsi="Arial" w:cs="Arial"/>
                <w:b/>
                <w:bCs/>
                <w:sz w:val="20"/>
                <w:szCs w:val="20"/>
              </w:rPr>
            </w:pPr>
            <w:r w:rsidRPr="00723890">
              <w:rPr>
                <w:rFonts w:ascii="Arial" w:hAnsi="Arial" w:cs="Arial"/>
                <w:b/>
                <w:bCs/>
                <w:sz w:val="20"/>
                <w:szCs w:val="20"/>
              </w:rPr>
              <w:t>Estimate</w:t>
            </w:r>
          </w:p>
        </w:tc>
        <w:tc>
          <w:tcPr>
            <w:tcW w:w="11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tcPr>
          <w:p w14:paraId="6F6273B4" w14:textId="77777777" w:rsidR="00DC561E" w:rsidRPr="00723890" w:rsidRDefault="00DC561E" w:rsidP="00723890">
            <w:pPr>
              <w:pStyle w:val="TableParagraph"/>
              <w:ind w:left="96" w:right="172"/>
              <w:jc w:val="center"/>
              <w:rPr>
                <w:rFonts w:ascii="Arial" w:hAnsi="Arial" w:cs="Arial"/>
                <w:b/>
                <w:bCs/>
                <w:sz w:val="20"/>
                <w:szCs w:val="20"/>
              </w:rPr>
            </w:pPr>
            <w:r w:rsidRPr="00723890">
              <w:rPr>
                <w:rFonts w:ascii="Arial" w:hAnsi="Arial" w:cs="Arial"/>
                <w:b/>
                <w:bCs/>
                <w:sz w:val="20"/>
                <w:szCs w:val="20"/>
              </w:rPr>
              <w:t>Percent of Total</w:t>
            </w:r>
          </w:p>
        </w:tc>
        <w:tc>
          <w:tcPr>
            <w:tcW w:w="0" w:type="auto"/>
            <w:vMerge/>
            <w:tcBorders>
              <w:top w:val="nil"/>
              <w:left w:val="single" w:sz="4" w:space="0" w:color="000000"/>
              <w:right w:val="nil"/>
            </w:tcBorders>
          </w:tcPr>
          <w:p w14:paraId="2EFDBCA0" w14:textId="77777777" w:rsidR="00DC561E" w:rsidRPr="00723890" w:rsidRDefault="00DC561E" w:rsidP="00723890">
            <w:pPr>
              <w:spacing w:after="0" w:line="240" w:lineRule="auto"/>
              <w:rPr>
                <w:rFonts w:cs="Arial"/>
                <w:sz w:val="20"/>
                <w:szCs w:val="20"/>
              </w:rPr>
            </w:pPr>
          </w:p>
        </w:tc>
      </w:tr>
      <w:tr w:rsidR="00723890" w:rsidRPr="00723890" w14:paraId="3E2AC36E" w14:textId="77777777" w:rsidTr="00723890">
        <w:trPr>
          <w:trHeight w:val="417"/>
        </w:trPr>
        <w:tc>
          <w:tcPr>
            <w:tcW w:w="0" w:type="auto"/>
            <w:vMerge/>
            <w:tcBorders>
              <w:top w:val="nil"/>
              <w:left w:val="nil"/>
              <w:right w:val="single" w:sz="4" w:space="0" w:color="000000"/>
            </w:tcBorders>
          </w:tcPr>
          <w:p w14:paraId="6A8A682E" w14:textId="77777777" w:rsidR="00DC561E" w:rsidRPr="00723890" w:rsidRDefault="00DC561E" w:rsidP="00723890">
            <w:pPr>
              <w:spacing w:after="0" w:line="240" w:lineRule="auto"/>
              <w:rPr>
                <w:rFonts w:cs="Arial"/>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ACB8A25" w14:textId="77777777" w:rsidR="00DC561E" w:rsidRPr="00723890" w:rsidRDefault="00DC561E" w:rsidP="00723890">
            <w:pPr>
              <w:pStyle w:val="TableParagraph"/>
              <w:rPr>
                <w:rFonts w:ascii="Arial" w:hAnsi="Arial" w:cs="Arial"/>
                <w:sz w:val="20"/>
                <w:szCs w:val="20"/>
              </w:rPr>
            </w:pPr>
            <w:r w:rsidRPr="00723890">
              <w:rPr>
                <w:rFonts w:ascii="Arial" w:hAnsi="Arial" w:cs="Arial"/>
                <w:sz w:val="20"/>
                <w:szCs w:val="20"/>
              </w:rPr>
              <w:t>Total:</w:t>
            </w:r>
          </w:p>
        </w:tc>
        <w:tc>
          <w:tcPr>
            <w:tcW w:w="1187" w:type="dxa"/>
            <w:tcBorders>
              <w:top w:val="single" w:sz="4" w:space="0" w:color="000000"/>
              <w:left w:val="single" w:sz="4" w:space="0" w:color="000000"/>
              <w:bottom w:val="single" w:sz="4" w:space="0" w:color="000000"/>
              <w:right w:val="single" w:sz="4" w:space="0" w:color="000000"/>
            </w:tcBorders>
            <w:vAlign w:val="center"/>
          </w:tcPr>
          <w:p w14:paraId="4D7F9AB0" w14:textId="77777777" w:rsidR="00DC561E" w:rsidRPr="00723890" w:rsidRDefault="00DC561E" w:rsidP="00723890">
            <w:pPr>
              <w:pStyle w:val="TableParagraph"/>
              <w:jc w:val="right"/>
              <w:rPr>
                <w:rFonts w:ascii="Arial" w:hAnsi="Arial" w:cs="Arial"/>
                <w:sz w:val="20"/>
                <w:szCs w:val="20"/>
              </w:rPr>
            </w:pPr>
            <w:r w:rsidRPr="00723890">
              <w:rPr>
                <w:rFonts w:ascii="Arial" w:hAnsi="Arial" w:cs="Arial"/>
                <w:sz w:val="20"/>
                <w:szCs w:val="20"/>
              </w:rPr>
              <w:t>2,036,207</w:t>
            </w:r>
          </w:p>
        </w:tc>
        <w:tc>
          <w:tcPr>
            <w:tcW w:w="1187" w:type="dxa"/>
            <w:tcBorders>
              <w:top w:val="single" w:sz="4" w:space="0" w:color="000000"/>
              <w:left w:val="single" w:sz="4" w:space="0" w:color="000000"/>
              <w:bottom w:val="single" w:sz="4" w:space="0" w:color="000000"/>
              <w:right w:val="single" w:sz="4" w:space="0" w:color="000000"/>
            </w:tcBorders>
            <w:vAlign w:val="center"/>
          </w:tcPr>
          <w:p w14:paraId="335E2555" w14:textId="77777777" w:rsidR="00DC561E" w:rsidRPr="00723890" w:rsidRDefault="00DC561E" w:rsidP="00723890">
            <w:pPr>
              <w:pStyle w:val="TableParagraph"/>
              <w:jc w:val="right"/>
              <w:rPr>
                <w:rFonts w:ascii="Arial" w:hAnsi="Arial" w:cs="Arial"/>
                <w:sz w:val="20"/>
                <w:szCs w:val="20"/>
              </w:rPr>
            </w:pPr>
          </w:p>
        </w:tc>
        <w:tc>
          <w:tcPr>
            <w:tcW w:w="1187" w:type="dxa"/>
            <w:tcBorders>
              <w:top w:val="single" w:sz="4" w:space="0" w:color="000000"/>
              <w:left w:val="single" w:sz="4" w:space="0" w:color="000000"/>
              <w:bottom w:val="single" w:sz="4" w:space="0" w:color="000000"/>
              <w:right w:val="single" w:sz="4" w:space="0" w:color="000000"/>
            </w:tcBorders>
            <w:vAlign w:val="center"/>
          </w:tcPr>
          <w:p w14:paraId="3DCB0E16" w14:textId="77777777" w:rsidR="00DC561E" w:rsidRPr="00723890" w:rsidRDefault="00DC561E" w:rsidP="00723890">
            <w:pPr>
              <w:pStyle w:val="TableParagraph"/>
              <w:jc w:val="right"/>
              <w:rPr>
                <w:rFonts w:ascii="Arial" w:hAnsi="Arial" w:cs="Arial"/>
                <w:sz w:val="20"/>
                <w:szCs w:val="20"/>
              </w:rPr>
            </w:pPr>
            <w:r w:rsidRPr="00723890">
              <w:rPr>
                <w:rFonts w:ascii="Arial" w:hAnsi="Arial" w:cs="Arial"/>
                <w:sz w:val="20"/>
                <w:szCs w:val="20"/>
              </w:rPr>
              <w:t>5,656,109</w:t>
            </w:r>
          </w:p>
        </w:tc>
        <w:tc>
          <w:tcPr>
            <w:tcW w:w="1187" w:type="dxa"/>
            <w:tcBorders>
              <w:top w:val="single" w:sz="4" w:space="0" w:color="000000"/>
              <w:left w:val="single" w:sz="4" w:space="0" w:color="000000"/>
              <w:bottom w:val="single" w:sz="4" w:space="0" w:color="000000"/>
              <w:right w:val="single" w:sz="4" w:space="0" w:color="000000"/>
            </w:tcBorders>
            <w:vAlign w:val="center"/>
          </w:tcPr>
          <w:p w14:paraId="31E84486" w14:textId="77777777" w:rsidR="00DC561E" w:rsidRPr="00723890" w:rsidRDefault="00DC561E" w:rsidP="00723890">
            <w:pPr>
              <w:pStyle w:val="TableParagraph"/>
              <w:jc w:val="right"/>
              <w:rPr>
                <w:rFonts w:ascii="Arial" w:hAnsi="Arial" w:cs="Arial"/>
                <w:sz w:val="20"/>
                <w:szCs w:val="20"/>
              </w:rPr>
            </w:pPr>
          </w:p>
        </w:tc>
        <w:tc>
          <w:tcPr>
            <w:tcW w:w="0" w:type="auto"/>
            <w:vMerge/>
            <w:tcBorders>
              <w:top w:val="nil"/>
              <w:left w:val="single" w:sz="4" w:space="0" w:color="000000"/>
              <w:right w:val="nil"/>
            </w:tcBorders>
          </w:tcPr>
          <w:p w14:paraId="36999D0D" w14:textId="77777777" w:rsidR="00DC561E" w:rsidRPr="00723890" w:rsidRDefault="00DC561E" w:rsidP="00723890">
            <w:pPr>
              <w:spacing w:after="0" w:line="240" w:lineRule="auto"/>
              <w:rPr>
                <w:rFonts w:cs="Arial"/>
                <w:sz w:val="20"/>
                <w:szCs w:val="20"/>
              </w:rPr>
            </w:pPr>
          </w:p>
        </w:tc>
      </w:tr>
      <w:tr w:rsidR="00723890" w:rsidRPr="00723890" w14:paraId="526B58E9" w14:textId="77777777" w:rsidTr="00723890">
        <w:trPr>
          <w:trHeight w:val="517"/>
        </w:trPr>
        <w:tc>
          <w:tcPr>
            <w:tcW w:w="0" w:type="auto"/>
            <w:vMerge/>
            <w:tcBorders>
              <w:top w:val="nil"/>
              <w:left w:val="nil"/>
              <w:right w:val="single" w:sz="4" w:space="0" w:color="000000"/>
            </w:tcBorders>
          </w:tcPr>
          <w:p w14:paraId="09982649" w14:textId="77777777" w:rsidR="00DC561E" w:rsidRPr="00723890" w:rsidRDefault="00DC561E" w:rsidP="00723890">
            <w:pPr>
              <w:spacing w:after="0" w:line="240" w:lineRule="auto"/>
              <w:rPr>
                <w:rFonts w:cs="Arial"/>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D017166" w14:textId="77777777" w:rsidR="00DC561E" w:rsidRPr="00723890" w:rsidRDefault="00DC561E" w:rsidP="00723890">
            <w:pPr>
              <w:pStyle w:val="TableParagraph"/>
              <w:ind w:right="447"/>
              <w:rPr>
                <w:rFonts w:ascii="Arial" w:hAnsi="Arial" w:cs="Arial"/>
                <w:sz w:val="20"/>
                <w:szCs w:val="20"/>
              </w:rPr>
            </w:pPr>
            <w:r w:rsidRPr="00723890">
              <w:rPr>
                <w:rFonts w:ascii="Arial" w:hAnsi="Arial" w:cs="Arial"/>
                <w:sz w:val="20"/>
                <w:szCs w:val="20"/>
              </w:rPr>
              <w:t>Income in the past 12 months below poverty level:</w:t>
            </w:r>
          </w:p>
        </w:tc>
        <w:tc>
          <w:tcPr>
            <w:tcW w:w="1187" w:type="dxa"/>
            <w:tcBorders>
              <w:top w:val="single" w:sz="4" w:space="0" w:color="000000"/>
              <w:left w:val="single" w:sz="4" w:space="0" w:color="000000"/>
              <w:bottom w:val="single" w:sz="4" w:space="0" w:color="000000"/>
              <w:right w:val="single" w:sz="4" w:space="0" w:color="000000"/>
            </w:tcBorders>
            <w:vAlign w:val="center"/>
          </w:tcPr>
          <w:p w14:paraId="2B681658" w14:textId="77777777" w:rsidR="00DC561E" w:rsidRPr="00723890" w:rsidRDefault="00DC561E" w:rsidP="00723890">
            <w:pPr>
              <w:pStyle w:val="TableParagraph"/>
              <w:jc w:val="right"/>
              <w:rPr>
                <w:rFonts w:ascii="Arial" w:hAnsi="Arial" w:cs="Arial"/>
                <w:sz w:val="20"/>
                <w:szCs w:val="20"/>
              </w:rPr>
            </w:pPr>
            <w:r w:rsidRPr="00723890">
              <w:rPr>
                <w:rFonts w:ascii="Arial" w:hAnsi="Arial" w:cs="Arial"/>
                <w:sz w:val="20"/>
                <w:szCs w:val="20"/>
              </w:rPr>
              <w:t>432,645</w:t>
            </w:r>
          </w:p>
        </w:tc>
        <w:tc>
          <w:tcPr>
            <w:tcW w:w="1187" w:type="dxa"/>
            <w:tcBorders>
              <w:top w:val="single" w:sz="4" w:space="0" w:color="000000"/>
              <w:left w:val="single" w:sz="4" w:space="0" w:color="000000"/>
              <w:bottom w:val="single" w:sz="4" w:space="0" w:color="000000"/>
              <w:right w:val="single" w:sz="4" w:space="0" w:color="000000"/>
            </w:tcBorders>
            <w:vAlign w:val="center"/>
          </w:tcPr>
          <w:p w14:paraId="532E01F6" w14:textId="77777777" w:rsidR="00DC561E" w:rsidRPr="00723890" w:rsidRDefault="00DC561E" w:rsidP="00723890">
            <w:pPr>
              <w:pStyle w:val="TableParagraph"/>
              <w:ind w:left="106"/>
              <w:jc w:val="right"/>
              <w:rPr>
                <w:rFonts w:ascii="Arial" w:hAnsi="Arial" w:cs="Arial"/>
                <w:sz w:val="20"/>
                <w:szCs w:val="20"/>
              </w:rPr>
            </w:pPr>
            <w:r w:rsidRPr="00723890">
              <w:rPr>
                <w:rFonts w:ascii="Arial" w:hAnsi="Arial" w:cs="Arial"/>
                <w:sz w:val="20"/>
                <w:szCs w:val="20"/>
              </w:rPr>
              <w:t>21.2%</w:t>
            </w:r>
          </w:p>
        </w:tc>
        <w:tc>
          <w:tcPr>
            <w:tcW w:w="1187" w:type="dxa"/>
            <w:tcBorders>
              <w:top w:val="single" w:sz="4" w:space="0" w:color="000000"/>
              <w:left w:val="single" w:sz="4" w:space="0" w:color="000000"/>
              <w:bottom w:val="single" w:sz="4" w:space="0" w:color="000000"/>
              <w:right w:val="single" w:sz="4" w:space="0" w:color="000000"/>
            </w:tcBorders>
            <w:vAlign w:val="center"/>
          </w:tcPr>
          <w:p w14:paraId="270E2BF6" w14:textId="77777777" w:rsidR="00DC561E" w:rsidRPr="00723890" w:rsidRDefault="00DC561E" w:rsidP="00723890">
            <w:pPr>
              <w:pStyle w:val="TableParagraph"/>
              <w:jc w:val="right"/>
              <w:rPr>
                <w:rFonts w:ascii="Arial" w:hAnsi="Arial" w:cs="Arial"/>
                <w:sz w:val="20"/>
                <w:szCs w:val="20"/>
              </w:rPr>
            </w:pPr>
            <w:r w:rsidRPr="00723890">
              <w:rPr>
                <w:rFonts w:ascii="Arial" w:hAnsi="Arial" w:cs="Arial"/>
                <w:sz w:val="20"/>
                <w:szCs w:val="20"/>
              </w:rPr>
              <w:t>880,549</w:t>
            </w:r>
          </w:p>
        </w:tc>
        <w:tc>
          <w:tcPr>
            <w:tcW w:w="1187" w:type="dxa"/>
            <w:tcBorders>
              <w:top w:val="single" w:sz="4" w:space="0" w:color="000000"/>
              <w:left w:val="single" w:sz="4" w:space="0" w:color="000000"/>
              <w:bottom w:val="single" w:sz="4" w:space="0" w:color="000000"/>
              <w:right w:val="single" w:sz="4" w:space="0" w:color="000000"/>
            </w:tcBorders>
            <w:vAlign w:val="center"/>
          </w:tcPr>
          <w:p w14:paraId="65B93DED" w14:textId="77777777" w:rsidR="00DC561E" w:rsidRPr="00723890" w:rsidRDefault="00DC561E" w:rsidP="00723890">
            <w:pPr>
              <w:pStyle w:val="TableParagraph"/>
              <w:ind w:left="96"/>
              <w:jc w:val="right"/>
              <w:rPr>
                <w:rFonts w:ascii="Arial" w:hAnsi="Arial" w:cs="Arial"/>
                <w:sz w:val="20"/>
                <w:szCs w:val="20"/>
              </w:rPr>
            </w:pPr>
            <w:r w:rsidRPr="00723890">
              <w:rPr>
                <w:rFonts w:ascii="Arial" w:hAnsi="Arial" w:cs="Arial"/>
                <w:sz w:val="20"/>
                <w:szCs w:val="20"/>
              </w:rPr>
              <w:t>15.6%</w:t>
            </w:r>
          </w:p>
        </w:tc>
        <w:tc>
          <w:tcPr>
            <w:tcW w:w="0" w:type="auto"/>
            <w:vMerge/>
            <w:tcBorders>
              <w:top w:val="nil"/>
              <w:left w:val="single" w:sz="4" w:space="0" w:color="000000"/>
              <w:right w:val="nil"/>
            </w:tcBorders>
          </w:tcPr>
          <w:p w14:paraId="0E89AAD5" w14:textId="77777777" w:rsidR="00DC561E" w:rsidRPr="00723890" w:rsidRDefault="00DC561E" w:rsidP="00723890">
            <w:pPr>
              <w:spacing w:after="0" w:line="240" w:lineRule="auto"/>
              <w:rPr>
                <w:rFonts w:cs="Arial"/>
                <w:sz w:val="20"/>
                <w:szCs w:val="20"/>
              </w:rPr>
            </w:pPr>
          </w:p>
        </w:tc>
      </w:tr>
      <w:tr w:rsidR="00723890" w:rsidRPr="00723890" w14:paraId="2EA3FC62" w14:textId="77777777" w:rsidTr="00723890">
        <w:trPr>
          <w:trHeight w:val="248"/>
        </w:trPr>
        <w:tc>
          <w:tcPr>
            <w:tcW w:w="0" w:type="auto"/>
            <w:vMerge/>
            <w:tcBorders>
              <w:top w:val="nil"/>
              <w:left w:val="nil"/>
              <w:right w:val="single" w:sz="4" w:space="0" w:color="000000"/>
            </w:tcBorders>
          </w:tcPr>
          <w:p w14:paraId="7B3ED0F0" w14:textId="77777777" w:rsidR="00DC561E" w:rsidRPr="00723890" w:rsidRDefault="00DC561E" w:rsidP="00723890">
            <w:pPr>
              <w:spacing w:after="0" w:line="240" w:lineRule="auto"/>
              <w:rPr>
                <w:rFonts w:cs="Arial"/>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3E26F6A" w14:textId="77777777" w:rsidR="00DC561E" w:rsidRPr="00723890" w:rsidRDefault="00DC561E" w:rsidP="00723890">
            <w:pPr>
              <w:pStyle w:val="TableParagraph"/>
              <w:ind w:left="307"/>
              <w:rPr>
                <w:rFonts w:ascii="Arial" w:hAnsi="Arial" w:cs="Arial"/>
                <w:sz w:val="20"/>
                <w:szCs w:val="20"/>
              </w:rPr>
            </w:pPr>
            <w:r w:rsidRPr="00723890">
              <w:rPr>
                <w:rFonts w:ascii="Arial" w:hAnsi="Arial" w:cs="Arial"/>
                <w:sz w:val="20"/>
                <w:szCs w:val="20"/>
              </w:rPr>
              <w:t>Speak only English</w:t>
            </w:r>
          </w:p>
        </w:tc>
        <w:tc>
          <w:tcPr>
            <w:tcW w:w="1187" w:type="dxa"/>
            <w:tcBorders>
              <w:top w:val="single" w:sz="4" w:space="0" w:color="000000"/>
              <w:left w:val="single" w:sz="4" w:space="0" w:color="000000"/>
              <w:bottom w:val="single" w:sz="4" w:space="0" w:color="000000"/>
              <w:right w:val="single" w:sz="4" w:space="0" w:color="000000"/>
            </w:tcBorders>
            <w:vAlign w:val="center"/>
          </w:tcPr>
          <w:p w14:paraId="10D90276" w14:textId="77777777" w:rsidR="00DC561E" w:rsidRPr="00723890" w:rsidRDefault="00DC561E" w:rsidP="00723890">
            <w:pPr>
              <w:pStyle w:val="TableParagraph"/>
              <w:jc w:val="right"/>
              <w:rPr>
                <w:rFonts w:ascii="Arial" w:hAnsi="Arial" w:cs="Arial"/>
                <w:sz w:val="20"/>
                <w:szCs w:val="20"/>
              </w:rPr>
            </w:pPr>
            <w:r w:rsidRPr="00723890">
              <w:rPr>
                <w:rFonts w:ascii="Arial" w:hAnsi="Arial" w:cs="Arial"/>
                <w:sz w:val="20"/>
                <w:szCs w:val="20"/>
              </w:rPr>
              <w:t>171,038</w:t>
            </w:r>
          </w:p>
        </w:tc>
        <w:tc>
          <w:tcPr>
            <w:tcW w:w="1187" w:type="dxa"/>
            <w:tcBorders>
              <w:top w:val="single" w:sz="4" w:space="0" w:color="000000"/>
              <w:left w:val="single" w:sz="4" w:space="0" w:color="000000"/>
              <w:bottom w:val="single" w:sz="4" w:space="0" w:color="000000"/>
              <w:right w:val="single" w:sz="4" w:space="0" w:color="000000"/>
            </w:tcBorders>
            <w:vAlign w:val="center"/>
          </w:tcPr>
          <w:p w14:paraId="7040313F" w14:textId="77777777" w:rsidR="00DC561E" w:rsidRPr="00723890" w:rsidRDefault="00DC561E" w:rsidP="00723890">
            <w:pPr>
              <w:pStyle w:val="TableParagraph"/>
              <w:ind w:left="106"/>
              <w:jc w:val="right"/>
              <w:rPr>
                <w:rFonts w:ascii="Arial" w:hAnsi="Arial" w:cs="Arial"/>
                <w:sz w:val="20"/>
                <w:szCs w:val="20"/>
              </w:rPr>
            </w:pPr>
            <w:r w:rsidRPr="00723890">
              <w:rPr>
                <w:rFonts w:ascii="Arial" w:hAnsi="Arial" w:cs="Arial"/>
                <w:sz w:val="20"/>
                <w:szCs w:val="20"/>
              </w:rPr>
              <w:t>8.4%</w:t>
            </w:r>
          </w:p>
        </w:tc>
        <w:tc>
          <w:tcPr>
            <w:tcW w:w="1187" w:type="dxa"/>
            <w:tcBorders>
              <w:top w:val="single" w:sz="4" w:space="0" w:color="000000"/>
              <w:left w:val="single" w:sz="4" w:space="0" w:color="000000"/>
              <w:bottom w:val="single" w:sz="4" w:space="0" w:color="000000"/>
              <w:right w:val="single" w:sz="4" w:space="0" w:color="000000"/>
            </w:tcBorders>
            <w:vAlign w:val="center"/>
          </w:tcPr>
          <w:p w14:paraId="69AE298E" w14:textId="77777777" w:rsidR="00DC561E" w:rsidRPr="00723890" w:rsidRDefault="00DC561E" w:rsidP="00723890">
            <w:pPr>
              <w:pStyle w:val="TableParagraph"/>
              <w:jc w:val="right"/>
              <w:rPr>
                <w:rFonts w:ascii="Arial" w:hAnsi="Arial" w:cs="Arial"/>
                <w:sz w:val="20"/>
                <w:szCs w:val="20"/>
              </w:rPr>
            </w:pPr>
            <w:r w:rsidRPr="00723890">
              <w:rPr>
                <w:rFonts w:ascii="Arial" w:hAnsi="Arial" w:cs="Arial"/>
                <w:sz w:val="20"/>
                <w:szCs w:val="20"/>
              </w:rPr>
              <w:t>405,718</w:t>
            </w:r>
          </w:p>
        </w:tc>
        <w:tc>
          <w:tcPr>
            <w:tcW w:w="1187" w:type="dxa"/>
            <w:tcBorders>
              <w:top w:val="single" w:sz="4" w:space="0" w:color="000000"/>
              <w:left w:val="single" w:sz="4" w:space="0" w:color="000000"/>
              <w:bottom w:val="single" w:sz="4" w:space="0" w:color="000000"/>
              <w:right w:val="single" w:sz="4" w:space="0" w:color="000000"/>
            </w:tcBorders>
            <w:vAlign w:val="center"/>
          </w:tcPr>
          <w:p w14:paraId="597D2D89" w14:textId="77777777" w:rsidR="00DC561E" w:rsidRPr="00723890" w:rsidRDefault="00DC561E" w:rsidP="00723890">
            <w:pPr>
              <w:pStyle w:val="TableParagraph"/>
              <w:ind w:left="96"/>
              <w:jc w:val="right"/>
              <w:rPr>
                <w:rFonts w:ascii="Arial" w:hAnsi="Arial" w:cs="Arial"/>
                <w:sz w:val="20"/>
                <w:szCs w:val="20"/>
              </w:rPr>
            </w:pPr>
            <w:r w:rsidRPr="00723890">
              <w:rPr>
                <w:rFonts w:ascii="Arial" w:hAnsi="Arial" w:cs="Arial"/>
                <w:sz w:val="20"/>
                <w:szCs w:val="20"/>
              </w:rPr>
              <w:t>7.2%</w:t>
            </w:r>
          </w:p>
        </w:tc>
        <w:tc>
          <w:tcPr>
            <w:tcW w:w="0" w:type="auto"/>
            <w:vMerge/>
            <w:tcBorders>
              <w:top w:val="nil"/>
              <w:left w:val="single" w:sz="4" w:space="0" w:color="000000"/>
              <w:right w:val="nil"/>
            </w:tcBorders>
          </w:tcPr>
          <w:p w14:paraId="3248D1C3" w14:textId="77777777" w:rsidR="00DC561E" w:rsidRPr="00723890" w:rsidRDefault="00DC561E" w:rsidP="00723890">
            <w:pPr>
              <w:spacing w:after="0" w:line="240" w:lineRule="auto"/>
              <w:rPr>
                <w:rFonts w:cs="Arial"/>
                <w:sz w:val="20"/>
                <w:szCs w:val="20"/>
              </w:rPr>
            </w:pPr>
          </w:p>
        </w:tc>
      </w:tr>
      <w:tr w:rsidR="00723890" w:rsidRPr="00723890" w14:paraId="6872C19E" w14:textId="77777777" w:rsidTr="00723890">
        <w:trPr>
          <w:trHeight w:val="257"/>
        </w:trPr>
        <w:tc>
          <w:tcPr>
            <w:tcW w:w="0" w:type="auto"/>
            <w:vMerge/>
            <w:tcBorders>
              <w:top w:val="nil"/>
              <w:left w:val="nil"/>
              <w:right w:val="single" w:sz="4" w:space="0" w:color="000000"/>
            </w:tcBorders>
          </w:tcPr>
          <w:p w14:paraId="64160D92" w14:textId="77777777" w:rsidR="00DC561E" w:rsidRPr="00723890" w:rsidRDefault="00DC561E" w:rsidP="00723890">
            <w:pPr>
              <w:spacing w:after="0" w:line="240" w:lineRule="auto"/>
              <w:rPr>
                <w:rFonts w:cs="Arial"/>
                <w:sz w:val="20"/>
                <w:szCs w:val="20"/>
              </w:rPr>
            </w:pPr>
          </w:p>
        </w:tc>
        <w:tc>
          <w:tcPr>
            <w:tcW w:w="0" w:type="auto"/>
            <w:tcBorders>
              <w:top w:val="single" w:sz="4" w:space="0" w:color="000000"/>
              <w:left w:val="single" w:sz="4" w:space="0" w:color="000000"/>
              <w:right w:val="single" w:sz="4" w:space="0" w:color="000000"/>
            </w:tcBorders>
            <w:vAlign w:val="center"/>
          </w:tcPr>
          <w:p w14:paraId="3D138F4D" w14:textId="77777777" w:rsidR="00DC561E" w:rsidRPr="00723890" w:rsidRDefault="00DC561E" w:rsidP="00723890">
            <w:pPr>
              <w:pStyle w:val="TableParagraph"/>
              <w:ind w:left="307"/>
              <w:rPr>
                <w:rFonts w:ascii="Arial" w:hAnsi="Arial" w:cs="Arial"/>
                <w:sz w:val="20"/>
                <w:szCs w:val="20"/>
              </w:rPr>
            </w:pPr>
            <w:r w:rsidRPr="00723890">
              <w:rPr>
                <w:rFonts w:ascii="Arial" w:hAnsi="Arial" w:cs="Arial"/>
                <w:sz w:val="20"/>
                <w:szCs w:val="20"/>
              </w:rPr>
              <w:t>Speak Spanish</w:t>
            </w:r>
          </w:p>
        </w:tc>
        <w:tc>
          <w:tcPr>
            <w:tcW w:w="1187" w:type="dxa"/>
            <w:tcBorders>
              <w:top w:val="single" w:sz="4" w:space="0" w:color="000000"/>
              <w:left w:val="single" w:sz="4" w:space="0" w:color="000000"/>
              <w:right w:val="single" w:sz="4" w:space="0" w:color="000000"/>
            </w:tcBorders>
            <w:vAlign w:val="center"/>
          </w:tcPr>
          <w:p w14:paraId="326D6114" w14:textId="77777777" w:rsidR="00DC561E" w:rsidRPr="00723890" w:rsidRDefault="00DC561E" w:rsidP="00723890">
            <w:pPr>
              <w:pStyle w:val="TableParagraph"/>
              <w:jc w:val="right"/>
              <w:rPr>
                <w:rFonts w:ascii="Arial" w:hAnsi="Arial" w:cs="Arial"/>
                <w:sz w:val="20"/>
                <w:szCs w:val="20"/>
              </w:rPr>
            </w:pPr>
            <w:r w:rsidRPr="00723890">
              <w:rPr>
                <w:rFonts w:ascii="Arial" w:hAnsi="Arial" w:cs="Arial"/>
                <w:sz w:val="20"/>
                <w:szCs w:val="20"/>
              </w:rPr>
              <w:t>221,933</w:t>
            </w:r>
          </w:p>
        </w:tc>
        <w:tc>
          <w:tcPr>
            <w:tcW w:w="1187" w:type="dxa"/>
            <w:tcBorders>
              <w:top w:val="single" w:sz="4" w:space="0" w:color="000000"/>
              <w:left w:val="single" w:sz="4" w:space="0" w:color="000000"/>
              <w:right w:val="single" w:sz="4" w:space="0" w:color="000000"/>
            </w:tcBorders>
            <w:vAlign w:val="center"/>
          </w:tcPr>
          <w:p w14:paraId="29320985" w14:textId="77777777" w:rsidR="00DC561E" w:rsidRPr="00723890" w:rsidRDefault="00DC561E" w:rsidP="00723890">
            <w:pPr>
              <w:pStyle w:val="TableParagraph"/>
              <w:ind w:left="106"/>
              <w:jc w:val="right"/>
              <w:rPr>
                <w:rFonts w:ascii="Arial" w:hAnsi="Arial" w:cs="Arial"/>
                <w:sz w:val="20"/>
                <w:szCs w:val="20"/>
              </w:rPr>
            </w:pPr>
            <w:r w:rsidRPr="00723890">
              <w:rPr>
                <w:rFonts w:ascii="Arial" w:hAnsi="Arial" w:cs="Arial"/>
                <w:sz w:val="20"/>
                <w:szCs w:val="20"/>
              </w:rPr>
              <w:t>10.9%</w:t>
            </w:r>
          </w:p>
        </w:tc>
        <w:tc>
          <w:tcPr>
            <w:tcW w:w="1187" w:type="dxa"/>
            <w:tcBorders>
              <w:top w:val="single" w:sz="4" w:space="0" w:color="000000"/>
              <w:left w:val="single" w:sz="4" w:space="0" w:color="000000"/>
              <w:right w:val="single" w:sz="4" w:space="0" w:color="000000"/>
            </w:tcBorders>
            <w:vAlign w:val="center"/>
          </w:tcPr>
          <w:p w14:paraId="7FA3F134" w14:textId="77777777" w:rsidR="00DC561E" w:rsidRPr="00723890" w:rsidRDefault="00DC561E" w:rsidP="00723890">
            <w:pPr>
              <w:pStyle w:val="TableParagraph"/>
              <w:jc w:val="right"/>
              <w:rPr>
                <w:rFonts w:ascii="Arial" w:hAnsi="Arial" w:cs="Arial"/>
                <w:sz w:val="20"/>
                <w:szCs w:val="20"/>
              </w:rPr>
            </w:pPr>
            <w:r w:rsidRPr="00723890">
              <w:rPr>
                <w:rFonts w:ascii="Arial" w:hAnsi="Arial" w:cs="Arial"/>
                <w:sz w:val="20"/>
                <w:szCs w:val="20"/>
              </w:rPr>
              <w:t>412,693</w:t>
            </w:r>
          </w:p>
        </w:tc>
        <w:tc>
          <w:tcPr>
            <w:tcW w:w="1187" w:type="dxa"/>
            <w:tcBorders>
              <w:top w:val="single" w:sz="4" w:space="0" w:color="000000"/>
              <w:left w:val="single" w:sz="4" w:space="0" w:color="000000"/>
              <w:right w:val="single" w:sz="4" w:space="0" w:color="000000"/>
            </w:tcBorders>
            <w:vAlign w:val="center"/>
          </w:tcPr>
          <w:p w14:paraId="4F695971" w14:textId="77777777" w:rsidR="00DC561E" w:rsidRPr="00723890" w:rsidRDefault="00DC561E" w:rsidP="00723890">
            <w:pPr>
              <w:pStyle w:val="TableParagraph"/>
              <w:ind w:left="96"/>
              <w:jc w:val="right"/>
              <w:rPr>
                <w:rFonts w:ascii="Arial" w:hAnsi="Arial" w:cs="Arial"/>
                <w:sz w:val="20"/>
                <w:szCs w:val="20"/>
              </w:rPr>
            </w:pPr>
            <w:r w:rsidRPr="00723890">
              <w:rPr>
                <w:rFonts w:ascii="Arial" w:hAnsi="Arial" w:cs="Arial"/>
                <w:sz w:val="20"/>
                <w:szCs w:val="20"/>
              </w:rPr>
              <w:t>7.3%</w:t>
            </w:r>
          </w:p>
        </w:tc>
        <w:tc>
          <w:tcPr>
            <w:tcW w:w="0" w:type="auto"/>
            <w:vMerge/>
            <w:tcBorders>
              <w:top w:val="nil"/>
              <w:left w:val="single" w:sz="4" w:space="0" w:color="000000"/>
              <w:right w:val="nil"/>
            </w:tcBorders>
          </w:tcPr>
          <w:p w14:paraId="17992024" w14:textId="77777777" w:rsidR="00DC561E" w:rsidRPr="00723890" w:rsidRDefault="00DC561E" w:rsidP="00723890">
            <w:pPr>
              <w:spacing w:after="0" w:line="240" w:lineRule="auto"/>
              <w:rPr>
                <w:rFonts w:cs="Arial"/>
                <w:sz w:val="20"/>
                <w:szCs w:val="20"/>
              </w:rPr>
            </w:pPr>
          </w:p>
        </w:tc>
      </w:tr>
      <w:tr w:rsidR="00723890" w:rsidRPr="00723890" w14:paraId="3534678A" w14:textId="77777777" w:rsidTr="00123794">
        <w:trPr>
          <w:trHeight w:val="527"/>
        </w:trPr>
        <w:tc>
          <w:tcPr>
            <w:tcW w:w="0" w:type="auto"/>
            <w:vMerge w:val="restart"/>
            <w:tcBorders>
              <w:left w:val="nil"/>
              <w:bottom w:val="nil"/>
              <w:right w:val="single" w:sz="4" w:space="0" w:color="000000"/>
            </w:tcBorders>
          </w:tcPr>
          <w:p w14:paraId="157AC19D" w14:textId="77777777" w:rsidR="00DC561E" w:rsidRPr="00723890" w:rsidRDefault="00DC561E" w:rsidP="00723890">
            <w:pPr>
              <w:pStyle w:val="TableParagraph"/>
              <w:rPr>
                <w:rFonts w:ascii="Arial" w:hAnsi="Arial" w:cs="Arial"/>
                <w:sz w:val="20"/>
                <w:szCs w:val="20"/>
              </w:rPr>
            </w:pPr>
          </w:p>
        </w:tc>
        <w:tc>
          <w:tcPr>
            <w:tcW w:w="0" w:type="auto"/>
            <w:tcBorders>
              <w:left w:val="single" w:sz="4" w:space="0" w:color="000000"/>
              <w:bottom w:val="single" w:sz="4" w:space="0" w:color="000000"/>
              <w:right w:val="single" w:sz="4" w:space="0" w:color="000000"/>
            </w:tcBorders>
            <w:vAlign w:val="center"/>
          </w:tcPr>
          <w:p w14:paraId="21625723" w14:textId="77777777" w:rsidR="00DC561E" w:rsidRPr="00723890" w:rsidRDefault="00DC561E" w:rsidP="00723890">
            <w:pPr>
              <w:pStyle w:val="TableParagraph"/>
              <w:rPr>
                <w:rFonts w:ascii="Arial" w:hAnsi="Arial" w:cs="Arial"/>
                <w:sz w:val="20"/>
                <w:szCs w:val="20"/>
              </w:rPr>
            </w:pPr>
            <w:r w:rsidRPr="00723890">
              <w:rPr>
                <w:rFonts w:ascii="Arial" w:hAnsi="Arial" w:cs="Arial"/>
                <w:sz w:val="20"/>
                <w:szCs w:val="20"/>
              </w:rPr>
              <w:t>Speak other Indo-European languages</w:t>
            </w:r>
          </w:p>
        </w:tc>
        <w:tc>
          <w:tcPr>
            <w:tcW w:w="1187" w:type="dxa"/>
            <w:tcBorders>
              <w:left w:val="single" w:sz="4" w:space="0" w:color="000000"/>
              <w:bottom w:val="single" w:sz="4" w:space="0" w:color="000000"/>
              <w:right w:val="single" w:sz="4" w:space="0" w:color="000000"/>
            </w:tcBorders>
            <w:vAlign w:val="center"/>
          </w:tcPr>
          <w:p w14:paraId="54B5AEE8" w14:textId="77777777" w:rsidR="00DC561E" w:rsidRPr="00723890" w:rsidRDefault="00DC561E" w:rsidP="00723890">
            <w:pPr>
              <w:pStyle w:val="TableParagraph"/>
              <w:jc w:val="right"/>
              <w:rPr>
                <w:rFonts w:ascii="Arial" w:hAnsi="Arial" w:cs="Arial"/>
                <w:sz w:val="20"/>
                <w:szCs w:val="20"/>
              </w:rPr>
            </w:pPr>
            <w:r w:rsidRPr="00723890">
              <w:rPr>
                <w:rFonts w:ascii="Arial" w:hAnsi="Arial" w:cs="Arial"/>
                <w:sz w:val="20"/>
                <w:szCs w:val="20"/>
              </w:rPr>
              <w:t>13,023</w:t>
            </w:r>
          </w:p>
        </w:tc>
        <w:tc>
          <w:tcPr>
            <w:tcW w:w="1187" w:type="dxa"/>
            <w:tcBorders>
              <w:left w:val="single" w:sz="4" w:space="0" w:color="000000"/>
              <w:bottom w:val="single" w:sz="4" w:space="0" w:color="000000"/>
              <w:right w:val="single" w:sz="4" w:space="0" w:color="000000"/>
            </w:tcBorders>
            <w:vAlign w:val="center"/>
          </w:tcPr>
          <w:p w14:paraId="5903E846" w14:textId="77777777" w:rsidR="00DC561E" w:rsidRPr="00723890" w:rsidRDefault="00DC561E" w:rsidP="00723890">
            <w:pPr>
              <w:pStyle w:val="TableParagraph"/>
              <w:ind w:left="106"/>
              <w:jc w:val="right"/>
              <w:rPr>
                <w:rFonts w:ascii="Arial" w:hAnsi="Arial" w:cs="Arial"/>
                <w:sz w:val="20"/>
                <w:szCs w:val="20"/>
              </w:rPr>
            </w:pPr>
            <w:r w:rsidRPr="00723890">
              <w:rPr>
                <w:rFonts w:ascii="Arial" w:hAnsi="Arial" w:cs="Arial"/>
                <w:sz w:val="20"/>
                <w:szCs w:val="20"/>
              </w:rPr>
              <w:t>0.6%</w:t>
            </w:r>
          </w:p>
        </w:tc>
        <w:tc>
          <w:tcPr>
            <w:tcW w:w="1187" w:type="dxa"/>
            <w:tcBorders>
              <w:left w:val="single" w:sz="4" w:space="0" w:color="000000"/>
              <w:bottom w:val="single" w:sz="4" w:space="0" w:color="000000"/>
              <w:right w:val="single" w:sz="4" w:space="0" w:color="000000"/>
            </w:tcBorders>
            <w:vAlign w:val="center"/>
          </w:tcPr>
          <w:p w14:paraId="05F2B826" w14:textId="77777777" w:rsidR="00DC561E" w:rsidRPr="00723890" w:rsidRDefault="00DC561E" w:rsidP="00723890">
            <w:pPr>
              <w:pStyle w:val="TableParagraph"/>
              <w:jc w:val="right"/>
              <w:rPr>
                <w:rFonts w:ascii="Arial" w:hAnsi="Arial" w:cs="Arial"/>
                <w:sz w:val="20"/>
                <w:szCs w:val="20"/>
              </w:rPr>
            </w:pPr>
            <w:r w:rsidRPr="00723890">
              <w:rPr>
                <w:rFonts w:ascii="Arial" w:hAnsi="Arial" w:cs="Arial"/>
                <w:sz w:val="20"/>
                <w:szCs w:val="20"/>
              </w:rPr>
              <w:t>20,302</w:t>
            </w:r>
          </w:p>
        </w:tc>
        <w:tc>
          <w:tcPr>
            <w:tcW w:w="1187" w:type="dxa"/>
            <w:tcBorders>
              <w:left w:val="single" w:sz="4" w:space="0" w:color="000000"/>
              <w:bottom w:val="single" w:sz="4" w:space="0" w:color="000000"/>
              <w:right w:val="single" w:sz="4" w:space="0" w:color="000000"/>
            </w:tcBorders>
            <w:vAlign w:val="center"/>
          </w:tcPr>
          <w:p w14:paraId="4B8F40CD" w14:textId="77777777" w:rsidR="00DC561E" w:rsidRPr="00723890" w:rsidRDefault="00DC561E" w:rsidP="00723890">
            <w:pPr>
              <w:pStyle w:val="TableParagraph"/>
              <w:ind w:left="96"/>
              <w:jc w:val="right"/>
              <w:rPr>
                <w:rFonts w:ascii="Arial" w:hAnsi="Arial" w:cs="Arial"/>
                <w:sz w:val="20"/>
                <w:szCs w:val="20"/>
              </w:rPr>
            </w:pPr>
            <w:r w:rsidRPr="00723890">
              <w:rPr>
                <w:rFonts w:ascii="Arial" w:hAnsi="Arial" w:cs="Arial"/>
                <w:sz w:val="20"/>
                <w:szCs w:val="20"/>
              </w:rPr>
              <w:t>0.4%</w:t>
            </w:r>
          </w:p>
        </w:tc>
        <w:tc>
          <w:tcPr>
            <w:tcW w:w="0" w:type="auto"/>
            <w:vMerge w:val="restart"/>
            <w:tcBorders>
              <w:left w:val="single" w:sz="4" w:space="0" w:color="000000"/>
              <w:bottom w:val="nil"/>
              <w:right w:val="nil"/>
            </w:tcBorders>
            <w:vAlign w:val="center"/>
          </w:tcPr>
          <w:p w14:paraId="51B5DEC0" w14:textId="77777777" w:rsidR="00DC561E" w:rsidRPr="00723890" w:rsidRDefault="00DC561E" w:rsidP="00123794">
            <w:pPr>
              <w:pStyle w:val="TableParagraph"/>
              <w:rPr>
                <w:rFonts w:ascii="Arial" w:hAnsi="Arial" w:cs="Arial"/>
                <w:sz w:val="20"/>
                <w:szCs w:val="20"/>
              </w:rPr>
            </w:pPr>
            <w:r w:rsidRPr="00723890">
              <w:rPr>
                <w:rFonts w:ascii="Arial" w:hAnsi="Arial" w:cs="Arial"/>
                <w:sz w:val="20"/>
                <w:szCs w:val="20"/>
              </w:rPr>
              <w:t xml:space="preserve">Requires </w:t>
            </w:r>
            <w:r w:rsidR="00723890">
              <w:rPr>
                <w:rFonts w:ascii="Arial" w:hAnsi="Arial" w:cs="Arial"/>
                <w:sz w:val="20"/>
                <w:szCs w:val="20"/>
              </w:rPr>
              <w:t xml:space="preserve">oral </w:t>
            </w:r>
            <w:r w:rsidRPr="00723890">
              <w:rPr>
                <w:rFonts w:ascii="Arial" w:hAnsi="Arial" w:cs="Arial"/>
                <w:sz w:val="20"/>
                <w:szCs w:val="20"/>
              </w:rPr>
              <w:t>interpretation only</w:t>
            </w:r>
          </w:p>
          <w:p w14:paraId="492F4344" w14:textId="77777777" w:rsidR="00DC561E" w:rsidRPr="00723890" w:rsidRDefault="00DC561E" w:rsidP="00123794">
            <w:pPr>
              <w:pStyle w:val="TableParagraph"/>
              <w:rPr>
                <w:rFonts w:ascii="Arial" w:hAnsi="Arial" w:cs="Arial"/>
                <w:sz w:val="20"/>
                <w:szCs w:val="20"/>
              </w:rPr>
            </w:pPr>
          </w:p>
        </w:tc>
      </w:tr>
      <w:tr w:rsidR="00723890" w:rsidRPr="00723890" w14:paraId="71A434AA" w14:textId="77777777" w:rsidTr="00723890">
        <w:trPr>
          <w:trHeight w:val="537"/>
        </w:trPr>
        <w:tc>
          <w:tcPr>
            <w:tcW w:w="0" w:type="auto"/>
            <w:vMerge/>
            <w:tcBorders>
              <w:top w:val="nil"/>
              <w:left w:val="nil"/>
              <w:bottom w:val="nil"/>
              <w:right w:val="single" w:sz="4" w:space="0" w:color="000000"/>
            </w:tcBorders>
          </w:tcPr>
          <w:p w14:paraId="3674D8D3" w14:textId="77777777" w:rsidR="00DC561E" w:rsidRPr="00723890" w:rsidRDefault="00DC561E" w:rsidP="00723890">
            <w:pPr>
              <w:spacing w:after="0" w:line="240" w:lineRule="auto"/>
              <w:rPr>
                <w:rFonts w:cs="Arial"/>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BAED944" w14:textId="77777777" w:rsidR="00DC561E" w:rsidRPr="00723890" w:rsidRDefault="00DC561E" w:rsidP="00723890">
            <w:pPr>
              <w:pStyle w:val="TableParagraph"/>
              <w:ind w:right="447"/>
              <w:rPr>
                <w:rFonts w:ascii="Arial" w:hAnsi="Arial" w:cs="Arial"/>
                <w:sz w:val="20"/>
                <w:szCs w:val="20"/>
              </w:rPr>
            </w:pPr>
            <w:r w:rsidRPr="00723890">
              <w:rPr>
                <w:rFonts w:ascii="Arial" w:hAnsi="Arial" w:cs="Arial"/>
                <w:sz w:val="20"/>
                <w:szCs w:val="20"/>
              </w:rPr>
              <w:t>Speak Asian and Pacific Island languages</w:t>
            </w:r>
          </w:p>
        </w:tc>
        <w:tc>
          <w:tcPr>
            <w:tcW w:w="1187" w:type="dxa"/>
            <w:tcBorders>
              <w:top w:val="single" w:sz="4" w:space="0" w:color="000000"/>
              <w:left w:val="single" w:sz="4" w:space="0" w:color="000000"/>
              <w:bottom w:val="single" w:sz="4" w:space="0" w:color="000000"/>
              <w:right w:val="single" w:sz="4" w:space="0" w:color="000000"/>
            </w:tcBorders>
            <w:vAlign w:val="center"/>
          </w:tcPr>
          <w:p w14:paraId="3DD1CB89" w14:textId="77777777" w:rsidR="00DC561E" w:rsidRPr="00723890" w:rsidRDefault="00DC561E" w:rsidP="00723890">
            <w:pPr>
              <w:pStyle w:val="TableParagraph"/>
              <w:jc w:val="right"/>
              <w:rPr>
                <w:rFonts w:ascii="Arial" w:hAnsi="Arial" w:cs="Arial"/>
                <w:sz w:val="20"/>
                <w:szCs w:val="20"/>
              </w:rPr>
            </w:pPr>
            <w:r w:rsidRPr="00723890">
              <w:rPr>
                <w:rFonts w:ascii="Arial" w:hAnsi="Arial" w:cs="Arial"/>
                <w:sz w:val="20"/>
                <w:szCs w:val="20"/>
              </w:rPr>
              <w:t>14,333</w:t>
            </w:r>
          </w:p>
        </w:tc>
        <w:tc>
          <w:tcPr>
            <w:tcW w:w="1187" w:type="dxa"/>
            <w:tcBorders>
              <w:top w:val="single" w:sz="4" w:space="0" w:color="000000"/>
              <w:left w:val="single" w:sz="4" w:space="0" w:color="000000"/>
              <w:bottom w:val="single" w:sz="4" w:space="0" w:color="000000"/>
              <w:right w:val="single" w:sz="4" w:space="0" w:color="000000"/>
            </w:tcBorders>
            <w:vAlign w:val="center"/>
          </w:tcPr>
          <w:p w14:paraId="347A2BB3" w14:textId="77777777" w:rsidR="00DC561E" w:rsidRPr="00723890" w:rsidRDefault="00DC561E" w:rsidP="00723890">
            <w:pPr>
              <w:pStyle w:val="TableParagraph"/>
              <w:ind w:left="106"/>
              <w:jc w:val="right"/>
              <w:rPr>
                <w:rFonts w:ascii="Arial" w:hAnsi="Arial" w:cs="Arial"/>
                <w:sz w:val="20"/>
                <w:szCs w:val="20"/>
              </w:rPr>
            </w:pPr>
            <w:r w:rsidRPr="00723890">
              <w:rPr>
                <w:rFonts w:ascii="Arial" w:hAnsi="Arial" w:cs="Arial"/>
                <w:sz w:val="20"/>
                <w:szCs w:val="20"/>
              </w:rPr>
              <w:t>0.7%</w:t>
            </w:r>
          </w:p>
        </w:tc>
        <w:tc>
          <w:tcPr>
            <w:tcW w:w="1187" w:type="dxa"/>
            <w:tcBorders>
              <w:top w:val="single" w:sz="4" w:space="0" w:color="000000"/>
              <w:left w:val="single" w:sz="4" w:space="0" w:color="000000"/>
              <w:bottom w:val="single" w:sz="4" w:space="0" w:color="000000"/>
              <w:right w:val="single" w:sz="4" w:space="0" w:color="000000"/>
            </w:tcBorders>
            <w:vAlign w:val="center"/>
          </w:tcPr>
          <w:p w14:paraId="4DEB3F34" w14:textId="77777777" w:rsidR="00DC561E" w:rsidRPr="00723890" w:rsidRDefault="00DC561E" w:rsidP="00723890">
            <w:pPr>
              <w:pStyle w:val="TableParagraph"/>
              <w:jc w:val="right"/>
              <w:rPr>
                <w:rFonts w:ascii="Arial" w:hAnsi="Arial" w:cs="Arial"/>
                <w:sz w:val="20"/>
                <w:szCs w:val="20"/>
              </w:rPr>
            </w:pPr>
            <w:r w:rsidRPr="00723890">
              <w:rPr>
                <w:rFonts w:ascii="Arial" w:hAnsi="Arial" w:cs="Arial"/>
                <w:sz w:val="20"/>
                <w:szCs w:val="20"/>
              </w:rPr>
              <w:t>30,058</w:t>
            </w:r>
          </w:p>
        </w:tc>
        <w:tc>
          <w:tcPr>
            <w:tcW w:w="1187" w:type="dxa"/>
            <w:tcBorders>
              <w:top w:val="single" w:sz="4" w:space="0" w:color="000000"/>
              <w:left w:val="single" w:sz="4" w:space="0" w:color="000000"/>
              <w:bottom w:val="single" w:sz="4" w:space="0" w:color="000000"/>
              <w:right w:val="single" w:sz="4" w:space="0" w:color="000000"/>
            </w:tcBorders>
            <w:vAlign w:val="center"/>
          </w:tcPr>
          <w:p w14:paraId="54E48B2D" w14:textId="77777777" w:rsidR="00DC561E" w:rsidRPr="00723890" w:rsidRDefault="00DC561E" w:rsidP="00723890">
            <w:pPr>
              <w:pStyle w:val="TableParagraph"/>
              <w:ind w:left="96"/>
              <w:jc w:val="right"/>
              <w:rPr>
                <w:rFonts w:ascii="Arial" w:hAnsi="Arial" w:cs="Arial"/>
                <w:sz w:val="20"/>
                <w:szCs w:val="20"/>
              </w:rPr>
            </w:pPr>
            <w:r w:rsidRPr="00723890">
              <w:rPr>
                <w:rFonts w:ascii="Arial" w:hAnsi="Arial" w:cs="Arial"/>
                <w:sz w:val="20"/>
                <w:szCs w:val="20"/>
              </w:rPr>
              <w:t>0.5%</w:t>
            </w:r>
          </w:p>
        </w:tc>
        <w:tc>
          <w:tcPr>
            <w:tcW w:w="0" w:type="auto"/>
            <w:vMerge/>
            <w:tcBorders>
              <w:top w:val="nil"/>
              <w:left w:val="single" w:sz="4" w:space="0" w:color="000000"/>
              <w:bottom w:val="nil"/>
              <w:right w:val="nil"/>
            </w:tcBorders>
          </w:tcPr>
          <w:p w14:paraId="5EBC1CA8" w14:textId="77777777" w:rsidR="00DC561E" w:rsidRPr="00723890" w:rsidRDefault="00DC561E" w:rsidP="00723890">
            <w:pPr>
              <w:spacing w:after="0" w:line="240" w:lineRule="auto"/>
              <w:rPr>
                <w:rFonts w:cs="Arial"/>
                <w:sz w:val="20"/>
                <w:szCs w:val="20"/>
              </w:rPr>
            </w:pPr>
          </w:p>
        </w:tc>
      </w:tr>
      <w:tr w:rsidR="00723890" w:rsidRPr="00723890" w14:paraId="6DE2A4DD" w14:textId="77777777" w:rsidTr="00723890">
        <w:trPr>
          <w:trHeight w:val="268"/>
        </w:trPr>
        <w:tc>
          <w:tcPr>
            <w:tcW w:w="0" w:type="auto"/>
            <w:vMerge/>
            <w:tcBorders>
              <w:top w:val="nil"/>
              <w:left w:val="nil"/>
              <w:bottom w:val="nil"/>
              <w:right w:val="single" w:sz="4" w:space="0" w:color="000000"/>
            </w:tcBorders>
          </w:tcPr>
          <w:p w14:paraId="43856394" w14:textId="77777777" w:rsidR="00DC561E" w:rsidRPr="00723890" w:rsidRDefault="00DC561E" w:rsidP="00723890">
            <w:pPr>
              <w:spacing w:after="0" w:line="240" w:lineRule="auto"/>
              <w:rPr>
                <w:rFonts w:cs="Arial"/>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F4A0E7D" w14:textId="77777777" w:rsidR="00DC561E" w:rsidRPr="00723890" w:rsidRDefault="00DC561E" w:rsidP="00723890">
            <w:pPr>
              <w:pStyle w:val="TableParagraph"/>
              <w:ind w:left="-10" w:firstLine="10"/>
              <w:rPr>
                <w:rFonts w:ascii="Arial" w:hAnsi="Arial" w:cs="Arial"/>
                <w:sz w:val="20"/>
                <w:szCs w:val="20"/>
              </w:rPr>
            </w:pPr>
            <w:r w:rsidRPr="00723890">
              <w:rPr>
                <w:rFonts w:ascii="Arial" w:hAnsi="Arial" w:cs="Arial"/>
                <w:sz w:val="20"/>
                <w:szCs w:val="20"/>
              </w:rPr>
              <w:t>Speak other languages</w:t>
            </w:r>
          </w:p>
        </w:tc>
        <w:tc>
          <w:tcPr>
            <w:tcW w:w="1187" w:type="dxa"/>
            <w:tcBorders>
              <w:top w:val="single" w:sz="4" w:space="0" w:color="000000"/>
              <w:left w:val="single" w:sz="4" w:space="0" w:color="000000"/>
              <w:bottom w:val="single" w:sz="4" w:space="0" w:color="000000"/>
              <w:right w:val="single" w:sz="4" w:space="0" w:color="000000"/>
            </w:tcBorders>
            <w:vAlign w:val="center"/>
          </w:tcPr>
          <w:p w14:paraId="071AB691" w14:textId="77777777" w:rsidR="00DC561E" w:rsidRPr="00723890" w:rsidRDefault="00DC561E" w:rsidP="00723890">
            <w:pPr>
              <w:pStyle w:val="TableParagraph"/>
              <w:jc w:val="right"/>
              <w:rPr>
                <w:rFonts w:ascii="Arial" w:hAnsi="Arial" w:cs="Arial"/>
                <w:sz w:val="20"/>
                <w:szCs w:val="20"/>
              </w:rPr>
            </w:pPr>
            <w:r w:rsidRPr="00723890">
              <w:rPr>
                <w:rFonts w:ascii="Arial" w:hAnsi="Arial" w:cs="Arial"/>
                <w:sz w:val="20"/>
                <w:szCs w:val="20"/>
              </w:rPr>
              <w:t>12,318</w:t>
            </w:r>
          </w:p>
        </w:tc>
        <w:tc>
          <w:tcPr>
            <w:tcW w:w="1187" w:type="dxa"/>
            <w:tcBorders>
              <w:top w:val="single" w:sz="4" w:space="0" w:color="000000"/>
              <w:left w:val="single" w:sz="4" w:space="0" w:color="000000"/>
              <w:bottom w:val="single" w:sz="4" w:space="0" w:color="000000"/>
              <w:right w:val="single" w:sz="4" w:space="0" w:color="000000"/>
            </w:tcBorders>
            <w:vAlign w:val="center"/>
          </w:tcPr>
          <w:p w14:paraId="26DA948C" w14:textId="77777777" w:rsidR="00DC561E" w:rsidRPr="00723890" w:rsidRDefault="00DC561E" w:rsidP="00723890">
            <w:pPr>
              <w:pStyle w:val="TableParagraph"/>
              <w:ind w:left="106"/>
              <w:jc w:val="right"/>
              <w:rPr>
                <w:rFonts w:ascii="Arial" w:hAnsi="Arial" w:cs="Arial"/>
                <w:sz w:val="20"/>
                <w:szCs w:val="20"/>
              </w:rPr>
            </w:pPr>
            <w:r w:rsidRPr="00723890">
              <w:rPr>
                <w:rFonts w:ascii="Arial" w:hAnsi="Arial" w:cs="Arial"/>
                <w:sz w:val="20"/>
                <w:szCs w:val="20"/>
              </w:rPr>
              <w:t>0.6%</w:t>
            </w:r>
          </w:p>
        </w:tc>
        <w:tc>
          <w:tcPr>
            <w:tcW w:w="1187" w:type="dxa"/>
            <w:tcBorders>
              <w:top w:val="single" w:sz="4" w:space="0" w:color="000000"/>
              <w:left w:val="single" w:sz="4" w:space="0" w:color="000000"/>
              <w:bottom w:val="single" w:sz="4" w:space="0" w:color="000000"/>
              <w:right w:val="single" w:sz="4" w:space="0" w:color="000000"/>
            </w:tcBorders>
            <w:vAlign w:val="center"/>
          </w:tcPr>
          <w:p w14:paraId="2A81775B" w14:textId="77777777" w:rsidR="00DC561E" w:rsidRPr="00723890" w:rsidRDefault="00DC561E" w:rsidP="00723890">
            <w:pPr>
              <w:pStyle w:val="TableParagraph"/>
              <w:jc w:val="right"/>
              <w:rPr>
                <w:rFonts w:ascii="Arial" w:hAnsi="Arial" w:cs="Arial"/>
                <w:sz w:val="20"/>
                <w:szCs w:val="20"/>
              </w:rPr>
            </w:pPr>
            <w:r w:rsidRPr="00723890">
              <w:rPr>
                <w:rFonts w:ascii="Arial" w:hAnsi="Arial" w:cs="Arial"/>
                <w:sz w:val="20"/>
                <w:szCs w:val="20"/>
              </w:rPr>
              <w:t>11,778</w:t>
            </w:r>
          </w:p>
        </w:tc>
        <w:tc>
          <w:tcPr>
            <w:tcW w:w="1187" w:type="dxa"/>
            <w:tcBorders>
              <w:top w:val="single" w:sz="4" w:space="0" w:color="000000"/>
              <w:left w:val="single" w:sz="4" w:space="0" w:color="000000"/>
              <w:bottom w:val="single" w:sz="4" w:space="0" w:color="000000"/>
              <w:right w:val="single" w:sz="4" w:space="0" w:color="000000"/>
            </w:tcBorders>
            <w:vAlign w:val="center"/>
          </w:tcPr>
          <w:p w14:paraId="43CCB640" w14:textId="77777777" w:rsidR="00DC561E" w:rsidRPr="00723890" w:rsidRDefault="00DC561E" w:rsidP="00723890">
            <w:pPr>
              <w:pStyle w:val="TableParagraph"/>
              <w:ind w:left="96"/>
              <w:jc w:val="right"/>
              <w:rPr>
                <w:rFonts w:ascii="Arial" w:hAnsi="Arial" w:cs="Arial"/>
                <w:sz w:val="20"/>
                <w:szCs w:val="20"/>
              </w:rPr>
            </w:pPr>
            <w:r w:rsidRPr="00723890">
              <w:rPr>
                <w:rFonts w:ascii="Arial" w:hAnsi="Arial" w:cs="Arial"/>
                <w:sz w:val="20"/>
                <w:szCs w:val="20"/>
              </w:rPr>
              <w:t>0.2%</w:t>
            </w:r>
          </w:p>
        </w:tc>
        <w:tc>
          <w:tcPr>
            <w:tcW w:w="0" w:type="auto"/>
            <w:vMerge/>
            <w:tcBorders>
              <w:top w:val="nil"/>
              <w:left w:val="single" w:sz="4" w:space="0" w:color="000000"/>
              <w:bottom w:val="nil"/>
              <w:right w:val="nil"/>
            </w:tcBorders>
          </w:tcPr>
          <w:p w14:paraId="1F788713" w14:textId="77777777" w:rsidR="00DC561E" w:rsidRPr="00723890" w:rsidRDefault="00DC561E" w:rsidP="00723890">
            <w:pPr>
              <w:spacing w:after="0" w:line="240" w:lineRule="auto"/>
              <w:rPr>
                <w:rFonts w:cs="Arial"/>
                <w:sz w:val="20"/>
                <w:szCs w:val="20"/>
              </w:rPr>
            </w:pPr>
          </w:p>
        </w:tc>
      </w:tr>
    </w:tbl>
    <w:p w14:paraId="2ADB9EA2" w14:textId="77777777" w:rsidR="00723890" w:rsidRDefault="00723890" w:rsidP="00723890">
      <w:pPr>
        <w:pStyle w:val="ListParagraph"/>
        <w:widowControl w:val="0"/>
        <w:autoSpaceDE w:val="0"/>
        <w:autoSpaceDN w:val="0"/>
        <w:spacing w:before="120" w:after="120"/>
        <w:ind w:left="360"/>
        <w:contextualSpacing w:val="0"/>
        <w:jc w:val="left"/>
        <w:rPr>
          <w:rFonts w:cs="Arial"/>
          <w:b/>
          <w:bCs/>
        </w:rPr>
      </w:pPr>
    </w:p>
    <w:p w14:paraId="46617981" w14:textId="77777777" w:rsidR="00DC561E" w:rsidRDefault="00DC561E" w:rsidP="006E7149">
      <w:pPr>
        <w:pStyle w:val="ListParagraph"/>
        <w:widowControl w:val="0"/>
        <w:numPr>
          <w:ilvl w:val="0"/>
          <w:numId w:val="19"/>
        </w:numPr>
        <w:autoSpaceDE w:val="0"/>
        <w:autoSpaceDN w:val="0"/>
        <w:spacing w:before="120" w:after="120"/>
        <w:contextualSpacing w:val="0"/>
        <w:jc w:val="left"/>
        <w:rPr>
          <w:rFonts w:cs="Arial"/>
          <w:b/>
          <w:bCs/>
        </w:rPr>
      </w:pPr>
      <w:r w:rsidRPr="00DC561E">
        <w:rPr>
          <w:rFonts w:cs="Arial"/>
          <w:b/>
          <w:bCs/>
        </w:rPr>
        <w:t>Types of Assistance Needed by LEP Persons</w:t>
      </w:r>
    </w:p>
    <w:p w14:paraId="247F1CBC" w14:textId="77777777" w:rsidR="00DC561E" w:rsidRDefault="00DC561E" w:rsidP="00DC561E">
      <w:r w:rsidRPr="00DC561E">
        <w:t>The majority of contacts between HHA and LEP persons are meetings, written communications and phone calls where information is exchanged. Examples include interactions by applicants with HHA Housing Specialists and Property Managers during the application process leading up to housing in public housing or the Housing Choice Voucher program (HCV), as well as periodic contacts between residents and HHA Public Housing Operations staff related to management, maintenance and lease compliance issues. Oral interpretation services may be needed for these contacts.</w:t>
      </w:r>
    </w:p>
    <w:p w14:paraId="3B7E2E17" w14:textId="77777777" w:rsidR="00DC561E" w:rsidRPr="00DC561E" w:rsidRDefault="00DC561E" w:rsidP="00DC561E">
      <w:pPr>
        <w:rPr>
          <w:b/>
          <w:bCs/>
        </w:rPr>
      </w:pPr>
      <w:r w:rsidRPr="00DC561E">
        <w:t xml:space="preserve">Other contacts involve the exchange and review of printed materials, some of which may be considered </w:t>
      </w:r>
      <w:r w:rsidRPr="00BE1BFB">
        <w:rPr>
          <w:i/>
          <w:iCs/>
        </w:rPr>
        <w:t>vital documents</w:t>
      </w:r>
      <w:r w:rsidRPr="00DC561E">
        <w:t>. HUD’</w:t>
      </w:r>
      <w:r w:rsidR="00BE1BFB">
        <w:t>s</w:t>
      </w:r>
      <w:r w:rsidRPr="00DC561E">
        <w:t xml:space="preserve"> Final Guidance defines vital documents as</w:t>
      </w:r>
      <w:r w:rsidR="001A332C">
        <w:t>:</w:t>
      </w:r>
      <w:r w:rsidRPr="00DC561E">
        <w:t xml:space="preserve"> </w:t>
      </w:r>
      <w:r w:rsidRPr="004B3EC3">
        <w:rPr>
          <w:i/>
          <w:iCs/>
        </w:rPr>
        <w:t>any document that is critical for ensuring meaningful access to the recipients’ major activities and programs by beneficiaries generally and LEP persons specifically</w:t>
      </w:r>
      <w:r w:rsidRPr="00DC561E">
        <w:t>. The list of documents considered vital by HHA includes the following for public housing and HCV as applicable:</w:t>
      </w:r>
    </w:p>
    <w:p w14:paraId="72BB015E" w14:textId="77777777" w:rsidR="00DC561E" w:rsidRPr="00DC561E" w:rsidRDefault="00DC561E" w:rsidP="006E7149">
      <w:pPr>
        <w:pStyle w:val="ListParagraph"/>
        <w:widowControl w:val="0"/>
        <w:numPr>
          <w:ilvl w:val="0"/>
          <w:numId w:val="17"/>
        </w:numPr>
        <w:tabs>
          <w:tab w:val="left" w:pos="999"/>
        </w:tabs>
        <w:autoSpaceDE w:val="0"/>
        <w:autoSpaceDN w:val="0"/>
        <w:spacing w:before="120" w:after="120"/>
        <w:contextualSpacing w:val="0"/>
        <w:jc w:val="left"/>
        <w:rPr>
          <w:rFonts w:cs="Arial"/>
        </w:rPr>
      </w:pPr>
      <w:r w:rsidRPr="00DC561E">
        <w:rPr>
          <w:rFonts w:cs="Arial"/>
        </w:rPr>
        <w:t>Language Identification</w:t>
      </w:r>
      <w:r w:rsidRPr="00DC561E">
        <w:rPr>
          <w:rFonts w:cs="Arial"/>
          <w:spacing w:val="-4"/>
        </w:rPr>
        <w:t xml:space="preserve"> </w:t>
      </w:r>
      <w:r w:rsidRPr="00DC561E">
        <w:rPr>
          <w:rFonts w:cs="Arial"/>
        </w:rPr>
        <w:t>Form</w:t>
      </w:r>
      <w:r w:rsidR="0057085A">
        <w:rPr>
          <w:rFonts w:cs="Arial"/>
        </w:rPr>
        <w:t>;</w:t>
      </w:r>
    </w:p>
    <w:p w14:paraId="0B306B43" w14:textId="77777777" w:rsidR="00DC561E" w:rsidRPr="00DC561E" w:rsidRDefault="00DC561E" w:rsidP="006E7149">
      <w:pPr>
        <w:pStyle w:val="ListParagraph"/>
        <w:widowControl w:val="0"/>
        <w:numPr>
          <w:ilvl w:val="0"/>
          <w:numId w:val="17"/>
        </w:numPr>
        <w:tabs>
          <w:tab w:val="left" w:pos="999"/>
        </w:tabs>
        <w:autoSpaceDE w:val="0"/>
        <w:autoSpaceDN w:val="0"/>
        <w:spacing w:before="120" w:after="120"/>
        <w:contextualSpacing w:val="0"/>
        <w:jc w:val="left"/>
        <w:rPr>
          <w:rFonts w:cs="Arial"/>
        </w:rPr>
      </w:pPr>
      <w:r w:rsidRPr="00DC561E">
        <w:rPr>
          <w:rFonts w:cs="Arial"/>
        </w:rPr>
        <w:t>Initial and final application(s) for</w:t>
      </w:r>
      <w:r w:rsidRPr="00DC561E">
        <w:rPr>
          <w:rFonts w:cs="Arial"/>
          <w:spacing w:val="-10"/>
        </w:rPr>
        <w:t xml:space="preserve"> </w:t>
      </w:r>
      <w:r w:rsidRPr="00DC561E">
        <w:rPr>
          <w:rFonts w:cs="Arial"/>
        </w:rPr>
        <w:t>housing</w:t>
      </w:r>
      <w:r w:rsidR="0057085A">
        <w:rPr>
          <w:rFonts w:cs="Arial"/>
        </w:rPr>
        <w:t>;</w:t>
      </w:r>
    </w:p>
    <w:p w14:paraId="5B8FA368" w14:textId="77777777" w:rsidR="00DC561E" w:rsidRPr="00DC561E" w:rsidRDefault="00DC561E" w:rsidP="006E7149">
      <w:pPr>
        <w:pStyle w:val="ListParagraph"/>
        <w:widowControl w:val="0"/>
        <w:numPr>
          <w:ilvl w:val="0"/>
          <w:numId w:val="17"/>
        </w:numPr>
        <w:tabs>
          <w:tab w:val="left" w:pos="999"/>
        </w:tabs>
        <w:autoSpaceDE w:val="0"/>
        <w:autoSpaceDN w:val="0"/>
        <w:spacing w:before="120" w:after="120"/>
        <w:contextualSpacing w:val="0"/>
        <w:jc w:val="left"/>
        <w:rPr>
          <w:rFonts w:cs="Arial"/>
        </w:rPr>
      </w:pPr>
      <w:r w:rsidRPr="00DC561E">
        <w:rPr>
          <w:rFonts w:cs="Arial"/>
        </w:rPr>
        <w:t>Appointment</w:t>
      </w:r>
      <w:r w:rsidRPr="00DC561E">
        <w:rPr>
          <w:rFonts w:cs="Arial"/>
          <w:spacing w:val="-5"/>
        </w:rPr>
        <w:t xml:space="preserve"> </w:t>
      </w:r>
      <w:r w:rsidRPr="00DC561E">
        <w:rPr>
          <w:rFonts w:cs="Arial"/>
        </w:rPr>
        <w:t>notices</w:t>
      </w:r>
      <w:r w:rsidR="0057085A">
        <w:rPr>
          <w:rFonts w:cs="Arial"/>
        </w:rPr>
        <w:t>;</w:t>
      </w:r>
    </w:p>
    <w:p w14:paraId="307CC438" w14:textId="77777777" w:rsidR="00DC561E" w:rsidRPr="00DC561E" w:rsidRDefault="00DC561E" w:rsidP="006E7149">
      <w:pPr>
        <w:pStyle w:val="ListParagraph"/>
        <w:widowControl w:val="0"/>
        <w:numPr>
          <w:ilvl w:val="0"/>
          <w:numId w:val="17"/>
        </w:numPr>
        <w:tabs>
          <w:tab w:val="left" w:pos="999"/>
        </w:tabs>
        <w:autoSpaceDE w:val="0"/>
        <w:autoSpaceDN w:val="0"/>
        <w:spacing w:before="120" w:after="120"/>
        <w:contextualSpacing w:val="0"/>
        <w:jc w:val="left"/>
        <w:rPr>
          <w:rFonts w:cs="Arial"/>
        </w:rPr>
      </w:pPr>
      <w:r w:rsidRPr="00DC561E">
        <w:rPr>
          <w:rFonts w:cs="Arial"/>
        </w:rPr>
        <w:t>Consent</w:t>
      </w:r>
      <w:r w:rsidRPr="00DC561E">
        <w:rPr>
          <w:rFonts w:cs="Arial"/>
          <w:spacing w:val="-9"/>
        </w:rPr>
        <w:t xml:space="preserve"> </w:t>
      </w:r>
      <w:r w:rsidRPr="00DC561E">
        <w:rPr>
          <w:rFonts w:cs="Arial"/>
        </w:rPr>
        <w:t>forms</w:t>
      </w:r>
      <w:r w:rsidR="0057085A">
        <w:rPr>
          <w:rFonts w:cs="Arial"/>
        </w:rPr>
        <w:t>;</w:t>
      </w:r>
    </w:p>
    <w:p w14:paraId="3D80605A" w14:textId="77777777" w:rsidR="00DC561E" w:rsidRPr="00DC561E" w:rsidRDefault="00DC561E" w:rsidP="006E7149">
      <w:pPr>
        <w:pStyle w:val="ListParagraph"/>
        <w:widowControl w:val="0"/>
        <w:numPr>
          <w:ilvl w:val="0"/>
          <w:numId w:val="17"/>
        </w:numPr>
        <w:tabs>
          <w:tab w:val="left" w:pos="999"/>
        </w:tabs>
        <w:autoSpaceDE w:val="0"/>
        <w:autoSpaceDN w:val="0"/>
        <w:spacing w:before="120" w:after="120"/>
        <w:contextualSpacing w:val="0"/>
        <w:jc w:val="left"/>
        <w:rPr>
          <w:rFonts w:cs="Arial"/>
        </w:rPr>
      </w:pPr>
      <w:r w:rsidRPr="00DC561E">
        <w:rPr>
          <w:rFonts w:cs="Arial"/>
        </w:rPr>
        <w:t>Lease including lease</w:t>
      </w:r>
      <w:r w:rsidRPr="00DC561E">
        <w:rPr>
          <w:rFonts w:cs="Arial"/>
          <w:spacing w:val="-8"/>
        </w:rPr>
        <w:t xml:space="preserve"> </w:t>
      </w:r>
      <w:r w:rsidRPr="00DC561E">
        <w:rPr>
          <w:rFonts w:cs="Arial"/>
        </w:rPr>
        <w:t>addenda</w:t>
      </w:r>
      <w:r w:rsidR="0057085A">
        <w:rPr>
          <w:rFonts w:cs="Arial"/>
        </w:rPr>
        <w:t>;</w:t>
      </w:r>
    </w:p>
    <w:p w14:paraId="00FD2588" w14:textId="77777777" w:rsidR="00DC561E" w:rsidRPr="00DC561E" w:rsidRDefault="00DC561E" w:rsidP="006E7149">
      <w:pPr>
        <w:pStyle w:val="ListParagraph"/>
        <w:widowControl w:val="0"/>
        <w:numPr>
          <w:ilvl w:val="0"/>
          <w:numId w:val="17"/>
        </w:numPr>
        <w:tabs>
          <w:tab w:val="left" w:pos="999"/>
        </w:tabs>
        <w:autoSpaceDE w:val="0"/>
        <w:autoSpaceDN w:val="0"/>
        <w:spacing w:before="120" w:after="120"/>
        <w:contextualSpacing w:val="0"/>
        <w:jc w:val="left"/>
        <w:rPr>
          <w:rFonts w:cs="Arial"/>
        </w:rPr>
      </w:pPr>
      <w:r w:rsidRPr="00DC561E">
        <w:rPr>
          <w:rFonts w:cs="Arial"/>
        </w:rPr>
        <w:t>Lease compliance notices including notices to</w:t>
      </w:r>
      <w:r w:rsidRPr="00DC561E">
        <w:rPr>
          <w:rFonts w:cs="Arial"/>
          <w:spacing w:val="-18"/>
        </w:rPr>
        <w:t xml:space="preserve"> </w:t>
      </w:r>
      <w:r w:rsidRPr="00DC561E">
        <w:rPr>
          <w:rFonts w:cs="Arial"/>
        </w:rPr>
        <w:t>quit</w:t>
      </w:r>
      <w:r w:rsidR="0057085A">
        <w:rPr>
          <w:rFonts w:cs="Arial"/>
        </w:rPr>
        <w:t>;</w:t>
      </w:r>
    </w:p>
    <w:p w14:paraId="0A9574CD" w14:textId="77777777" w:rsidR="00DC561E" w:rsidRPr="00DC561E" w:rsidRDefault="00DC561E" w:rsidP="006E7149">
      <w:pPr>
        <w:pStyle w:val="ListParagraph"/>
        <w:widowControl w:val="0"/>
        <w:numPr>
          <w:ilvl w:val="0"/>
          <w:numId w:val="17"/>
        </w:numPr>
        <w:tabs>
          <w:tab w:val="left" w:pos="999"/>
        </w:tabs>
        <w:autoSpaceDE w:val="0"/>
        <w:autoSpaceDN w:val="0"/>
        <w:spacing w:before="120" w:after="120"/>
        <w:contextualSpacing w:val="0"/>
        <w:jc w:val="left"/>
        <w:rPr>
          <w:rFonts w:cs="Arial"/>
        </w:rPr>
      </w:pPr>
      <w:r w:rsidRPr="00DC561E">
        <w:rPr>
          <w:rFonts w:cs="Arial"/>
        </w:rPr>
        <w:t>Termination</w:t>
      </w:r>
      <w:r w:rsidRPr="00DC561E">
        <w:rPr>
          <w:rFonts w:cs="Arial"/>
          <w:spacing w:val="-3"/>
        </w:rPr>
        <w:t xml:space="preserve"> </w:t>
      </w:r>
      <w:r w:rsidRPr="00DC561E">
        <w:rPr>
          <w:rFonts w:cs="Arial"/>
        </w:rPr>
        <w:t>notices</w:t>
      </w:r>
      <w:r w:rsidR="0057085A">
        <w:rPr>
          <w:rFonts w:cs="Arial"/>
        </w:rPr>
        <w:t>;</w:t>
      </w:r>
    </w:p>
    <w:p w14:paraId="22AE9E43" w14:textId="77777777" w:rsidR="00DC561E" w:rsidRPr="00DC561E" w:rsidRDefault="00DC561E" w:rsidP="006E7149">
      <w:pPr>
        <w:pStyle w:val="ListParagraph"/>
        <w:widowControl w:val="0"/>
        <w:numPr>
          <w:ilvl w:val="0"/>
          <w:numId w:val="17"/>
        </w:numPr>
        <w:tabs>
          <w:tab w:val="left" w:pos="999"/>
        </w:tabs>
        <w:autoSpaceDE w:val="0"/>
        <w:autoSpaceDN w:val="0"/>
        <w:spacing w:before="120" w:after="120"/>
        <w:contextualSpacing w:val="0"/>
        <w:jc w:val="left"/>
        <w:rPr>
          <w:rFonts w:cs="Arial"/>
        </w:rPr>
      </w:pPr>
      <w:r w:rsidRPr="00DC561E">
        <w:rPr>
          <w:rFonts w:cs="Arial"/>
        </w:rPr>
        <w:t>Grievance and Conference hearing notices and</w:t>
      </w:r>
      <w:r w:rsidRPr="00DC561E">
        <w:rPr>
          <w:rFonts w:cs="Arial"/>
          <w:spacing w:val="-15"/>
        </w:rPr>
        <w:t xml:space="preserve"> </w:t>
      </w:r>
      <w:r w:rsidRPr="00DC561E">
        <w:rPr>
          <w:rFonts w:cs="Arial"/>
        </w:rPr>
        <w:t>procedures</w:t>
      </w:r>
      <w:r w:rsidR="0057085A">
        <w:rPr>
          <w:rFonts w:cs="Arial"/>
        </w:rPr>
        <w:t>;</w:t>
      </w:r>
    </w:p>
    <w:p w14:paraId="1FFA41C0" w14:textId="77777777" w:rsidR="00DC561E" w:rsidRPr="00DC561E" w:rsidRDefault="00DC561E" w:rsidP="006E7149">
      <w:pPr>
        <w:pStyle w:val="ListParagraph"/>
        <w:widowControl w:val="0"/>
        <w:numPr>
          <w:ilvl w:val="0"/>
          <w:numId w:val="17"/>
        </w:numPr>
        <w:tabs>
          <w:tab w:val="left" w:pos="999"/>
        </w:tabs>
        <w:autoSpaceDE w:val="0"/>
        <w:autoSpaceDN w:val="0"/>
        <w:spacing w:before="120" w:after="120"/>
        <w:contextualSpacing w:val="0"/>
        <w:jc w:val="left"/>
        <w:rPr>
          <w:rFonts w:cs="Arial"/>
        </w:rPr>
      </w:pPr>
      <w:r w:rsidRPr="00DC561E">
        <w:rPr>
          <w:rFonts w:cs="Arial"/>
        </w:rPr>
        <w:t>Recertification related forms and</w:t>
      </w:r>
      <w:r w:rsidRPr="00DC561E">
        <w:rPr>
          <w:rFonts w:cs="Arial"/>
          <w:spacing w:val="-13"/>
        </w:rPr>
        <w:t xml:space="preserve"> </w:t>
      </w:r>
      <w:r w:rsidRPr="00DC561E">
        <w:rPr>
          <w:rFonts w:cs="Arial"/>
        </w:rPr>
        <w:t>notices</w:t>
      </w:r>
      <w:r w:rsidR="0057085A">
        <w:rPr>
          <w:rFonts w:cs="Arial"/>
        </w:rPr>
        <w:t>;</w:t>
      </w:r>
    </w:p>
    <w:p w14:paraId="5EB936EE" w14:textId="77777777" w:rsidR="00DC561E" w:rsidRPr="00DC561E" w:rsidRDefault="00DC561E" w:rsidP="006E7149">
      <w:pPr>
        <w:pStyle w:val="ListParagraph"/>
        <w:widowControl w:val="0"/>
        <w:numPr>
          <w:ilvl w:val="0"/>
          <w:numId w:val="17"/>
        </w:numPr>
        <w:tabs>
          <w:tab w:val="left" w:pos="999"/>
        </w:tabs>
        <w:autoSpaceDE w:val="0"/>
        <w:autoSpaceDN w:val="0"/>
        <w:spacing w:before="120" w:after="120"/>
        <w:contextualSpacing w:val="0"/>
        <w:jc w:val="left"/>
        <w:rPr>
          <w:rFonts w:cs="Arial"/>
        </w:rPr>
      </w:pPr>
      <w:r w:rsidRPr="00DC561E">
        <w:rPr>
          <w:rFonts w:cs="Arial"/>
        </w:rPr>
        <w:t>Inspection notices and</w:t>
      </w:r>
      <w:r w:rsidRPr="00DC561E">
        <w:rPr>
          <w:rFonts w:cs="Arial"/>
          <w:spacing w:val="-7"/>
        </w:rPr>
        <w:t xml:space="preserve"> </w:t>
      </w:r>
      <w:r w:rsidRPr="00DC561E">
        <w:rPr>
          <w:rFonts w:cs="Arial"/>
        </w:rPr>
        <w:t>results</w:t>
      </w:r>
      <w:r w:rsidR="0057085A">
        <w:rPr>
          <w:rFonts w:cs="Arial"/>
        </w:rPr>
        <w:t>;</w:t>
      </w:r>
    </w:p>
    <w:p w14:paraId="027D384C" w14:textId="77777777" w:rsidR="00DC561E" w:rsidRPr="00DC561E" w:rsidRDefault="00DC561E" w:rsidP="006E7149">
      <w:pPr>
        <w:pStyle w:val="ListParagraph"/>
        <w:widowControl w:val="0"/>
        <w:numPr>
          <w:ilvl w:val="0"/>
          <w:numId w:val="17"/>
        </w:numPr>
        <w:tabs>
          <w:tab w:val="left" w:pos="999"/>
        </w:tabs>
        <w:autoSpaceDE w:val="0"/>
        <w:autoSpaceDN w:val="0"/>
        <w:spacing w:before="120" w:after="120"/>
        <w:contextualSpacing w:val="0"/>
        <w:jc w:val="left"/>
        <w:rPr>
          <w:rFonts w:cs="Arial"/>
        </w:rPr>
      </w:pPr>
      <w:r w:rsidRPr="00DC561E">
        <w:rPr>
          <w:rFonts w:cs="Arial"/>
        </w:rPr>
        <w:t>Rent simplification notices and</w:t>
      </w:r>
      <w:r w:rsidRPr="00DC561E">
        <w:rPr>
          <w:rFonts w:cs="Arial"/>
          <w:spacing w:val="-20"/>
        </w:rPr>
        <w:t xml:space="preserve"> </w:t>
      </w:r>
      <w:r w:rsidRPr="00DC561E">
        <w:rPr>
          <w:rFonts w:cs="Arial"/>
        </w:rPr>
        <w:t>schedules</w:t>
      </w:r>
      <w:r w:rsidR="0057085A">
        <w:rPr>
          <w:rFonts w:cs="Arial"/>
        </w:rPr>
        <w:t>;</w:t>
      </w:r>
    </w:p>
    <w:p w14:paraId="18E55FBA" w14:textId="77777777" w:rsidR="00DC561E" w:rsidRPr="00DC561E" w:rsidRDefault="00DC561E" w:rsidP="006E7149">
      <w:pPr>
        <w:pStyle w:val="ListParagraph"/>
        <w:widowControl w:val="0"/>
        <w:numPr>
          <w:ilvl w:val="0"/>
          <w:numId w:val="17"/>
        </w:numPr>
        <w:tabs>
          <w:tab w:val="left" w:pos="999"/>
        </w:tabs>
        <w:autoSpaceDE w:val="0"/>
        <w:autoSpaceDN w:val="0"/>
        <w:spacing w:before="120" w:after="120"/>
        <w:contextualSpacing w:val="0"/>
        <w:jc w:val="left"/>
        <w:rPr>
          <w:rFonts w:cs="Arial"/>
        </w:rPr>
      </w:pPr>
      <w:r w:rsidRPr="00DC561E">
        <w:rPr>
          <w:rFonts w:cs="Arial"/>
        </w:rPr>
        <w:t>Rent change</w:t>
      </w:r>
      <w:r w:rsidRPr="00DC561E">
        <w:rPr>
          <w:rFonts w:cs="Arial"/>
          <w:spacing w:val="-7"/>
        </w:rPr>
        <w:t xml:space="preserve"> </w:t>
      </w:r>
      <w:r w:rsidRPr="00DC561E">
        <w:rPr>
          <w:rFonts w:cs="Arial"/>
        </w:rPr>
        <w:t>notices</w:t>
      </w:r>
      <w:r w:rsidR="0057085A">
        <w:rPr>
          <w:rFonts w:cs="Arial"/>
        </w:rPr>
        <w:t>;</w:t>
      </w:r>
    </w:p>
    <w:p w14:paraId="32962B2E" w14:textId="77777777" w:rsidR="00DC561E" w:rsidRPr="00DC561E" w:rsidRDefault="00DC561E" w:rsidP="006E7149">
      <w:pPr>
        <w:pStyle w:val="ListParagraph"/>
        <w:widowControl w:val="0"/>
        <w:numPr>
          <w:ilvl w:val="0"/>
          <w:numId w:val="17"/>
        </w:numPr>
        <w:tabs>
          <w:tab w:val="left" w:pos="999"/>
        </w:tabs>
        <w:autoSpaceDE w:val="0"/>
        <w:autoSpaceDN w:val="0"/>
        <w:spacing w:before="120" w:after="120"/>
        <w:contextualSpacing w:val="0"/>
        <w:jc w:val="left"/>
        <w:rPr>
          <w:rFonts w:cs="Arial"/>
        </w:rPr>
      </w:pPr>
      <w:r w:rsidRPr="00DC561E">
        <w:rPr>
          <w:rFonts w:cs="Arial"/>
        </w:rPr>
        <w:t>Transfer policies and</w:t>
      </w:r>
      <w:r w:rsidRPr="00DC561E">
        <w:rPr>
          <w:rFonts w:cs="Arial"/>
          <w:spacing w:val="-11"/>
        </w:rPr>
        <w:t xml:space="preserve"> </w:t>
      </w:r>
      <w:r w:rsidRPr="00DC561E">
        <w:rPr>
          <w:rFonts w:cs="Arial"/>
        </w:rPr>
        <w:t>procedures</w:t>
      </w:r>
      <w:r w:rsidR="0057085A">
        <w:rPr>
          <w:rFonts w:cs="Arial"/>
        </w:rPr>
        <w:t>;</w:t>
      </w:r>
    </w:p>
    <w:p w14:paraId="46034E90" w14:textId="77777777" w:rsidR="00DC561E" w:rsidRDefault="00DC561E" w:rsidP="006E7149">
      <w:pPr>
        <w:pStyle w:val="ListParagraph"/>
        <w:widowControl w:val="0"/>
        <w:numPr>
          <w:ilvl w:val="0"/>
          <w:numId w:val="17"/>
        </w:numPr>
        <w:tabs>
          <w:tab w:val="left" w:pos="999"/>
        </w:tabs>
        <w:autoSpaceDE w:val="0"/>
        <w:autoSpaceDN w:val="0"/>
        <w:spacing w:before="120" w:after="120"/>
        <w:contextualSpacing w:val="0"/>
        <w:jc w:val="left"/>
        <w:rPr>
          <w:rFonts w:cs="Arial"/>
        </w:rPr>
      </w:pPr>
      <w:r w:rsidRPr="00DC561E">
        <w:rPr>
          <w:rFonts w:cs="Arial"/>
        </w:rPr>
        <w:t>HCV family</w:t>
      </w:r>
      <w:r w:rsidRPr="00DC561E">
        <w:rPr>
          <w:rFonts w:cs="Arial"/>
          <w:spacing w:val="-12"/>
        </w:rPr>
        <w:t xml:space="preserve"> </w:t>
      </w:r>
      <w:r w:rsidRPr="00DC561E">
        <w:rPr>
          <w:rFonts w:cs="Arial"/>
        </w:rPr>
        <w:t>obligations</w:t>
      </w:r>
      <w:r w:rsidR="0057085A">
        <w:rPr>
          <w:rFonts w:cs="Arial"/>
        </w:rPr>
        <w:t>.</w:t>
      </w:r>
    </w:p>
    <w:p w14:paraId="07E9D5C3" w14:textId="77777777" w:rsidR="00DC561E" w:rsidRPr="00DC561E" w:rsidRDefault="00DC561E" w:rsidP="00DC561E">
      <w:pPr>
        <w:rPr>
          <w:rFonts w:cs="Arial"/>
        </w:rPr>
      </w:pPr>
      <w:r w:rsidRPr="00DC561E">
        <w:t xml:space="preserve">HHA will periodically review and update this list to reflect those documents which are considered vital to applicants and/or residents. With respect to these vital documents, HHA will maintain each in all three </w:t>
      </w:r>
      <w:r w:rsidRPr="00BA3100">
        <w:t xml:space="preserve">threshold </w:t>
      </w:r>
      <w:r w:rsidRPr="00DC561E">
        <w:t>languages.</w:t>
      </w:r>
    </w:p>
    <w:p w14:paraId="30BA5F73" w14:textId="77777777" w:rsidR="00DC561E" w:rsidRPr="00DC561E" w:rsidRDefault="00DC561E" w:rsidP="006E7149">
      <w:pPr>
        <w:pStyle w:val="ListParagraph"/>
        <w:widowControl w:val="0"/>
        <w:numPr>
          <w:ilvl w:val="0"/>
          <w:numId w:val="19"/>
        </w:numPr>
        <w:autoSpaceDE w:val="0"/>
        <w:autoSpaceDN w:val="0"/>
        <w:spacing w:before="120" w:after="120"/>
        <w:contextualSpacing w:val="0"/>
        <w:jc w:val="left"/>
        <w:rPr>
          <w:rFonts w:cs="Arial"/>
          <w:b/>
          <w:bCs/>
        </w:rPr>
      </w:pPr>
      <w:r w:rsidRPr="00DC561E">
        <w:rPr>
          <w:rFonts w:cs="Arial"/>
          <w:b/>
          <w:bCs/>
        </w:rPr>
        <w:t>Language Assistance to be Provided</w:t>
      </w:r>
    </w:p>
    <w:p w14:paraId="78EC8ECC" w14:textId="77777777" w:rsidR="00DC561E" w:rsidRPr="00DC561E" w:rsidRDefault="00DC561E" w:rsidP="00DC561E">
      <w:r w:rsidRPr="00DC561E">
        <w:t>In order to promote equal access to HHA programs and services by LEP individuals, HHA will implement the following array of language assistance services. Except where noted, all actions will be implemented by January 1, 2013:</w:t>
      </w:r>
    </w:p>
    <w:p w14:paraId="262F2804" w14:textId="77777777" w:rsidR="00DC561E" w:rsidRPr="00351693" w:rsidRDefault="00DC561E" w:rsidP="006E7149">
      <w:pPr>
        <w:pStyle w:val="ListParagraph"/>
        <w:widowControl w:val="0"/>
        <w:numPr>
          <w:ilvl w:val="0"/>
          <w:numId w:val="18"/>
        </w:numPr>
        <w:tabs>
          <w:tab w:val="left" w:pos="999"/>
        </w:tabs>
        <w:autoSpaceDE w:val="0"/>
        <w:autoSpaceDN w:val="0"/>
        <w:spacing w:before="120" w:after="120"/>
        <w:ind w:left="720"/>
        <w:contextualSpacing w:val="0"/>
        <w:jc w:val="left"/>
        <w:rPr>
          <w:rFonts w:cs="Arial"/>
          <w:b/>
          <w:bCs/>
        </w:rPr>
      </w:pPr>
      <w:r w:rsidRPr="00351693">
        <w:rPr>
          <w:rFonts w:cs="Arial"/>
          <w:b/>
          <w:bCs/>
        </w:rPr>
        <w:t>Identification of LEP Persons and</w:t>
      </w:r>
      <w:r w:rsidRPr="00351693">
        <w:rPr>
          <w:rFonts w:cs="Arial"/>
          <w:b/>
          <w:bCs/>
          <w:spacing w:val="-19"/>
        </w:rPr>
        <w:t xml:space="preserve"> </w:t>
      </w:r>
      <w:r w:rsidRPr="00351693">
        <w:rPr>
          <w:rFonts w:cs="Arial"/>
          <w:b/>
          <w:bCs/>
        </w:rPr>
        <w:t>Notices</w:t>
      </w:r>
    </w:p>
    <w:p w14:paraId="7A1ED753" w14:textId="77777777" w:rsidR="00DC561E" w:rsidRPr="00DC561E" w:rsidRDefault="00DC561E" w:rsidP="00DC561E">
      <w:pPr>
        <w:ind w:left="720"/>
      </w:pPr>
      <w:r w:rsidRPr="007A4C4B">
        <w:rPr>
          <w:b/>
          <w:bCs/>
        </w:rPr>
        <w:t xml:space="preserve">Use of </w:t>
      </w:r>
      <w:r w:rsidRPr="007A4C4B">
        <w:rPr>
          <w:b/>
          <w:bCs/>
          <w:i/>
          <w:iCs/>
        </w:rPr>
        <w:t>I Speak Cards</w:t>
      </w:r>
      <w:r w:rsidRPr="007A4C4B">
        <w:rPr>
          <w:b/>
          <w:bCs/>
        </w:rPr>
        <w:t>:</w:t>
      </w:r>
      <w:r w:rsidRPr="00DC561E">
        <w:t xml:space="preserve"> In order to help identify LEP individuals and determine the appropriate language assistance, HHA will post and make available I Speak Cards at its central office waiting room and HHA site based management offices. Applicants, public housing residents and HCV participants can use these cards to indicate their primary language. HHA staff at the point of entry will then make appropriate arrangements for interpretation services, generally using either a bi-lingual staff person or a telephone interpretation service.</w:t>
      </w:r>
    </w:p>
    <w:p w14:paraId="0C377BFF" w14:textId="77777777" w:rsidR="00DC561E" w:rsidRPr="00DC561E" w:rsidRDefault="00DC561E" w:rsidP="00DC561E">
      <w:pPr>
        <w:ind w:left="720"/>
      </w:pPr>
      <w:r w:rsidRPr="00344E84">
        <w:rPr>
          <w:b/>
          <w:bCs/>
        </w:rPr>
        <w:t>Notices of Oral Interpretation Services:</w:t>
      </w:r>
      <w:r w:rsidRPr="00DC561E">
        <w:t xml:space="preserve"> HHA will provide free access to either bi-lingual staff or telephone interpretation services for all contacts with LEP individuals. HHA will prominently post multi-lingual notices at its central office and HHA site based management offices and on its website which indicate that free oral interpretation services are available upon request.</w:t>
      </w:r>
    </w:p>
    <w:p w14:paraId="479CAE64" w14:textId="77777777" w:rsidR="00DC561E" w:rsidRPr="00DC561E" w:rsidRDefault="00DC561E" w:rsidP="00DC561E">
      <w:pPr>
        <w:ind w:left="720"/>
        <w:rPr>
          <w:rFonts w:cs="Arial"/>
        </w:rPr>
      </w:pPr>
      <w:r w:rsidRPr="00344E84">
        <w:rPr>
          <w:b/>
          <w:bCs/>
        </w:rPr>
        <w:t>Language Preferences of Residents and Applicants:</w:t>
      </w:r>
      <w:r w:rsidRPr="00DC561E">
        <w:t xml:space="preserve"> HHA will ask applicants and residents, through the use of its language identification form, to identify their primary language at initial application (for new applicants) and at recertification (for existing residents/participants), and to identify their language preference for receiving written communications. The language identification form will also ask the applicant,</w:t>
      </w:r>
      <w:r w:rsidRPr="00DC561E">
        <w:rPr>
          <w:rFonts w:cs="Arial"/>
        </w:rPr>
        <w:t xml:space="preserve"> resident/participant if translations services are necessary. This information will be included in the paper files and in the electronic record.</w:t>
      </w:r>
    </w:p>
    <w:p w14:paraId="60DB1A7A" w14:textId="77777777" w:rsidR="00DC561E" w:rsidRPr="00F36481" w:rsidRDefault="00DC561E" w:rsidP="006E7149">
      <w:pPr>
        <w:pStyle w:val="ListParagraph"/>
        <w:widowControl w:val="0"/>
        <w:numPr>
          <w:ilvl w:val="0"/>
          <w:numId w:val="18"/>
        </w:numPr>
        <w:tabs>
          <w:tab w:val="left" w:pos="999"/>
        </w:tabs>
        <w:autoSpaceDE w:val="0"/>
        <w:autoSpaceDN w:val="0"/>
        <w:spacing w:before="120" w:after="120"/>
        <w:ind w:left="720"/>
        <w:contextualSpacing w:val="0"/>
        <w:rPr>
          <w:rFonts w:cs="Arial"/>
          <w:b/>
          <w:bCs/>
        </w:rPr>
      </w:pPr>
      <w:r w:rsidRPr="00F36481">
        <w:rPr>
          <w:rFonts w:cs="Arial"/>
          <w:b/>
          <w:bCs/>
        </w:rPr>
        <w:t>Language Assistance Measures</w:t>
      </w:r>
    </w:p>
    <w:p w14:paraId="5093A697" w14:textId="77777777" w:rsidR="00DC561E" w:rsidRPr="00DC561E" w:rsidRDefault="00DC561E" w:rsidP="006E7149">
      <w:pPr>
        <w:pStyle w:val="ListParagraph"/>
        <w:widowControl w:val="0"/>
        <w:numPr>
          <w:ilvl w:val="1"/>
          <w:numId w:val="18"/>
        </w:numPr>
        <w:tabs>
          <w:tab w:val="left" w:pos="1359"/>
        </w:tabs>
        <w:autoSpaceDE w:val="0"/>
        <w:autoSpaceDN w:val="0"/>
        <w:spacing w:before="120" w:after="120"/>
        <w:ind w:left="1080" w:hanging="360"/>
        <w:contextualSpacing w:val="0"/>
        <w:rPr>
          <w:rFonts w:cs="Arial"/>
        </w:rPr>
      </w:pPr>
      <w:r w:rsidRPr="00591BA7">
        <w:rPr>
          <w:rFonts w:cs="Arial"/>
          <w:b/>
          <w:bCs/>
        </w:rPr>
        <w:t>Oral</w:t>
      </w:r>
      <w:r w:rsidRPr="00591BA7">
        <w:rPr>
          <w:rFonts w:cs="Arial"/>
          <w:b/>
          <w:bCs/>
          <w:spacing w:val="-3"/>
        </w:rPr>
        <w:t xml:space="preserve"> </w:t>
      </w:r>
      <w:r w:rsidRPr="00591BA7">
        <w:rPr>
          <w:rFonts w:cs="Arial"/>
          <w:b/>
          <w:bCs/>
        </w:rPr>
        <w:t>Interpretation</w:t>
      </w:r>
      <w:r w:rsidRPr="00591BA7">
        <w:rPr>
          <w:rFonts w:cs="Arial"/>
          <w:b/>
          <w:bCs/>
          <w:spacing w:val="-3"/>
        </w:rPr>
        <w:t xml:space="preserve"> </w:t>
      </w:r>
      <w:r w:rsidRPr="00591BA7">
        <w:rPr>
          <w:rFonts w:cs="Arial"/>
          <w:b/>
          <w:bCs/>
        </w:rPr>
        <w:t>–</w:t>
      </w:r>
      <w:r w:rsidRPr="00591BA7">
        <w:rPr>
          <w:rFonts w:cs="Arial"/>
          <w:b/>
          <w:bCs/>
          <w:spacing w:val="-3"/>
        </w:rPr>
        <w:t xml:space="preserve"> </w:t>
      </w:r>
      <w:r w:rsidRPr="00591BA7">
        <w:rPr>
          <w:rFonts w:cs="Arial"/>
          <w:b/>
          <w:bCs/>
        </w:rPr>
        <w:t>Staff:</w:t>
      </w:r>
      <w:r w:rsidRPr="00DC561E">
        <w:rPr>
          <w:rFonts w:cs="Arial"/>
          <w:spacing w:val="-1"/>
        </w:rPr>
        <w:t xml:space="preserve"> </w:t>
      </w:r>
      <w:r w:rsidRPr="00DC561E">
        <w:rPr>
          <w:rFonts w:cs="Arial"/>
        </w:rPr>
        <w:t>Where</w:t>
      </w:r>
      <w:r w:rsidRPr="00DC561E">
        <w:rPr>
          <w:rFonts w:cs="Arial"/>
          <w:spacing w:val="-4"/>
        </w:rPr>
        <w:t xml:space="preserve"> </w:t>
      </w:r>
      <w:r w:rsidRPr="00DC561E">
        <w:rPr>
          <w:rFonts w:cs="Arial"/>
        </w:rPr>
        <w:t>feasible,</w:t>
      </w:r>
      <w:r w:rsidRPr="00DC561E">
        <w:rPr>
          <w:rFonts w:cs="Arial"/>
          <w:spacing w:val="-5"/>
        </w:rPr>
        <w:t xml:space="preserve"> </w:t>
      </w:r>
      <w:r w:rsidRPr="00DC561E">
        <w:rPr>
          <w:rFonts w:cs="Arial"/>
        </w:rPr>
        <w:t>bi-lingual</w:t>
      </w:r>
      <w:r w:rsidRPr="00DC561E">
        <w:rPr>
          <w:rFonts w:cs="Arial"/>
          <w:spacing w:val="-2"/>
        </w:rPr>
        <w:t xml:space="preserve"> </w:t>
      </w:r>
      <w:r w:rsidRPr="00DC561E">
        <w:rPr>
          <w:rFonts w:cs="Arial"/>
        </w:rPr>
        <w:t>HHA</w:t>
      </w:r>
      <w:r w:rsidRPr="00DC561E">
        <w:rPr>
          <w:rFonts w:cs="Arial"/>
          <w:spacing w:val="-2"/>
        </w:rPr>
        <w:t xml:space="preserve"> </w:t>
      </w:r>
      <w:r w:rsidRPr="00DC561E">
        <w:rPr>
          <w:rFonts w:cs="Arial"/>
        </w:rPr>
        <w:t>staff</w:t>
      </w:r>
      <w:r w:rsidRPr="00DC561E">
        <w:rPr>
          <w:rFonts w:cs="Arial"/>
          <w:spacing w:val="-4"/>
        </w:rPr>
        <w:t xml:space="preserve"> </w:t>
      </w:r>
      <w:r w:rsidRPr="00DC561E">
        <w:rPr>
          <w:rFonts w:cs="Arial"/>
        </w:rPr>
        <w:t>will</w:t>
      </w:r>
      <w:r w:rsidRPr="00DC561E">
        <w:rPr>
          <w:rFonts w:cs="Arial"/>
          <w:spacing w:val="-2"/>
        </w:rPr>
        <w:t xml:space="preserve"> </w:t>
      </w:r>
      <w:r w:rsidRPr="00DC561E">
        <w:rPr>
          <w:rFonts w:cs="Arial"/>
        </w:rPr>
        <w:t>be</w:t>
      </w:r>
      <w:r w:rsidRPr="00DC561E">
        <w:rPr>
          <w:rFonts w:cs="Arial"/>
          <w:spacing w:val="-3"/>
        </w:rPr>
        <w:t xml:space="preserve"> </w:t>
      </w:r>
      <w:r w:rsidRPr="00DC561E">
        <w:rPr>
          <w:rFonts w:cs="Arial"/>
        </w:rPr>
        <w:t>deployed</w:t>
      </w:r>
      <w:r w:rsidRPr="00DC561E">
        <w:rPr>
          <w:rFonts w:cs="Arial"/>
          <w:spacing w:val="-3"/>
        </w:rPr>
        <w:t xml:space="preserve"> </w:t>
      </w:r>
      <w:r w:rsidRPr="00DC561E">
        <w:rPr>
          <w:rFonts w:cs="Arial"/>
        </w:rPr>
        <w:t>to</w:t>
      </w:r>
      <w:r w:rsidRPr="00DC561E">
        <w:rPr>
          <w:rFonts w:cs="Arial"/>
          <w:spacing w:val="-4"/>
        </w:rPr>
        <w:t xml:space="preserve"> </w:t>
      </w:r>
      <w:r w:rsidRPr="00DC561E">
        <w:rPr>
          <w:rFonts w:cs="Arial"/>
        </w:rPr>
        <w:t>communicate</w:t>
      </w:r>
      <w:r w:rsidRPr="00DC561E">
        <w:rPr>
          <w:rFonts w:cs="Arial"/>
          <w:spacing w:val="-4"/>
        </w:rPr>
        <w:t xml:space="preserve"> </w:t>
      </w:r>
      <w:r w:rsidRPr="00DC561E">
        <w:rPr>
          <w:rFonts w:cs="Arial"/>
        </w:rPr>
        <w:t>with</w:t>
      </w:r>
      <w:r w:rsidRPr="00DC561E">
        <w:rPr>
          <w:rFonts w:cs="Arial"/>
          <w:spacing w:val="-4"/>
        </w:rPr>
        <w:t xml:space="preserve"> </w:t>
      </w:r>
      <w:r w:rsidRPr="00DC561E">
        <w:rPr>
          <w:rFonts w:cs="Arial"/>
        </w:rPr>
        <w:t>LEP individuals in their native languages and to assist them in reviewing HHA materials, answering questions about HHA programs, and responding to HHA forms and information requests. Currently, HHA employs staff members who speak Spanish and Vietnamese, which are the non-English languages spoken most frequently by eligible persons served by</w:t>
      </w:r>
      <w:r w:rsidRPr="00DC561E">
        <w:rPr>
          <w:rFonts w:cs="Arial"/>
          <w:spacing w:val="-15"/>
        </w:rPr>
        <w:t xml:space="preserve"> </w:t>
      </w:r>
      <w:r w:rsidRPr="00DC561E">
        <w:rPr>
          <w:rFonts w:cs="Arial"/>
        </w:rPr>
        <w:t>HHA.</w:t>
      </w:r>
    </w:p>
    <w:p w14:paraId="4B6ADAC0" w14:textId="77777777" w:rsidR="00DC561E" w:rsidRPr="00DC561E" w:rsidRDefault="00DC561E" w:rsidP="006E7149">
      <w:pPr>
        <w:pStyle w:val="ListParagraph"/>
        <w:widowControl w:val="0"/>
        <w:numPr>
          <w:ilvl w:val="1"/>
          <w:numId w:val="18"/>
        </w:numPr>
        <w:tabs>
          <w:tab w:val="left" w:pos="1359"/>
        </w:tabs>
        <w:autoSpaceDE w:val="0"/>
        <w:autoSpaceDN w:val="0"/>
        <w:spacing w:before="120" w:after="120"/>
        <w:ind w:left="1080" w:hanging="360"/>
        <w:contextualSpacing w:val="0"/>
        <w:rPr>
          <w:rFonts w:cs="Arial"/>
        </w:rPr>
      </w:pPr>
      <w:r w:rsidRPr="00591BA7">
        <w:rPr>
          <w:rFonts w:cs="Arial"/>
          <w:b/>
          <w:bCs/>
        </w:rPr>
        <w:t>Oral Interpretation – Telephone Support:</w:t>
      </w:r>
      <w:r w:rsidRPr="00DC561E">
        <w:rPr>
          <w:rFonts w:cs="Arial"/>
        </w:rPr>
        <w:t xml:space="preserve"> HHA will use the services of a professional telephone interpretation service whenever requested by an LEP individual and/or when an LEP person uses an I Speak card to signify that they speak a non-English language and a qualified staff person that speaks the appropriate language is unavailable. When these contacts involve review of HHA forms and procedures, HHA will schedule the call so that the telephone translator has the opportunity to first review the relevant form or procedure. HHA will only utilize interpretation services, which demonstrate a high degree of training and professionalization among the interpreter staff. HHA currently utilizes a service which provides 24/7 coverage, trained and certified interpreters, and coverage for 170 languages. HHA staff will be trained in how to access this service, which will be available as needed for LEP applicants, public housing residents or HCV</w:t>
      </w:r>
      <w:r w:rsidRPr="00DC561E">
        <w:rPr>
          <w:rFonts w:cs="Arial"/>
          <w:spacing w:val="-16"/>
        </w:rPr>
        <w:t xml:space="preserve"> </w:t>
      </w:r>
      <w:r w:rsidRPr="00DC561E">
        <w:rPr>
          <w:rFonts w:cs="Arial"/>
        </w:rPr>
        <w:t>participants.</w:t>
      </w:r>
    </w:p>
    <w:p w14:paraId="5D56E72B" w14:textId="374BB0E9" w:rsidR="00DC561E" w:rsidRPr="00DC561E" w:rsidRDefault="00DC561E" w:rsidP="006E7149">
      <w:pPr>
        <w:pStyle w:val="ListParagraph"/>
        <w:widowControl w:val="0"/>
        <w:numPr>
          <w:ilvl w:val="1"/>
          <w:numId w:val="18"/>
        </w:numPr>
        <w:tabs>
          <w:tab w:val="left" w:pos="1359"/>
        </w:tabs>
        <w:autoSpaceDE w:val="0"/>
        <w:autoSpaceDN w:val="0"/>
        <w:spacing w:before="120" w:after="120"/>
        <w:ind w:left="1080" w:hanging="360"/>
        <w:contextualSpacing w:val="0"/>
        <w:rPr>
          <w:rFonts w:cs="Arial"/>
        </w:rPr>
      </w:pPr>
      <w:r w:rsidRPr="00591BA7">
        <w:rPr>
          <w:rFonts w:cs="Arial"/>
          <w:b/>
          <w:bCs/>
        </w:rPr>
        <w:t>Oral Interpretation – In</w:t>
      </w:r>
      <w:r w:rsidR="001211AD">
        <w:rPr>
          <w:rFonts w:cs="Arial"/>
          <w:b/>
          <w:bCs/>
        </w:rPr>
        <w:t>-</w:t>
      </w:r>
      <w:r w:rsidRPr="00591BA7">
        <w:rPr>
          <w:rFonts w:cs="Arial"/>
          <w:b/>
          <w:bCs/>
        </w:rPr>
        <w:t>Person Assistance:</w:t>
      </w:r>
      <w:r w:rsidRPr="00DC561E">
        <w:rPr>
          <w:rFonts w:cs="Arial"/>
        </w:rPr>
        <w:t xml:space="preserve"> In limited instances where telephone interpretation services or the use of bi-lingual HHA staff are determined insufficient to ensure meaningful access, HHA will provide qualified in-person interpretation services at no cost to the LEP individual(s) either through local Houston community organizations or through contracts with qualified and trained interpretations services. Examples of contacts where in person assistance is likely to be required includes termination hearings and evictions. Due to the considerable expense involved in providing in-person assistance, HHA will generally strive to use telephone assistance. If the LEP person does not wish to use HHA free interpretation services, the LEP person may provide their own qualified interpreters at their own expense; however, see below regarding use of family and friends as</w:t>
      </w:r>
      <w:r w:rsidRPr="00DC561E">
        <w:rPr>
          <w:rFonts w:cs="Arial"/>
          <w:spacing w:val="-24"/>
        </w:rPr>
        <w:t xml:space="preserve"> </w:t>
      </w:r>
      <w:r w:rsidRPr="00DC561E">
        <w:rPr>
          <w:rFonts w:cs="Arial"/>
        </w:rPr>
        <w:t>interpreters.</w:t>
      </w:r>
    </w:p>
    <w:p w14:paraId="69EF3A47" w14:textId="77777777" w:rsidR="00DC561E" w:rsidRPr="00DC561E" w:rsidRDefault="00DC561E" w:rsidP="006E7149">
      <w:pPr>
        <w:pStyle w:val="ListParagraph"/>
        <w:widowControl w:val="0"/>
        <w:numPr>
          <w:ilvl w:val="1"/>
          <w:numId w:val="18"/>
        </w:numPr>
        <w:tabs>
          <w:tab w:val="left" w:pos="1359"/>
        </w:tabs>
        <w:autoSpaceDE w:val="0"/>
        <w:autoSpaceDN w:val="0"/>
        <w:spacing w:before="120" w:after="120"/>
        <w:ind w:left="1080" w:hanging="360"/>
        <w:contextualSpacing w:val="0"/>
        <w:rPr>
          <w:rFonts w:cs="Arial"/>
        </w:rPr>
      </w:pPr>
      <w:r w:rsidRPr="0088715B">
        <w:rPr>
          <w:rFonts w:cs="Arial"/>
          <w:b/>
          <w:bCs/>
        </w:rPr>
        <w:t xml:space="preserve">Oral Interpretation – Use of Other Interpreters </w:t>
      </w:r>
      <w:r w:rsidR="0088715B">
        <w:rPr>
          <w:rFonts w:cs="Arial"/>
          <w:b/>
          <w:bCs/>
        </w:rPr>
        <w:t>N</w:t>
      </w:r>
      <w:r w:rsidRPr="0088715B">
        <w:rPr>
          <w:rFonts w:cs="Arial"/>
          <w:b/>
          <w:bCs/>
        </w:rPr>
        <w:t xml:space="preserve">ot </w:t>
      </w:r>
      <w:r w:rsidR="0088715B">
        <w:rPr>
          <w:rFonts w:cs="Arial"/>
          <w:b/>
          <w:bCs/>
        </w:rPr>
        <w:t>P</w:t>
      </w:r>
      <w:r w:rsidRPr="0088715B">
        <w:rPr>
          <w:rFonts w:cs="Arial"/>
          <w:b/>
          <w:bCs/>
        </w:rPr>
        <w:t>rovided by HHA:</w:t>
      </w:r>
      <w:r w:rsidRPr="00DC561E">
        <w:rPr>
          <w:rFonts w:cs="Arial"/>
        </w:rPr>
        <w:t xml:space="preserve"> As noted above, LEP individuals will be informed that HHA will provide them with free access to oral interpretation services via bilingual HHA staff or qualified, trained contractors as needed. If the LEP individual requests their own qualified,</w:t>
      </w:r>
      <w:r w:rsidRPr="00DC561E">
        <w:rPr>
          <w:rFonts w:cs="Arial"/>
          <w:spacing w:val="-35"/>
        </w:rPr>
        <w:t xml:space="preserve"> </w:t>
      </w:r>
      <w:r w:rsidRPr="00DC561E">
        <w:rPr>
          <w:rFonts w:cs="Arial"/>
        </w:rPr>
        <w:t>trained interpreter, this will be allowed at the individual’s own expense. Use of family members and friends, especially minor children, as interpreters will generally be discouraged. Exceptions may be made where the contact with the LEP person is of a routine nature, one that does not involve confidential matters, or significant/complex matters impacting the applicant or resident’s housing status, rent payments, or lease compliance issues and the LEP person signs a release that indicates alternative services were offered and waived. Staff will be advised to be alert to the potential for any conflict of interest or competency issues that may arise from the involvement of family or friends. If staff has questions about the appropriateness of</w:t>
      </w:r>
      <w:r w:rsidRPr="00DC561E">
        <w:rPr>
          <w:rFonts w:cs="Arial"/>
          <w:spacing w:val="-3"/>
        </w:rPr>
        <w:t xml:space="preserve"> </w:t>
      </w:r>
      <w:r w:rsidRPr="00DC561E">
        <w:rPr>
          <w:rFonts w:cs="Arial"/>
        </w:rPr>
        <w:t>allowing</w:t>
      </w:r>
      <w:r w:rsidRPr="00DC561E">
        <w:rPr>
          <w:rFonts w:cs="Arial"/>
          <w:spacing w:val="-2"/>
        </w:rPr>
        <w:t xml:space="preserve"> </w:t>
      </w:r>
      <w:r w:rsidRPr="00DC561E">
        <w:rPr>
          <w:rFonts w:cs="Arial"/>
        </w:rPr>
        <w:t>family</w:t>
      </w:r>
      <w:r w:rsidRPr="00DC561E">
        <w:rPr>
          <w:rFonts w:cs="Arial"/>
          <w:spacing w:val="-3"/>
        </w:rPr>
        <w:t xml:space="preserve"> </w:t>
      </w:r>
      <w:r w:rsidRPr="00DC561E">
        <w:rPr>
          <w:rFonts w:cs="Arial"/>
        </w:rPr>
        <w:t>and</w:t>
      </w:r>
      <w:r w:rsidRPr="00DC561E">
        <w:rPr>
          <w:rFonts w:cs="Arial"/>
          <w:spacing w:val="-4"/>
        </w:rPr>
        <w:t xml:space="preserve"> </w:t>
      </w:r>
      <w:r w:rsidRPr="00DC561E">
        <w:rPr>
          <w:rFonts w:cs="Arial"/>
        </w:rPr>
        <w:t>friends</w:t>
      </w:r>
      <w:r w:rsidRPr="00DC561E">
        <w:rPr>
          <w:rFonts w:cs="Arial"/>
          <w:spacing w:val="-2"/>
        </w:rPr>
        <w:t xml:space="preserve"> </w:t>
      </w:r>
      <w:r w:rsidRPr="00DC561E">
        <w:rPr>
          <w:rFonts w:cs="Arial"/>
        </w:rPr>
        <w:t>as</w:t>
      </w:r>
      <w:r w:rsidRPr="00DC561E">
        <w:rPr>
          <w:rFonts w:cs="Arial"/>
          <w:spacing w:val="-3"/>
        </w:rPr>
        <w:t xml:space="preserve"> </w:t>
      </w:r>
      <w:r w:rsidRPr="00DC561E">
        <w:rPr>
          <w:rFonts w:cs="Arial"/>
        </w:rPr>
        <w:t>interpreters,</w:t>
      </w:r>
      <w:r w:rsidRPr="00DC561E">
        <w:rPr>
          <w:rFonts w:cs="Arial"/>
          <w:spacing w:val="-5"/>
        </w:rPr>
        <w:t xml:space="preserve"> </w:t>
      </w:r>
      <w:r w:rsidRPr="00DC561E">
        <w:rPr>
          <w:rFonts w:cs="Arial"/>
        </w:rPr>
        <w:t>they</w:t>
      </w:r>
      <w:r w:rsidRPr="00DC561E">
        <w:rPr>
          <w:rFonts w:cs="Arial"/>
          <w:spacing w:val="-2"/>
        </w:rPr>
        <w:t xml:space="preserve"> </w:t>
      </w:r>
      <w:r w:rsidRPr="00DC561E">
        <w:rPr>
          <w:rFonts w:cs="Arial"/>
        </w:rPr>
        <w:t>will</w:t>
      </w:r>
      <w:r w:rsidRPr="00DC561E">
        <w:rPr>
          <w:rFonts w:cs="Arial"/>
          <w:spacing w:val="-6"/>
        </w:rPr>
        <w:t xml:space="preserve"> </w:t>
      </w:r>
      <w:r w:rsidRPr="00DC561E">
        <w:rPr>
          <w:rFonts w:cs="Arial"/>
        </w:rPr>
        <w:t>consult</w:t>
      </w:r>
      <w:r w:rsidRPr="00DC561E">
        <w:rPr>
          <w:rFonts w:cs="Arial"/>
          <w:spacing w:val="-4"/>
        </w:rPr>
        <w:t xml:space="preserve"> </w:t>
      </w:r>
      <w:r w:rsidRPr="00DC561E">
        <w:rPr>
          <w:rFonts w:cs="Arial"/>
        </w:rPr>
        <w:t>with</w:t>
      </w:r>
      <w:r w:rsidRPr="00DC561E">
        <w:rPr>
          <w:rFonts w:cs="Arial"/>
          <w:spacing w:val="-4"/>
        </w:rPr>
        <w:t xml:space="preserve"> </w:t>
      </w:r>
      <w:r w:rsidRPr="00DC561E">
        <w:rPr>
          <w:rFonts w:cs="Arial"/>
        </w:rPr>
        <w:t>HHA’s</w:t>
      </w:r>
      <w:r w:rsidRPr="00DC561E">
        <w:rPr>
          <w:rFonts w:cs="Arial"/>
          <w:spacing w:val="-3"/>
        </w:rPr>
        <w:t xml:space="preserve"> </w:t>
      </w:r>
      <w:r w:rsidRPr="00DC561E">
        <w:rPr>
          <w:rFonts w:cs="Arial"/>
        </w:rPr>
        <w:t>LEP</w:t>
      </w:r>
      <w:r w:rsidRPr="00DC561E">
        <w:rPr>
          <w:rFonts w:cs="Arial"/>
          <w:spacing w:val="-2"/>
        </w:rPr>
        <w:t xml:space="preserve"> </w:t>
      </w:r>
      <w:r w:rsidRPr="00DC561E">
        <w:rPr>
          <w:rFonts w:cs="Arial"/>
        </w:rPr>
        <w:t>Coordinator</w:t>
      </w:r>
      <w:r w:rsidRPr="00DC561E">
        <w:rPr>
          <w:rFonts w:cs="Arial"/>
          <w:spacing w:val="-3"/>
        </w:rPr>
        <w:t xml:space="preserve"> </w:t>
      </w:r>
      <w:r w:rsidRPr="00DC561E">
        <w:rPr>
          <w:rFonts w:cs="Arial"/>
        </w:rPr>
        <w:t>for</w:t>
      </w:r>
      <w:r w:rsidRPr="00DC561E">
        <w:rPr>
          <w:rFonts w:cs="Arial"/>
          <w:spacing w:val="-18"/>
        </w:rPr>
        <w:t xml:space="preserve"> </w:t>
      </w:r>
      <w:r w:rsidRPr="00DC561E">
        <w:rPr>
          <w:rFonts w:cs="Arial"/>
        </w:rPr>
        <w:t>guidance.</w:t>
      </w:r>
    </w:p>
    <w:p w14:paraId="4962DD70" w14:textId="77777777" w:rsidR="00FA07D9" w:rsidRDefault="00DC561E" w:rsidP="006E7149">
      <w:pPr>
        <w:pStyle w:val="ListParagraph"/>
        <w:widowControl w:val="0"/>
        <w:numPr>
          <w:ilvl w:val="1"/>
          <w:numId w:val="18"/>
        </w:numPr>
        <w:tabs>
          <w:tab w:val="left" w:pos="1359"/>
        </w:tabs>
        <w:autoSpaceDE w:val="0"/>
        <w:autoSpaceDN w:val="0"/>
        <w:spacing w:before="120" w:after="120"/>
        <w:ind w:left="1080" w:hanging="360"/>
        <w:contextualSpacing w:val="0"/>
        <w:rPr>
          <w:rFonts w:cs="Arial"/>
        </w:rPr>
      </w:pPr>
      <w:r w:rsidRPr="00585297">
        <w:rPr>
          <w:rFonts w:cs="Arial"/>
          <w:b/>
          <w:bCs/>
        </w:rPr>
        <w:t>Written Translation:</w:t>
      </w:r>
      <w:r w:rsidRPr="00DC561E">
        <w:rPr>
          <w:rFonts w:cs="Arial"/>
        </w:rPr>
        <w:t xml:space="preserve"> HHA will translate vital documents listed above into</w:t>
      </w:r>
      <w:r w:rsidRPr="00DC561E">
        <w:rPr>
          <w:rFonts w:cs="Arial"/>
          <w:spacing w:val="-32"/>
        </w:rPr>
        <w:t xml:space="preserve"> </w:t>
      </w:r>
      <w:r w:rsidRPr="00DC561E">
        <w:rPr>
          <w:rFonts w:cs="Arial"/>
        </w:rPr>
        <w:t>Spanish</w:t>
      </w:r>
      <w:r>
        <w:rPr>
          <w:rFonts w:cs="Arial"/>
        </w:rPr>
        <w:t xml:space="preserve"> </w:t>
      </w:r>
    </w:p>
    <w:p w14:paraId="199BB7F2" w14:textId="5AE9760E" w:rsidR="00DC561E" w:rsidRPr="00DC561E" w:rsidRDefault="00DC561E" w:rsidP="006E7149">
      <w:pPr>
        <w:pStyle w:val="ListParagraph"/>
        <w:widowControl w:val="0"/>
        <w:numPr>
          <w:ilvl w:val="1"/>
          <w:numId w:val="18"/>
        </w:numPr>
        <w:tabs>
          <w:tab w:val="left" w:pos="1359"/>
        </w:tabs>
        <w:autoSpaceDE w:val="0"/>
        <w:autoSpaceDN w:val="0"/>
        <w:spacing w:before="120" w:after="120"/>
        <w:ind w:left="1080" w:hanging="360"/>
        <w:contextualSpacing w:val="0"/>
        <w:rPr>
          <w:rFonts w:cs="Arial"/>
        </w:rPr>
      </w:pPr>
      <w:r w:rsidRPr="00FA07D9">
        <w:rPr>
          <w:rFonts w:cs="Arial"/>
          <w:b/>
          <w:bCs/>
        </w:rPr>
        <w:t>Communication with LEP Telephone Callers:</w:t>
      </w:r>
      <w:r w:rsidRPr="00DC561E">
        <w:rPr>
          <w:rFonts w:cs="Arial"/>
        </w:rPr>
        <w:t xml:space="preserve"> HHA will continue to provide English and Spanish options for its automated waiting list status line. For callers to HHA’s office, recognizable languages including Spanish and Vietnamese will be transferred to bi-lingual HHA staff when available. If needed, HHA will</w:t>
      </w:r>
      <w:r w:rsidRPr="00DC561E">
        <w:rPr>
          <w:rFonts w:cs="Arial"/>
          <w:spacing w:val="-25"/>
        </w:rPr>
        <w:t xml:space="preserve"> </w:t>
      </w:r>
      <w:r w:rsidRPr="00DC561E">
        <w:rPr>
          <w:rFonts w:cs="Arial"/>
        </w:rPr>
        <w:t>attempt to place a three-party call to the oral interpretation telephone service to determine if the service is able to identify the language spoken and provide an interpreter.</w:t>
      </w:r>
    </w:p>
    <w:p w14:paraId="05EC85F3" w14:textId="77777777" w:rsidR="00DC561E" w:rsidRPr="00E34CF8" w:rsidRDefault="00DC561E" w:rsidP="006E7149">
      <w:pPr>
        <w:pStyle w:val="ListParagraph"/>
        <w:widowControl w:val="0"/>
        <w:numPr>
          <w:ilvl w:val="0"/>
          <w:numId w:val="18"/>
        </w:numPr>
        <w:tabs>
          <w:tab w:val="left" w:pos="999"/>
        </w:tabs>
        <w:autoSpaceDE w:val="0"/>
        <w:autoSpaceDN w:val="0"/>
        <w:spacing w:before="120" w:after="120"/>
        <w:ind w:left="720"/>
        <w:contextualSpacing w:val="0"/>
        <w:rPr>
          <w:rFonts w:cs="Arial"/>
          <w:b/>
          <w:bCs/>
        </w:rPr>
      </w:pPr>
      <w:r w:rsidRPr="00E34CF8">
        <w:rPr>
          <w:rFonts w:cs="Arial"/>
          <w:b/>
          <w:bCs/>
        </w:rPr>
        <w:t>Staff Training and Coordination</w:t>
      </w:r>
    </w:p>
    <w:p w14:paraId="5DDB763F" w14:textId="77777777" w:rsidR="00DC561E" w:rsidRPr="00DC561E" w:rsidRDefault="00DC561E" w:rsidP="00C75DCD">
      <w:pPr>
        <w:ind w:left="720"/>
      </w:pPr>
      <w:r w:rsidRPr="00DC561E">
        <w:t>HHA will provide training on the LEP policy and required assistance actions under the</w:t>
      </w:r>
      <w:r>
        <w:t xml:space="preserve"> </w:t>
      </w:r>
      <w:r w:rsidRPr="00DC561E">
        <w:t>Language Assistance Plan for employees. This will include:</w:t>
      </w:r>
    </w:p>
    <w:p w14:paraId="475426DA" w14:textId="77777777" w:rsidR="00DC561E" w:rsidRPr="00DC561E" w:rsidRDefault="00DC561E" w:rsidP="006E7149">
      <w:pPr>
        <w:pStyle w:val="ListParagraph"/>
        <w:widowControl w:val="0"/>
        <w:numPr>
          <w:ilvl w:val="1"/>
          <w:numId w:val="18"/>
        </w:numPr>
        <w:tabs>
          <w:tab w:val="left" w:pos="1359"/>
        </w:tabs>
        <w:autoSpaceDE w:val="0"/>
        <w:autoSpaceDN w:val="0"/>
        <w:spacing w:before="120" w:after="120"/>
        <w:ind w:left="1080" w:hanging="360"/>
        <w:contextualSpacing w:val="0"/>
        <w:rPr>
          <w:rFonts w:cs="Arial"/>
        </w:rPr>
      </w:pPr>
      <w:r w:rsidRPr="00E34CF8">
        <w:rPr>
          <w:rFonts w:cs="Arial"/>
          <w:b/>
          <w:bCs/>
        </w:rPr>
        <w:t>Mandatory training:</w:t>
      </w:r>
      <w:r w:rsidRPr="00DC561E">
        <w:rPr>
          <w:rFonts w:cs="Arial"/>
        </w:rPr>
        <w:t xml:space="preserve"> A mandatory training will be scheduled for all employees to review the Language Assistance Plan elements, review new procedures related to the LAP, and to inform staff of their responsibilities</w:t>
      </w:r>
      <w:r w:rsidRPr="00DC561E">
        <w:rPr>
          <w:rFonts w:cs="Arial"/>
          <w:spacing w:val="-2"/>
        </w:rPr>
        <w:t xml:space="preserve"> </w:t>
      </w:r>
      <w:r w:rsidRPr="00DC561E">
        <w:rPr>
          <w:rFonts w:cs="Arial"/>
        </w:rPr>
        <w:t>relative</w:t>
      </w:r>
      <w:r w:rsidRPr="00DC561E">
        <w:rPr>
          <w:rFonts w:cs="Arial"/>
          <w:spacing w:val="-3"/>
        </w:rPr>
        <w:t xml:space="preserve"> </w:t>
      </w:r>
      <w:r w:rsidRPr="00DC561E">
        <w:rPr>
          <w:rFonts w:cs="Arial"/>
        </w:rPr>
        <w:t>to</w:t>
      </w:r>
      <w:r w:rsidRPr="00DC561E">
        <w:rPr>
          <w:rFonts w:cs="Arial"/>
          <w:spacing w:val="-4"/>
        </w:rPr>
        <w:t xml:space="preserve"> </w:t>
      </w:r>
      <w:r w:rsidRPr="00DC561E">
        <w:rPr>
          <w:rFonts w:cs="Arial"/>
        </w:rPr>
        <w:t>LEP</w:t>
      </w:r>
      <w:r w:rsidRPr="00DC561E">
        <w:rPr>
          <w:rFonts w:cs="Arial"/>
          <w:spacing w:val="-2"/>
        </w:rPr>
        <w:t xml:space="preserve"> </w:t>
      </w:r>
      <w:r w:rsidRPr="00DC561E">
        <w:rPr>
          <w:rFonts w:cs="Arial"/>
        </w:rPr>
        <w:t>persons.</w:t>
      </w:r>
      <w:r w:rsidRPr="00DC561E">
        <w:rPr>
          <w:rFonts w:cs="Arial"/>
          <w:spacing w:val="-2"/>
        </w:rPr>
        <w:t xml:space="preserve"> </w:t>
      </w:r>
      <w:r w:rsidRPr="00DC561E">
        <w:rPr>
          <w:rFonts w:cs="Arial"/>
        </w:rPr>
        <w:t>On</w:t>
      </w:r>
      <w:r w:rsidRPr="00DC561E">
        <w:rPr>
          <w:rFonts w:cs="Arial"/>
          <w:spacing w:val="-4"/>
        </w:rPr>
        <w:t xml:space="preserve"> </w:t>
      </w:r>
      <w:r w:rsidRPr="00DC561E">
        <w:rPr>
          <w:rFonts w:cs="Arial"/>
        </w:rPr>
        <w:t>an ongoing</w:t>
      </w:r>
      <w:r w:rsidRPr="00DC561E">
        <w:rPr>
          <w:rFonts w:cs="Arial"/>
          <w:spacing w:val="-2"/>
        </w:rPr>
        <w:t xml:space="preserve"> </w:t>
      </w:r>
      <w:r w:rsidRPr="00DC561E">
        <w:rPr>
          <w:rFonts w:cs="Arial"/>
        </w:rPr>
        <w:t>basis,</w:t>
      </w:r>
      <w:r w:rsidRPr="00DC561E">
        <w:rPr>
          <w:rFonts w:cs="Arial"/>
          <w:spacing w:val="-6"/>
        </w:rPr>
        <w:t xml:space="preserve"> </w:t>
      </w:r>
      <w:r w:rsidRPr="00DC561E">
        <w:rPr>
          <w:rFonts w:cs="Arial"/>
        </w:rPr>
        <w:t>periodic</w:t>
      </w:r>
      <w:r w:rsidRPr="00DC561E">
        <w:rPr>
          <w:rFonts w:cs="Arial"/>
          <w:spacing w:val="-5"/>
        </w:rPr>
        <w:t xml:space="preserve"> </w:t>
      </w:r>
      <w:r w:rsidRPr="00DC561E">
        <w:rPr>
          <w:rFonts w:cs="Arial"/>
        </w:rPr>
        <w:t>refresher</w:t>
      </w:r>
      <w:r w:rsidRPr="00DC561E">
        <w:rPr>
          <w:rFonts w:cs="Arial"/>
          <w:spacing w:val="-3"/>
        </w:rPr>
        <w:t xml:space="preserve"> </w:t>
      </w:r>
      <w:r w:rsidRPr="00DC561E">
        <w:rPr>
          <w:rFonts w:cs="Arial"/>
        </w:rPr>
        <w:t>training</w:t>
      </w:r>
      <w:r w:rsidRPr="00DC561E">
        <w:rPr>
          <w:rFonts w:cs="Arial"/>
          <w:spacing w:val="-2"/>
        </w:rPr>
        <w:t xml:space="preserve"> </w:t>
      </w:r>
      <w:r w:rsidRPr="00DC561E">
        <w:rPr>
          <w:rFonts w:cs="Arial"/>
        </w:rPr>
        <w:t>will</w:t>
      </w:r>
      <w:r w:rsidRPr="00DC561E">
        <w:rPr>
          <w:rFonts w:cs="Arial"/>
          <w:spacing w:val="-1"/>
        </w:rPr>
        <w:t xml:space="preserve"> </w:t>
      </w:r>
      <w:r w:rsidRPr="00DC561E">
        <w:rPr>
          <w:rFonts w:cs="Arial"/>
        </w:rPr>
        <w:t>be</w:t>
      </w:r>
      <w:r w:rsidRPr="00DC561E">
        <w:rPr>
          <w:rFonts w:cs="Arial"/>
          <w:spacing w:val="-3"/>
        </w:rPr>
        <w:t xml:space="preserve"> </w:t>
      </w:r>
      <w:r w:rsidRPr="00DC561E">
        <w:rPr>
          <w:rFonts w:cs="Arial"/>
        </w:rPr>
        <w:t>provided to staff who regularly interact with HHA</w:t>
      </w:r>
      <w:r w:rsidRPr="00DC561E">
        <w:rPr>
          <w:rFonts w:cs="Arial"/>
          <w:spacing w:val="-14"/>
        </w:rPr>
        <w:t xml:space="preserve"> </w:t>
      </w:r>
      <w:r w:rsidRPr="00DC561E">
        <w:rPr>
          <w:rFonts w:cs="Arial"/>
        </w:rPr>
        <w:t>clients.</w:t>
      </w:r>
    </w:p>
    <w:p w14:paraId="02635C7B" w14:textId="77777777" w:rsidR="00DC561E" w:rsidRPr="00DC561E" w:rsidRDefault="00DC561E" w:rsidP="006E7149">
      <w:pPr>
        <w:pStyle w:val="ListParagraph"/>
        <w:widowControl w:val="0"/>
        <w:numPr>
          <w:ilvl w:val="1"/>
          <w:numId w:val="18"/>
        </w:numPr>
        <w:tabs>
          <w:tab w:val="left" w:pos="1359"/>
        </w:tabs>
        <w:autoSpaceDE w:val="0"/>
        <w:autoSpaceDN w:val="0"/>
        <w:spacing w:before="120" w:after="120"/>
        <w:ind w:left="1080" w:hanging="360"/>
        <w:contextualSpacing w:val="0"/>
        <w:rPr>
          <w:rFonts w:cs="Arial"/>
        </w:rPr>
      </w:pPr>
      <w:r w:rsidRPr="00E34CF8">
        <w:rPr>
          <w:rFonts w:cs="Arial"/>
          <w:b/>
          <w:bCs/>
        </w:rPr>
        <w:t>Legal</w:t>
      </w:r>
      <w:r w:rsidRPr="00E34CF8">
        <w:rPr>
          <w:rFonts w:cs="Arial"/>
          <w:b/>
          <w:bCs/>
          <w:spacing w:val="-4"/>
        </w:rPr>
        <w:t xml:space="preserve"> </w:t>
      </w:r>
      <w:r w:rsidRPr="00E34CF8">
        <w:rPr>
          <w:rFonts w:cs="Arial"/>
          <w:b/>
          <w:bCs/>
        </w:rPr>
        <w:t>Compliance</w:t>
      </w:r>
      <w:r w:rsidRPr="00E34CF8">
        <w:rPr>
          <w:rFonts w:cs="Arial"/>
          <w:b/>
          <w:bCs/>
          <w:spacing w:val="-4"/>
        </w:rPr>
        <w:t xml:space="preserve"> </w:t>
      </w:r>
      <w:r w:rsidRPr="00E34CF8">
        <w:rPr>
          <w:rFonts w:cs="Arial"/>
          <w:b/>
          <w:bCs/>
        </w:rPr>
        <w:t>Officer:</w:t>
      </w:r>
      <w:r w:rsidRPr="00DC561E">
        <w:rPr>
          <w:rFonts w:cs="Arial"/>
          <w:spacing w:val="-7"/>
        </w:rPr>
        <w:t xml:space="preserve"> </w:t>
      </w:r>
      <w:r w:rsidRPr="00DC561E">
        <w:rPr>
          <w:rFonts w:cs="Arial"/>
        </w:rPr>
        <w:t>HHA’s</w:t>
      </w:r>
      <w:r w:rsidRPr="00DC561E">
        <w:rPr>
          <w:rFonts w:cs="Arial"/>
          <w:spacing w:val="-4"/>
        </w:rPr>
        <w:t xml:space="preserve"> </w:t>
      </w:r>
      <w:r w:rsidRPr="00DC561E">
        <w:rPr>
          <w:rFonts w:cs="Arial"/>
        </w:rPr>
        <w:t>Legal</w:t>
      </w:r>
      <w:r w:rsidRPr="00DC561E">
        <w:rPr>
          <w:rFonts w:cs="Arial"/>
          <w:spacing w:val="-3"/>
        </w:rPr>
        <w:t xml:space="preserve"> </w:t>
      </w:r>
      <w:r w:rsidRPr="00DC561E">
        <w:rPr>
          <w:rFonts w:cs="Arial"/>
        </w:rPr>
        <w:t>Compliance</w:t>
      </w:r>
      <w:r w:rsidRPr="00DC561E">
        <w:rPr>
          <w:rFonts w:cs="Arial"/>
          <w:spacing w:val="-4"/>
        </w:rPr>
        <w:t xml:space="preserve"> </w:t>
      </w:r>
      <w:r w:rsidRPr="00DC561E">
        <w:rPr>
          <w:rFonts w:cs="Arial"/>
        </w:rPr>
        <w:t>Officer</w:t>
      </w:r>
      <w:r w:rsidRPr="00DC561E">
        <w:rPr>
          <w:rFonts w:cs="Arial"/>
          <w:spacing w:val="-5"/>
        </w:rPr>
        <w:t xml:space="preserve"> </w:t>
      </w:r>
      <w:r w:rsidRPr="00DC561E">
        <w:rPr>
          <w:rFonts w:cs="Arial"/>
        </w:rPr>
        <w:t>is</w:t>
      </w:r>
      <w:r w:rsidRPr="00DC561E">
        <w:rPr>
          <w:rFonts w:cs="Arial"/>
          <w:spacing w:val="-4"/>
        </w:rPr>
        <w:t xml:space="preserve"> </w:t>
      </w:r>
      <w:r w:rsidRPr="00DC561E">
        <w:rPr>
          <w:rFonts w:cs="Arial"/>
        </w:rPr>
        <w:t>responsible</w:t>
      </w:r>
      <w:r w:rsidRPr="00DC561E">
        <w:rPr>
          <w:rFonts w:cs="Arial"/>
          <w:spacing w:val="-4"/>
        </w:rPr>
        <w:t xml:space="preserve"> </w:t>
      </w:r>
      <w:r w:rsidRPr="00DC561E">
        <w:rPr>
          <w:rFonts w:cs="Arial"/>
        </w:rPr>
        <w:t>for</w:t>
      </w:r>
      <w:r w:rsidRPr="00DC561E">
        <w:rPr>
          <w:rFonts w:cs="Arial"/>
          <w:spacing w:val="-5"/>
        </w:rPr>
        <w:t xml:space="preserve"> </w:t>
      </w:r>
      <w:r w:rsidRPr="00DC561E">
        <w:rPr>
          <w:rFonts w:cs="Arial"/>
        </w:rPr>
        <w:t>ongoing</w:t>
      </w:r>
      <w:r w:rsidRPr="00DC561E">
        <w:rPr>
          <w:rFonts w:cs="Arial"/>
          <w:spacing w:val="-3"/>
        </w:rPr>
        <w:t xml:space="preserve"> </w:t>
      </w:r>
      <w:r w:rsidRPr="00DC561E">
        <w:rPr>
          <w:rFonts w:cs="Arial"/>
        </w:rPr>
        <w:t>updating</w:t>
      </w:r>
      <w:r w:rsidRPr="00DC561E">
        <w:rPr>
          <w:rFonts w:cs="Arial"/>
          <w:spacing w:val="-4"/>
        </w:rPr>
        <w:t xml:space="preserve"> </w:t>
      </w:r>
      <w:r w:rsidRPr="00DC561E">
        <w:rPr>
          <w:rFonts w:cs="Arial"/>
        </w:rPr>
        <w:t>of</w:t>
      </w:r>
      <w:r w:rsidRPr="00DC561E">
        <w:rPr>
          <w:rFonts w:cs="Arial"/>
          <w:spacing w:val="-4"/>
        </w:rPr>
        <w:t xml:space="preserve"> </w:t>
      </w:r>
      <w:r w:rsidRPr="00DC561E">
        <w:rPr>
          <w:rFonts w:cs="Arial"/>
        </w:rPr>
        <w:t>the</w:t>
      </w:r>
      <w:r w:rsidRPr="00DC561E">
        <w:rPr>
          <w:rFonts w:cs="Arial"/>
          <w:spacing w:val="-5"/>
        </w:rPr>
        <w:t xml:space="preserve"> </w:t>
      </w:r>
      <w:r w:rsidRPr="00DC561E">
        <w:rPr>
          <w:rFonts w:cs="Arial"/>
        </w:rPr>
        <w:t>LEP analysis, addressing staff and public questions and issues related to LEP matters, and providing ongoing LEP</w:t>
      </w:r>
      <w:r w:rsidRPr="00DC561E">
        <w:rPr>
          <w:rFonts w:cs="Arial"/>
          <w:spacing w:val="-2"/>
        </w:rPr>
        <w:t xml:space="preserve"> </w:t>
      </w:r>
      <w:r w:rsidRPr="00DC561E">
        <w:rPr>
          <w:rFonts w:cs="Arial"/>
        </w:rPr>
        <w:t>training.</w:t>
      </w:r>
    </w:p>
    <w:p w14:paraId="38DF81A6" w14:textId="77777777" w:rsidR="00DC561E" w:rsidRPr="002921D3" w:rsidRDefault="00DC561E" w:rsidP="006E7149">
      <w:pPr>
        <w:pStyle w:val="ListParagraph"/>
        <w:widowControl w:val="0"/>
        <w:numPr>
          <w:ilvl w:val="0"/>
          <w:numId w:val="18"/>
        </w:numPr>
        <w:tabs>
          <w:tab w:val="left" w:pos="999"/>
        </w:tabs>
        <w:autoSpaceDE w:val="0"/>
        <w:autoSpaceDN w:val="0"/>
        <w:spacing w:before="120" w:after="120"/>
        <w:ind w:left="720"/>
        <w:contextualSpacing w:val="0"/>
        <w:rPr>
          <w:rFonts w:cs="Arial"/>
          <w:b/>
          <w:bCs/>
        </w:rPr>
      </w:pPr>
      <w:r w:rsidRPr="002921D3">
        <w:rPr>
          <w:rFonts w:cs="Arial"/>
          <w:b/>
          <w:bCs/>
        </w:rPr>
        <w:t>Providing Notice to LEP Persons</w:t>
      </w:r>
    </w:p>
    <w:p w14:paraId="717D822A" w14:textId="77777777" w:rsidR="00DC561E" w:rsidRPr="00DC561E" w:rsidRDefault="00DC561E" w:rsidP="00C75DCD">
      <w:pPr>
        <w:pStyle w:val="ListParagraph"/>
        <w:widowControl w:val="0"/>
        <w:tabs>
          <w:tab w:val="left" w:pos="999"/>
        </w:tabs>
        <w:autoSpaceDE w:val="0"/>
        <w:autoSpaceDN w:val="0"/>
        <w:spacing w:before="120" w:after="120"/>
        <w:contextualSpacing w:val="0"/>
        <w:rPr>
          <w:rFonts w:cs="Arial"/>
        </w:rPr>
      </w:pPr>
      <w:r w:rsidRPr="00DC561E">
        <w:t>To ensure that LEP persons are aware of the language services available to them, HHA will take the following actions:</w:t>
      </w:r>
    </w:p>
    <w:p w14:paraId="76F77353" w14:textId="77777777" w:rsidR="00DC561E" w:rsidRPr="00DC561E" w:rsidRDefault="00DC561E" w:rsidP="006E7149">
      <w:pPr>
        <w:pStyle w:val="ListParagraph"/>
        <w:widowControl w:val="0"/>
        <w:numPr>
          <w:ilvl w:val="1"/>
          <w:numId w:val="18"/>
        </w:numPr>
        <w:tabs>
          <w:tab w:val="left" w:pos="1359"/>
        </w:tabs>
        <w:autoSpaceDE w:val="0"/>
        <w:autoSpaceDN w:val="0"/>
        <w:spacing w:before="120" w:after="120"/>
        <w:ind w:left="1080" w:hanging="360"/>
        <w:contextualSpacing w:val="0"/>
        <w:rPr>
          <w:rFonts w:cs="Arial"/>
        </w:rPr>
      </w:pPr>
      <w:r w:rsidRPr="00B51BB3">
        <w:rPr>
          <w:rFonts w:cs="Arial"/>
          <w:b/>
          <w:bCs/>
        </w:rPr>
        <w:t>Post LEP notices in HHA’s offices and on website:</w:t>
      </w:r>
      <w:r w:rsidRPr="00DC561E">
        <w:rPr>
          <w:rFonts w:cs="Arial"/>
        </w:rPr>
        <w:t xml:space="preserve"> As described above.</w:t>
      </w:r>
    </w:p>
    <w:p w14:paraId="0E1030EA" w14:textId="77777777" w:rsidR="00DC561E" w:rsidRPr="00DC561E" w:rsidRDefault="00DC561E" w:rsidP="006E7149">
      <w:pPr>
        <w:pStyle w:val="ListParagraph"/>
        <w:widowControl w:val="0"/>
        <w:numPr>
          <w:ilvl w:val="1"/>
          <w:numId w:val="18"/>
        </w:numPr>
        <w:tabs>
          <w:tab w:val="left" w:pos="1359"/>
        </w:tabs>
        <w:autoSpaceDE w:val="0"/>
        <w:autoSpaceDN w:val="0"/>
        <w:spacing w:before="120" w:after="120"/>
        <w:ind w:left="1080" w:hanging="360"/>
        <w:contextualSpacing w:val="0"/>
        <w:rPr>
          <w:rFonts w:cs="Arial"/>
        </w:rPr>
      </w:pPr>
      <w:r w:rsidRPr="00B51BB3">
        <w:rPr>
          <w:rFonts w:cs="Arial"/>
          <w:b/>
          <w:bCs/>
        </w:rPr>
        <w:t>Incorporate multi-lingual messages into HHA outreach documents:</w:t>
      </w:r>
      <w:r w:rsidRPr="00DC561E">
        <w:rPr>
          <w:rFonts w:cs="Arial"/>
        </w:rPr>
        <w:t xml:space="preserve"> HHA will utilize standard messages in Spanish and Vietnamese on outreach materials and notices.</w:t>
      </w:r>
    </w:p>
    <w:p w14:paraId="1E313AEE" w14:textId="77777777" w:rsidR="00DC561E" w:rsidRPr="00B51BB3" w:rsidRDefault="00DC561E" w:rsidP="006E7149">
      <w:pPr>
        <w:pStyle w:val="ListParagraph"/>
        <w:widowControl w:val="0"/>
        <w:numPr>
          <w:ilvl w:val="1"/>
          <w:numId w:val="18"/>
        </w:numPr>
        <w:tabs>
          <w:tab w:val="left" w:pos="1359"/>
        </w:tabs>
        <w:autoSpaceDE w:val="0"/>
        <w:autoSpaceDN w:val="0"/>
        <w:spacing w:before="120" w:after="120"/>
        <w:ind w:left="1080" w:hanging="360"/>
        <w:contextualSpacing w:val="0"/>
        <w:rPr>
          <w:rFonts w:cs="Arial"/>
          <w:b/>
          <w:bCs/>
        </w:rPr>
      </w:pPr>
      <w:r w:rsidRPr="00B51BB3">
        <w:rPr>
          <w:rFonts w:cs="Arial"/>
          <w:b/>
          <w:bCs/>
        </w:rPr>
        <w:t>Inform resident associations of language assistance services.</w:t>
      </w:r>
    </w:p>
    <w:p w14:paraId="61AE7F98" w14:textId="77777777" w:rsidR="00DC561E" w:rsidRPr="0041727C" w:rsidRDefault="00DC561E" w:rsidP="006E7149">
      <w:pPr>
        <w:pStyle w:val="ListParagraph"/>
        <w:widowControl w:val="0"/>
        <w:numPr>
          <w:ilvl w:val="0"/>
          <w:numId w:val="18"/>
        </w:numPr>
        <w:tabs>
          <w:tab w:val="left" w:pos="999"/>
        </w:tabs>
        <w:autoSpaceDE w:val="0"/>
        <w:autoSpaceDN w:val="0"/>
        <w:spacing w:before="120" w:after="120"/>
        <w:ind w:left="720"/>
        <w:contextualSpacing w:val="0"/>
        <w:rPr>
          <w:rFonts w:cs="Arial"/>
          <w:b/>
          <w:bCs/>
        </w:rPr>
      </w:pPr>
      <w:r w:rsidRPr="0041727C">
        <w:rPr>
          <w:rFonts w:cs="Arial"/>
          <w:b/>
          <w:bCs/>
        </w:rPr>
        <w:t xml:space="preserve">Monitoring and </w:t>
      </w:r>
      <w:r w:rsidR="0041727C">
        <w:rPr>
          <w:rFonts w:cs="Arial"/>
          <w:b/>
          <w:bCs/>
        </w:rPr>
        <w:t>U</w:t>
      </w:r>
      <w:r w:rsidRPr="0041727C">
        <w:rPr>
          <w:rFonts w:cs="Arial"/>
          <w:b/>
          <w:bCs/>
        </w:rPr>
        <w:t>pdating the Language Assistance Plan</w:t>
      </w:r>
    </w:p>
    <w:p w14:paraId="7E61E0D4" w14:textId="77777777" w:rsidR="00DC561E" w:rsidRPr="00DC561E" w:rsidRDefault="00DC561E" w:rsidP="00C75DCD">
      <w:pPr>
        <w:pStyle w:val="ListParagraph"/>
        <w:widowControl w:val="0"/>
        <w:tabs>
          <w:tab w:val="left" w:pos="999"/>
        </w:tabs>
        <w:autoSpaceDE w:val="0"/>
        <w:autoSpaceDN w:val="0"/>
        <w:spacing w:before="120" w:after="120"/>
        <w:contextualSpacing w:val="0"/>
        <w:rPr>
          <w:rFonts w:cs="Arial"/>
        </w:rPr>
      </w:pPr>
      <w:r w:rsidRPr="00DC561E">
        <w:t>Every year, as part of HHA annual plan process, the LAP will be reviewed and updated, if needed. The review will assess:</w:t>
      </w:r>
    </w:p>
    <w:p w14:paraId="0BFB1377" w14:textId="77777777" w:rsidR="00DC561E" w:rsidRPr="00DC561E" w:rsidRDefault="00DC561E" w:rsidP="006E7149">
      <w:pPr>
        <w:pStyle w:val="ListParagraph"/>
        <w:widowControl w:val="0"/>
        <w:numPr>
          <w:ilvl w:val="1"/>
          <w:numId w:val="18"/>
        </w:numPr>
        <w:tabs>
          <w:tab w:val="left" w:pos="1359"/>
        </w:tabs>
        <w:autoSpaceDE w:val="0"/>
        <w:autoSpaceDN w:val="0"/>
        <w:spacing w:before="120" w:after="120"/>
        <w:ind w:left="1080" w:hanging="360"/>
        <w:contextualSpacing w:val="0"/>
        <w:rPr>
          <w:rFonts w:cs="Arial"/>
        </w:rPr>
      </w:pPr>
      <w:r w:rsidRPr="00DC561E">
        <w:rPr>
          <w:rFonts w:cs="Arial"/>
        </w:rPr>
        <w:t>Whether there have been any significant changes in the composition or language needs of the LEP population in Houston;</w:t>
      </w:r>
    </w:p>
    <w:p w14:paraId="3A2665D1" w14:textId="77777777" w:rsidR="00DC561E" w:rsidRPr="00DC561E" w:rsidRDefault="00DC561E" w:rsidP="006E7149">
      <w:pPr>
        <w:pStyle w:val="ListParagraph"/>
        <w:widowControl w:val="0"/>
        <w:numPr>
          <w:ilvl w:val="1"/>
          <w:numId w:val="18"/>
        </w:numPr>
        <w:tabs>
          <w:tab w:val="left" w:pos="1359"/>
        </w:tabs>
        <w:autoSpaceDE w:val="0"/>
        <w:autoSpaceDN w:val="0"/>
        <w:spacing w:before="120" w:after="120"/>
        <w:ind w:left="1080" w:hanging="360"/>
        <w:contextualSpacing w:val="0"/>
        <w:rPr>
          <w:rFonts w:cs="Arial"/>
        </w:rPr>
      </w:pPr>
      <w:r w:rsidRPr="00DC561E">
        <w:rPr>
          <w:rFonts w:cs="Arial"/>
        </w:rPr>
        <w:t>A review to determine if additional vital documents require translation;</w:t>
      </w:r>
    </w:p>
    <w:p w14:paraId="6E1CD57F" w14:textId="77777777" w:rsidR="00DC561E" w:rsidRPr="00DC561E" w:rsidRDefault="00DC561E" w:rsidP="006E7149">
      <w:pPr>
        <w:pStyle w:val="ListParagraph"/>
        <w:widowControl w:val="0"/>
        <w:numPr>
          <w:ilvl w:val="1"/>
          <w:numId w:val="18"/>
        </w:numPr>
        <w:tabs>
          <w:tab w:val="left" w:pos="1359"/>
        </w:tabs>
        <w:autoSpaceDE w:val="0"/>
        <w:autoSpaceDN w:val="0"/>
        <w:spacing w:before="120" w:after="120"/>
        <w:ind w:left="1080" w:hanging="360"/>
        <w:contextualSpacing w:val="0"/>
        <w:rPr>
          <w:rFonts w:cs="Arial"/>
        </w:rPr>
      </w:pPr>
      <w:r w:rsidRPr="00DC561E">
        <w:rPr>
          <w:rFonts w:cs="Arial"/>
        </w:rPr>
        <w:t>A review of any issues or problems related to serving LEP persons which may have emerged during the past year; and,</w:t>
      </w:r>
    </w:p>
    <w:p w14:paraId="6337496B" w14:textId="77777777" w:rsidR="00DC561E" w:rsidRPr="00DC561E" w:rsidRDefault="00DC561E" w:rsidP="006E7149">
      <w:pPr>
        <w:pStyle w:val="ListParagraph"/>
        <w:widowControl w:val="0"/>
        <w:numPr>
          <w:ilvl w:val="1"/>
          <w:numId w:val="18"/>
        </w:numPr>
        <w:tabs>
          <w:tab w:val="left" w:pos="1359"/>
        </w:tabs>
        <w:autoSpaceDE w:val="0"/>
        <w:autoSpaceDN w:val="0"/>
        <w:spacing w:before="120" w:after="120"/>
        <w:ind w:left="1080" w:hanging="360"/>
        <w:contextualSpacing w:val="0"/>
        <w:rPr>
          <w:rFonts w:cs="Arial"/>
        </w:rPr>
      </w:pPr>
      <w:r w:rsidRPr="00DC561E">
        <w:rPr>
          <w:rFonts w:cs="Arial"/>
        </w:rPr>
        <w:t>Identification of any recommended actions to provide more responsive and effective language services.</w:t>
      </w:r>
    </w:p>
    <w:p w14:paraId="5B087772" w14:textId="77777777" w:rsidR="00A95B1E" w:rsidRDefault="00DC561E" w:rsidP="00C75DCD">
      <w:pPr>
        <w:pStyle w:val="BodyText"/>
        <w:spacing w:before="120" w:after="120" w:line="259" w:lineRule="auto"/>
        <w:jc w:val="both"/>
        <w:rPr>
          <w:sz w:val="22"/>
          <w:szCs w:val="22"/>
        </w:rPr>
      </w:pPr>
      <w:r w:rsidRPr="00DC561E">
        <w:rPr>
          <w:sz w:val="22"/>
          <w:szCs w:val="22"/>
        </w:rPr>
        <w:t>Since it will be part of the agency’s overall annual plan process, the annual LAP review and update process will facilitate public review and comment. HHA will also continue to utilize its annual resident survey to query residents about their LEP need</w:t>
      </w:r>
      <w:r>
        <w:rPr>
          <w:sz w:val="22"/>
          <w:szCs w:val="22"/>
        </w:rPr>
        <w:t>s</w:t>
      </w:r>
      <w:r w:rsidR="006A2F9D">
        <w:rPr>
          <w:sz w:val="22"/>
          <w:szCs w:val="22"/>
        </w:rPr>
        <w:t>.</w:t>
      </w:r>
    </w:p>
    <w:p w14:paraId="6EDB27A1" w14:textId="77777777" w:rsidR="00B46CB5" w:rsidRDefault="00B46CB5" w:rsidP="00C75DCD">
      <w:pPr>
        <w:pStyle w:val="BodyText"/>
        <w:spacing w:before="120" w:after="120" w:line="259" w:lineRule="auto"/>
        <w:jc w:val="both"/>
        <w:sectPr w:rsidR="00B46CB5" w:rsidSect="00EE2233">
          <w:pgSz w:w="12240" w:h="15840"/>
          <w:pgMar w:top="1440" w:right="1440" w:bottom="1440" w:left="1440" w:header="720" w:footer="720" w:gutter="0"/>
          <w:cols w:space="720"/>
          <w:docGrid w:linePitch="360"/>
        </w:sectPr>
      </w:pPr>
    </w:p>
    <w:p w14:paraId="688C35CF" w14:textId="77777777" w:rsidR="00B46CB5" w:rsidRDefault="00B46CB5" w:rsidP="00B46CB5">
      <w:pPr>
        <w:pStyle w:val="Heading1"/>
        <w:numPr>
          <w:ilvl w:val="0"/>
          <w:numId w:val="0"/>
        </w:numPr>
      </w:pPr>
      <w:bookmarkStart w:id="4146" w:name="_Ref144993796"/>
      <w:bookmarkStart w:id="4147" w:name="_Ref144995152"/>
      <w:bookmarkStart w:id="4148" w:name="_Ref163724149"/>
      <w:bookmarkStart w:id="4149" w:name="_Toc173222807"/>
      <w:bookmarkStart w:id="4150" w:name="_Toc200375913"/>
      <w:bookmarkStart w:id="4151" w:name="_Toc200377074"/>
      <w:r>
        <w:t xml:space="preserve">APPENDIX </w:t>
      </w:r>
      <w:r w:rsidR="006B584D">
        <w:t>C</w:t>
      </w:r>
      <w:r>
        <w:t>: VIOLENCE AGAINST WOMEN ACT (VAWA) POLICY</w:t>
      </w:r>
      <w:bookmarkEnd w:id="4146"/>
      <w:bookmarkEnd w:id="4147"/>
      <w:bookmarkEnd w:id="4148"/>
      <w:bookmarkEnd w:id="4149"/>
      <w:bookmarkEnd w:id="4150"/>
      <w:bookmarkEnd w:id="4151"/>
    </w:p>
    <w:p w14:paraId="65F93CCF" w14:textId="77777777" w:rsidR="00E913BE" w:rsidRPr="00E913BE" w:rsidRDefault="00E913BE" w:rsidP="007F177E">
      <w:pPr>
        <w:pStyle w:val="ListParagraph"/>
        <w:numPr>
          <w:ilvl w:val="0"/>
          <w:numId w:val="141"/>
        </w:numPr>
        <w:spacing w:after="200" w:line="276" w:lineRule="auto"/>
        <w:contextualSpacing w:val="0"/>
        <w:rPr>
          <w:rFonts w:cs="Arial"/>
          <w:b/>
          <w:sz w:val="28"/>
          <w:szCs w:val="28"/>
        </w:rPr>
      </w:pPr>
      <w:r w:rsidRPr="00E913BE">
        <w:rPr>
          <w:rFonts w:cs="Arial"/>
          <w:b/>
          <w:sz w:val="28"/>
          <w:szCs w:val="28"/>
        </w:rPr>
        <w:t>Purpose and Applicability</w:t>
      </w:r>
    </w:p>
    <w:p w14:paraId="259EBFA5" w14:textId="77777777" w:rsidR="00B57EC7" w:rsidRPr="00AF5451" w:rsidRDefault="00E913BE" w:rsidP="007F177E">
      <w:pPr>
        <w:pStyle w:val="ListParagraph"/>
        <w:numPr>
          <w:ilvl w:val="1"/>
          <w:numId w:val="141"/>
        </w:numPr>
        <w:contextualSpacing w:val="0"/>
        <w:rPr>
          <w:rFonts w:cs="Arial"/>
        </w:rPr>
      </w:pPr>
      <w:r w:rsidRPr="00E913BE">
        <w:rPr>
          <w:rFonts w:cs="Arial"/>
        </w:rPr>
        <w:t xml:space="preserve">The </w:t>
      </w:r>
      <w:r w:rsidRPr="00AF5451">
        <w:rPr>
          <w:rFonts w:cs="Arial"/>
        </w:rPr>
        <w:t>purpose of this policy is to implement the requirements of the Violence Against Women Act (VAWA) with respect to the responsibilities of the Houston Housing Authority (HHA) regarding domestic violence, dating violence, sexual assault</w:t>
      </w:r>
      <w:r w:rsidR="00804269" w:rsidRPr="00AF5451">
        <w:rPr>
          <w:rFonts w:cs="Arial"/>
        </w:rPr>
        <w:t>, s</w:t>
      </w:r>
      <w:r w:rsidRPr="00AF5451">
        <w:rPr>
          <w:rFonts w:cs="Arial"/>
        </w:rPr>
        <w:t>talking</w:t>
      </w:r>
      <w:r w:rsidR="00804269" w:rsidRPr="00AF5451">
        <w:rPr>
          <w:rFonts w:cs="Arial"/>
        </w:rPr>
        <w:t xml:space="preserve"> and/or human trafficking</w:t>
      </w:r>
      <w:r w:rsidRPr="00AF5451">
        <w:rPr>
          <w:rFonts w:cs="Arial"/>
        </w:rPr>
        <w:t>. This policy shall be applicable to all of the federally-subsidized housing programs administered by the HHA and shall be part of the Housing Choice Voucher Administrative Plan and the Public Housing Admissions and Continued Occupancy Policy by reference. Protections under this policy are available to all victims regardless of sex, gender identity, or sexual orientation and will be applied consistent with all nondiscrimination and fair housing requirements.</w:t>
      </w:r>
    </w:p>
    <w:p w14:paraId="562AECBD" w14:textId="77777777" w:rsidR="00B57EC7" w:rsidRPr="00AF5451" w:rsidRDefault="00B57EC7" w:rsidP="00B57EC7">
      <w:pPr>
        <w:pStyle w:val="ListParagraph"/>
        <w:contextualSpacing w:val="0"/>
        <w:rPr>
          <w:rFonts w:cs="Arial"/>
        </w:rPr>
      </w:pPr>
      <w:r w:rsidRPr="00AF5451">
        <w:t>Note: Although the VAWA 2022 statute does not specifically include human trafficking in the list of victims protected under VAWA, in 2022 HUD began including human trafficking as part of the list of victims protected under VAWA (as seen in Notices PIH 2022-06, PIH 2022-22, and PIH 2022-24). In the absence of a final rule implementing VAWA 2022 and to mirror HUD’s recent usage, this policy includes human trafficking in addition to domestic violence, dating violence, sexual assault, and stalking anywhere such a list appears.</w:t>
      </w:r>
    </w:p>
    <w:p w14:paraId="47C8F9A8" w14:textId="77777777" w:rsidR="00E913BE" w:rsidRPr="00AF5451" w:rsidRDefault="00E913BE" w:rsidP="007F177E">
      <w:pPr>
        <w:pStyle w:val="ListParagraph"/>
        <w:numPr>
          <w:ilvl w:val="0"/>
          <w:numId w:val="141"/>
        </w:numPr>
        <w:spacing w:after="200" w:line="276" w:lineRule="auto"/>
        <w:contextualSpacing w:val="0"/>
        <w:rPr>
          <w:rFonts w:cs="Arial"/>
          <w:b/>
          <w:sz w:val="28"/>
          <w:szCs w:val="28"/>
        </w:rPr>
      </w:pPr>
      <w:r w:rsidRPr="00AF5451">
        <w:rPr>
          <w:rFonts w:cs="Arial"/>
          <w:b/>
          <w:sz w:val="28"/>
          <w:szCs w:val="28"/>
        </w:rPr>
        <w:t>Goals and Objectives</w:t>
      </w:r>
    </w:p>
    <w:p w14:paraId="041E8A8F" w14:textId="77777777" w:rsidR="00E913BE" w:rsidRPr="00AF5451" w:rsidRDefault="00E913BE" w:rsidP="007F177E">
      <w:pPr>
        <w:pStyle w:val="ListParagraph"/>
        <w:numPr>
          <w:ilvl w:val="1"/>
          <w:numId w:val="141"/>
        </w:numPr>
        <w:contextualSpacing w:val="0"/>
        <w:rPr>
          <w:rFonts w:cs="Arial"/>
        </w:rPr>
      </w:pPr>
      <w:r w:rsidRPr="00AF5451">
        <w:rPr>
          <w:rFonts w:cs="Arial"/>
        </w:rPr>
        <w:t>The goals and objectives of the HHA’s VAWA Policy are as follows:</w:t>
      </w:r>
    </w:p>
    <w:p w14:paraId="22B65256" w14:textId="77777777" w:rsidR="00E913BE" w:rsidRPr="00AF5451" w:rsidRDefault="00E913BE" w:rsidP="007F177E">
      <w:pPr>
        <w:numPr>
          <w:ilvl w:val="2"/>
          <w:numId w:val="141"/>
        </w:numPr>
        <w:rPr>
          <w:rFonts w:cs="Arial"/>
        </w:rPr>
      </w:pPr>
      <w:r w:rsidRPr="00AF5451">
        <w:rPr>
          <w:rFonts w:cs="Arial"/>
        </w:rPr>
        <w:t>Maintaining compliance with all applicable legal requirements imposed by VAWA;</w:t>
      </w:r>
    </w:p>
    <w:p w14:paraId="47818489" w14:textId="77777777" w:rsidR="00E913BE" w:rsidRPr="00AF5451" w:rsidRDefault="00E913BE" w:rsidP="007F177E">
      <w:pPr>
        <w:numPr>
          <w:ilvl w:val="2"/>
          <w:numId w:val="141"/>
        </w:numPr>
        <w:rPr>
          <w:rFonts w:cs="Arial"/>
        </w:rPr>
      </w:pPr>
      <w:r w:rsidRPr="00AF5451">
        <w:rPr>
          <w:rFonts w:cs="Arial"/>
        </w:rPr>
        <w:t xml:space="preserve">Ensuring the physical safety of victims of actual or threatened </w:t>
      </w:r>
      <w:r w:rsidR="00804269" w:rsidRPr="00AF5451">
        <w:rPr>
          <w:rFonts w:cs="Arial"/>
        </w:rPr>
        <w:t>domestic violence, dating violence, sexual assault, stalking and/or human trafficking</w:t>
      </w:r>
      <w:r w:rsidRPr="00AF5451">
        <w:rPr>
          <w:rFonts w:cs="Arial"/>
        </w:rPr>
        <w:t>;</w:t>
      </w:r>
    </w:p>
    <w:p w14:paraId="4EC646B2" w14:textId="77777777" w:rsidR="00E913BE" w:rsidRPr="00AF5451" w:rsidRDefault="00E913BE" w:rsidP="007F177E">
      <w:pPr>
        <w:numPr>
          <w:ilvl w:val="2"/>
          <w:numId w:val="141"/>
        </w:numPr>
        <w:rPr>
          <w:rFonts w:cs="Arial"/>
        </w:rPr>
      </w:pPr>
      <w:r w:rsidRPr="00AF5451">
        <w:rPr>
          <w:rFonts w:cs="Arial"/>
        </w:rPr>
        <w:t>Providing and maintaining housing opportunities for victims of</w:t>
      </w:r>
      <w:r w:rsidR="00804269" w:rsidRPr="00AF5451">
        <w:rPr>
          <w:rFonts w:cs="Arial"/>
        </w:rPr>
        <w:t xml:space="preserve"> domestic violence, dating violence, sexual assault, stalking and/or human trafficking</w:t>
      </w:r>
      <w:r w:rsidRPr="00AF5451">
        <w:rPr>
          <w:rFonts w:cs="Arial"/>
        </w:rPr>
        <w:t>;</w:t>
      </w:r>
    </w:p>
    <w:p w14:paraId="27930D15" w14:textId="77777777" w:rsidR="00E913BE" w:rsidRPr="00AF5451" w:rsidRDefault="00E913BE" w:rsidP="007F177E">
      <w:pPr>
        <w:numPr>
          <w:ilvl w:val="2"/>
          <w:numId w:val="141"/>
        </w:numPr>
        <w:rPr>
          <w:rFonts w:cs="Arial"/>
        </w:rPr>
      </w:pPr>
      <w:r w:rsidRPr="00AF5451">
        <w:rPr>
          <w:rFonts w:cs="Arial"/>
        </w:rPr>
        <w:t xml:space="preserve">Creating and maintaining collaborative arrangements between the HHA, law enforcement authorities, victim service providers and others to promote the safety and well-being of victims of actual or threatened </w:t>
      </w:r>
      <w:r w:rsidR="00804269" w:rsidRPr="00AF5451">
        <w:rPr>
          <w:rFonts w:cs="Arial"/>
        </w:rPr>
        <w:t>domestic violence, dating violence, sexual assault, stalking and/or human trafficking</w:t>
      </w:r>
      <w:r w:rsidRPr="00AF5451">
        <w:rPr>
          <w:rFonts w:cs="Arial"/>
        </w:rPr>
        <w:t>; and</w:t>
      </w:r>
    </w:p>
    <w:p w14:paraId="4F69A01E" w14:textId="77777777" w:rsidR="00E913BE" w:rsidRPr="00AF5451" w:rsidRDefault="00E913BE" w:rsidP="007F177E">
      <w:pPr>
        <w:numPr>
          <w:ilvl w:val="2"/>
          <w:numId w:val="141"/>
        </w:numPr>
        <w:rPr>
          <w:rFonts w:cs="Arial"/>
        </w:rPr>
      </w:pPr>
      <w:r w:rsidRPr="00AF5451">
        <w:rPr>
          <w:rFonts w:cs="Arial"/>
        </w:rPr>
        <w:t xml:space="preserve">Taking appropriate action in response to an incident or incidents of </w:t>
      </w:r>
      <w:r w:rsidR="00804269" w:rsidRPr="00AF5451">
        <w:rPr>
          <w:rFonts w:cs="Arial"/>
        </w:rPr>
        <w:t xml:space="preserve">domestic violence, dating violence, sexual assault, stalking and/or human trafficking </w:t>
      </w:r>
      <w:r w:rsidRPr="00AF5451">
        <w:rPr>
          <w:rFonts w:cs="Arial"/>
        </w:rPr>
        <w:t>affecting individuals assisted by the HHA.</w:t>
      </w:r>
    </w:p>
    <w:p w14:paraId="22306F4C" w14:textId="77777777" w:rsidR="00E913BE" w:rsidRPr="00AF5451" w:rsidRDefault="00E913BE" w:rsidP="007F177E">
      <w:pPr>
        <w:pStyle w:val="ListParagraph"/>
        <w:numPr>
          <w:ilvl w:val="0"/>
          <w:numId w:val="141"/>
        </w:numPr>
        <w:spacing w:after="200" w:line="276" w:lineRule="auto"/>
        <w:contextualSpacing w:val="0"/>
        <w:rPr>
          <w:rFonts w:cs="Arial"/>
          <w:b/>
          <w:sz w:val="28"/>
          <w:szCs w:val="28"/>
        </w:rPr>
      </w:pPr>
      <w:r w:rsidRPr="00AF5451">
        <w:rPr>
          <w:rFonts w:cs="Arial"/>
          <w:b/>
          <w:sz w:val="28"/>
          <w:szCs w:val="28"/>
        </w:rPr>
        <w:t>Definitions</w:t>
      </w:r>
    </w:p>
    <w:p w14:paraId="372A8CA1" w14:textId="77777777" w:rsidR="00E913BE" w:rsidRPr="00AF5451" w:rsidRDefault="00E913BE" w:rsidP="007F177E">
      <w:pPr>
        <w:numPr>
          <w:ilvl w:val="1"/>
          <w:numId w:val="141"/>
        </w:numPr>
        <w:rPr>
          <w:rFonts w:cs="Arial"/>
        </w:rPr>
      </w:pPr>
      <w:r w:rsidRPr="00AF5451">
        <w:rPr>
          <w:rFonts w:cs="Arial"/>
          <w:b/>
          <w:bCs/>
        </w:rPr>
        <w:t>Affiliated individual</w:t>
      </w:r>
      <w:r w:rsidRPr="00AF5451">
        <w:rPr>
          <w:rFonts w:cs="Arial"/>
        </w:rPr>
        <w:t>, with respect to an individual, means:</w:t>
      </w:r>
    </w:p>
    <w:p w14:paraId="7661C40B" w14:textId="77777777" w:rsidR="003150A4" w:rsidRPr="00AF5451" w:rsidRDefault="00E913BE" w:rsidP="007F177E">
      <w:pPr>
        <w:numPr>
          <w:ilvl w:val="2"/>
          <w:numId w:val="141"/>
        </w:numPr>
        <w:rPr>
          <w:rFonts w:cs="Arial"/>
        </w:rPr>
      </w:pPr>
      <w:r w:rsidRPr="00AF5451">
        <w:rPr>
          <w:rFonts w:cs="Arial"/>
        </w:rPr>
        <w:t xml:space="preserve">A spouse, parent, brother, sister, or child of that individual, or a person to whom that individual stands in the place of a parent or guardian (for example, the affiliated individual is a person in the care, custody, or control of that individual); or </w:t>
      </w:r>
    </w:p>
    <w:p w14:paraId="1FAAC5BF" w14:textId="77777777" w:rsidR="003150A4" w:rsidRPr="00AF5451" w:rsidRDefault="003150A4" w:rsidP="007F177E">
      <w:pPr>
        <w:numPr>
          <w:ilvl w:val="2"/>
          <w:numId w:val="141"/>
        </w:numPr>
        <w:rPr>
          <w:rFonts w:cs="Arial"/>
        </w:rPr>
      </w:pPr>
      <w:r w:rsidRPr="00AF5451">
        <w:t xml:space="preserve">Any other individual, tenant, or lawful occupant living in the household of the victim of </w:t>
      </w:r>
      <w:r w:rsidR="006C317C" w:rsidRPr="00AF5451">
        <w:rPr>
          <w:rFonts w:cs="Arial"/>
        </w:rPr>
        <w:t>domestic violence, dating violence, sexual assault, stalking and/or human trafficking</w:t>
      </w:r>
      <w:r w:rsidRPr="00AF5451">
        <w:t>.</w:t>
      </w:r>
    </w:p>
    <w:p w14:paraId="7570EBA7" w14:textId="77777777" w:rsidR="00A242A4" w:rsidRPr="00AF5451" w:rsidRDefault="00A242A4" w:rsidP="007F177E">
      <w:pPr>
        <w:numPr>
          <w:ilvl w:val="1"/>
          <w:numId w:val="141"/>
        </w:numPr>
        <w:rPr>
          <w:rFonts w:cs="Arial"/>
        </w:rPr>
      </w:pPr>
      <w:r w:rsidRPr="00AF5451">
        <w:rPr>
          <w:rFonts w:cs="Arial"/>
          <w:b/>
          <w:bCs/>
        </w:rPr>
        <w:t>Bifurcate</w:t>
      </w:r>
      <w:r w:rsidRPr="00AF5451">
        <w:rPr>
          <w:rFonts w:cs="Arial"/>
        </w:rPr>
        <w:t xml:space="preserve"> means, with respect to a public housing or Section 8 lease, to divide a lease as a matter of law such that certain tenants can be evicted or removed while the remaining family members’ lease and occupancy rights are allowed to remain intact.</w:t>
      </w:r>
    </w:p>
    <w:p w14:paraId="080D5983" w14:textId="77777777" w:rsidR="00E913BE" w:rsidRPr="00AF5451" w:rsidRDefault="00E913BE" w:rsidP="007F177E">
      <w:pPr>
        <w:numPr>
          <w:ilvl w:val="1"/>
          <w:numId w:val="141"/>
        </w:numPr>
        <w:rPr>
          <w:rFonts w:eastAsia="Arial" w:cs="Arial"/>
          <w:spacing w:val="-2"/>
        </w:rPr>
      </w:pPr>
      <w:r w:rsidRPr="00AF5451">
        <w:rPr>
          <w:rFonts w:cs="Arial"/>
          <w:b/>
          <w:bCs/>
          <w:spacing w:val="-2"/>
        </w:rPr>
        <w:t>Dating Violence</w:t>
      </w:r>
      <w:r w:rsidRPr="00AF5451">
        <w:rPr>
          <w:rFonts w:eastAsia="Arial" w:cs="Arial"/>
          <w:spacing w:val="-2"/>
        </w:rPr>
        <w:t xml:space="preserve"> </w:t>
      </w:r>
      <w:r w:rsidRPr="00AF5451">
        <w:rPr>
          <w:rFonts w:cs="Arial"/>
          <w:spacing w:val="-2"/>
        </w:rPr>
        <w:t xml:space="preserve">is </w:t>
      </w:r>
      <w:r w:rsidRPr="00AF5451">
        <w:rPr>
          <w:rFonts w:eastAsia="Arial" w:cs="Arial"/>
          <w:spacing w:val="-2"/>
        </w:rPr>
        <w:t>violence committed by a</w:t>
      </w:r>
      <w:r w:rsidRPr="00AF5451">
        <w:rPr>
          <w:rFonts w:cs="Arial"/>
          <w:spacing w:val="-2"/>
        </w:rPr>
        <w:t xml:space="preserve"> person who is or has been </w:t>
      </w:r>
      <w:r w:rsidRPr="00AF5451">
        <w:rPr>
          <w:rFonts w:eastAsia="Arial" w:cs="Arial"/>
          <w:spacing w:val="-2"/>
        </w:rPr>
        <w:t>in a social relationship of a romantic or intim</w:t>
      </w:r>
      <w:r w:rsidRPr="00AF5451">
        <w:rPr>
          <w:rFonts w:cs="Arial"/>
          <w:spacing w:val="-2"/>
        </w:rPr>
        <w:t xml:space="preserve">ate nature with the victim </w:t>
      </w:r>
      <w:r w:rsidRPr="00AF5451">
        <w:rPr>
          <w:rFonts w:eastAsia="Arial" w:cs="Arial"/>
          <w:spacing w:val="-2"/>
        </w:rPr>
        <w:t>and where the existence of such a relatio</w:t>
      </w:r>
      <w:r w:rsidRPr="00AF5451">
        <w:rPr>
          <w:rFonts w:cs="Arial"/>
          <w:spacing w:val="-2"/>
        </w:rPr>
        <w:t xml:space="preserve">nship is determined by the </w:t>
      </w:r>
      <w:r w:rsidRPr="00AF5451">
        <w:rPr>
          <w:rFonts w:eastAsia="Arial" w:cs="Arial"/>
          <w:spacing w:val="-2"/>
        </w:rPr>
        <w:t>length of the relationship, the type of t</w:t>
      </w:r>
      <w:r w:rsidRPr="00AF5451">
        <w:rPr>
          <w:rFonts w:cs="Arial"/>
          <w:spacing w:val="-2"/>
        </w:rPr>
        <w:t xml:space="preserve">he relationship, and the </w:t>
      </w:r>
      <w:r w:rsidRPr="00AF5451">
        <w:rPr>
          <w:rFonts w:eastAsia="Arial" w:cs="Arial"/>
          <w:spacing w:val="-2"/>
        </w:rPr>
        <w:t>frequency of interaction between the pers</w:t>
      </w:r>
      <w:r w:rsidRPr="00AF5451">
        <w:rPr>
          <w:rFonts w:cs="Arial"/>
          <w:spacing w:val="-2"/>
        </w:rPr>
        <w:t xml:space="preserve">ons involved in the </w:t>
      </w:r>
      <w:r w:rsidRPr="00AF5451">
        <w:rPr>
          <w:rFonts w:eastAsia="Arial" w:cs="Arial"/>
          <w:spacing w:val="-2"/>
        </w:rPr>
        <w:t>relationship.</w:t>
      </w:r>
    </w:p>
    <w:p w14:paraId="032FA32D" w14:textId="77777777" w:rsidR="00CC00EE" w:rsidRPr="00AF5451" w:rsidRDefault="00E913BE" w:rsidP="007F177E">
      <w:pPr>
        <w:numPr>
          <w:ilvl w:val="1"/>
          <w:numId w:val="141"/>
        </w:numPr>
        <w:rPr>
          <w:rFonts w:cs="Arial"/>
        </w:rPr>
      </w:pPr>
      <w:r w:rsidRPr="00AF5451">
        <w:rPr>
          <w:rFonts w:cs="Arial"/>
          <w:b/>
          <w:bCs/>
        </w:rPr>
        <w:t xml:space="preserve">Domestic Violence </w:t>
      </w:r>
      <w:r w:rsidRPr="00AF5451">
        <w:rPr>
          <w:rFonts w:cs="Arial"/>
        </w:rPr>
        <w:t xml:space="preserve">includes felony or misdemeanor crimes of violence committed by a current or former spouse or intimate partner of the victim, </w:t>
      </w:r>
      <w:r w:rsidR="00CC00EE" w:rsidRPr="00AF5451">
        <w:rPr>
          <w:rFonts w:cs="Arial"/>
        </w:rPr>
        <w:t>under the family or domestic violence laws of the jurisdiction receiving grant funding, and in the case of victim services, includes the user or attempted use of physical abuse or sexual abuse, or a pattern of any other coercive behavior committed, enabled, or solicited to gain or maintain power and control over a victim, including verbal, psychological, economic, or technological abuse that may or may not constitute criminal behavior, by a person who is:</w:t>
      </w:r>
    </w:p>
    <w:p w14:paraId="5593ABBF" w14:textId="77777777" w:rsidR="00CC00EE" w:rsidRPr="00AF5451" w:rsidRDefault="00CC00EE" w:rsidP="007F177E">
      <w:pPr>
        <w:numPr>
          <w:ilvl w:val="2"/>
          <w:numId w:val="141"/>
        </w:numPr>
        <w:rPr>
          <w:rFonts w:cs="Arial"/>
        </w:rPr>
      </w:pPr>
      <w:r w:rsidRPr="00AF5451">
        <w:rPr>
          <w:szCs w:val="24"/>
        </w:rPr>
        <w:t>The current or former spouse or intimate partner of the victim, or person similarly situated to a spouse or intimate partner of the victim;</w:t>
      </w:r>
    </w:p>
    <w:p w14:paraId="1D309349" w14:textId="77777777" w:rsidR="00CC00EE" w:rsidRPr="00AF5451" w:rsidRDefault="00CC00EE" w:rsidP="007F177E">
      <w:pPr>
        <w:numPr>
          <w:ilvl w:val="2"/>
          <w:numId w:val="141"/>
        </w:numPr>
        <w:rPr>
          <w:rFonts w:cs="Arial"/>
        </w:rPr>
      </w:pPr>
      <w:r w:rsidRPr="00AF5451">
        <w:rPr>
          <w:szCs w:val="24"/>
        </w:rPr>
        <w:t>A person who is cohabitating or has cohabitated with the victim as a spouse or intimate partner;</w:t>
      </w:r>
    </w:p>
    <w:p w14:paraId="6B8F1A47" w14:textId="77777777" w:rsidR="00CC00EE" w:rsidRPr="00AF5451" w:rsidRDefault="00CC00EE" w:rsidP="007F177E">
      <w:pPr>
        <w:numPr>
          <w:ilvl w:val="2"/>
          <w:numId w:val="141"/>
        </w:numPr>
        <w:rPr>
          <w:rFonts w:cs="Arial"/>
        </w:rPr>
      </w:pPr>
      <w:r w:rsidRPr="00AF5451">
        <w:rPr>
          <w:szCs w:val="24"/>
        </w:rPr>
        <w:t>A person with whom the victim shares a child in common; and/or</w:t>
      </w:r>
    </w:p>
    <w:p w14:paraId="6BF00FEC" w14:textId="77777777" w:rsidR="00CC00EE" w:rsidRPr="00AF5451" w:rsidRDefault="00CC00EE" w:rsidP="007F177E">
      <w:pPr>
        <w:numPr>
          <w:ilvl w:val="2"/>
          <w:numId w:val="141"/>
        </w:numPr>
        <w:rPr>
          <w:rFonts w:cs="Arial"/>
        </w:rPr>
      </w:pPr>
      <w:r w:rsidRPr="00AF5451">
        <w:rPr>
          <w:rFonts w:cs="Arial"/>
        </w:rPr>
        <w:t>A</w:t>
      </w:r>
      <w:r w:rsidRPr="00AF5451">
        <w:rPr>
          <w:szCs w:val="24"/>
        </w:rPr>
        <w:t xml:space="preserve"> person who commits acts against an youth or adult victim who is protected from those acts under the domestic or family violence laws of the jurisdiction.</w:t>
      </w:r>
    </w:p>
    <w:p w14:paraId="739FD3EE" w14:textId="77777777" w:rsidR="00AA1CE3" w:rsidRPr="00AF5451" w:rsidRDefault="00AA1CE3" w:rsidP="007F177E">
      <w:pPr>
        <w:numPr>
          <w:ilvl w:val="1"/>
          <w:numId w:val="141"/>
        </w:numPr>
        <w:rPr>
          <w:rFonts w:cs="Arial"/>
        </w:rPr>
      </w:pPr>
      <w:bookmarkStart w:id="4152" w:name="EconomicAbuse"/>
      <w:r w:rsidRPr="00AF5451">
        <w:rPr>
          <w:rFonts w:cs="Arial"/>
          <w:b/>
          <w:bCs/>
        </w:rPr>
        <w:t>Economic Abuse</w:t>
      </w:r>
      <w:bookmarkEnd w:id="4152"/>
      <w:r w:rsidRPr="00AF5451">
        <w:rPr>
          <w:rFonts w:cs="Arial"/>
          <w:b/>
          <w:bCs/>
        </w:rPr>
        <w:t xml:space="preserve">: </w:t>
      </w:r>
      <w:r w:rsidRPr="00AF5451">
        <w:rPr>
          <w:rFonts w:cs="Arial"/>
        </w:rPr>
        <w:t>Behavior that is coercive, deceptive, or unreasonably controls or restrains a person’s ability to acquire, use, or maintain economic resources to which they are entitled, including using coercion, fraud, and manipulation to:</w:t>
      </w:r>
    </w:p>
    <w:p w14:paraId="559253C3" w14:textId="77777777" w:rsidR="00AA1CE3" w:rsidRPr="00AF5451" w:rsidRDefault="00AA1CE3" w:rsidP="007F177E">
      <w:pPr>
        <w:numPr>
          <w:ilvl w:val="2"/>
          <w:numId w:val="141"/>
        </w:numPr>
        <w:rPr>
          <w:rFonts w:cs="Arial"/>
        </w:rPr>
      </w:pPr>
      <w:r w:rsidRPr="00AF5451">
        <w:rPr>
          <w:szCs w:val="24"/>
        </w:rPr>
        <w:t>Restrict a person’s access to money, assets, credit, or financial information;</w:t>
      </w:r>
    </w:p>
    <w:p w14:paraId="69A434E2" w14:textId="77777777" w:rsidR="00AA1CE3" w:rsidRPr="00AF5451" w:rsidRDefault="00AA1CE3" w:rsidP="007F177E">
      <w:pPr>
        <w:numPr>
          <w:ilvl w:val="2"/>
          <w:numId w:val="141"/>
        </w:numPr>
        <w:rPr>
          <w:rFonts w:cs="Arial"/>
        </w:rPr>
      </w:pPr>
      <w:r w:rsidRPr="00AF5451">
        <w:rPr>
          <w:szCs w:val="24"/>
        </w:rPr>
        <w:t>Unfairly use a person’s personal economic resources, including money, assets, and credit, for one’s own advantage; and/or</w:t>
      </w:r>
    </w:p>
    <w:p w14:paraId="5B8DA229" w14:textId="77777777" w:rsidR="00AA1CE3" w:rsidRPr="00AF5451" w:rsidRDefault="00AA1CE3" w:rsidP="007F177E">
      <w:pPr>
        <w:numPr>
          <w:ilvl w:val="2"/>
          <w:numId w:val="141"/>
        </w:numPr>
        <w:rPr>
          <w:rFonts w:cs="Arial"/>
        </w:rPr>
      </w:pPr>
      <w:r w:rsidRPr="00AF5451">
        <w:rPr>
          <w:szCs w:val="24"/>
        </w:rPr>
        <w:t>Exert undue influence over a person’s financial and economic behavior or decisions, including forcing default on joint or other financial obligations, exploiting powers of attorney, guardianship, or conservatorship, or to whom one has a fiduciary duty.</w:t>
      </w:r>
    </w:p>
    <w:p w14:paraId="6392D37D" w14:textId="77777777" w:rsidR="00E250D7" w:rsidRPr="00AF5451" w:rsidRDefault="00E250D7" w:rsidP="007F177E">
      <w:pPr>
        <w:numPr>
          <w:ilvl w:val="1"/>
          <w:numId w:val="141"/>
        </w:numPr>
        <w:rPr>
          <w:rFonts w:eastAsia="Arial" w:cs="Arial"/>
        </w:rPr>
      </w:pPr>
      <w:r w:rsidRPr="00AF5451">
        <w:rPr>
          <w:b/>
        </w:rPr>
        <w:t>Human Trafficking:</w:t>
      </w:r>
      <w:r w:rsidRPr="00AF5451">
        <w:rPr>
          <w:bCs/>
        </w:rPr>
        <w:t xml:space="preserve"> A crime involving the exploitation of a person for labor, services, or commercial sex. The Trafficking Victims Protection Act of 2000 and its subsequent reauthorizations recognize and define two primary forms of human trafficking:</w:t>
      </w:r>
    </w:p>
    <w:p w14:paraId="12C83F06" w14:textId="77777777" w:rsidR="00E250D7" w:rsidRPr="00AF5451" w:rsidRDefault="00E250D7" w:rsidP="007F177E">
      <w:pPr>
        <w:numPr>
          <w:ilvl w:val="2"/>
          <w:numId w:val="141"/>
        </w:numPr>
        <w:rPr>
          <w:rFonts w:eastAsia="Arial" w:cs="Arial"/>
        </w:rPr>
      </w:pPr>
      <w:r w:rsidRPr="00AF5451">
        <w:t>Sex trafficking is the recruitment, harboring, transportation, provision, obtaining, patronizing, or soliciting of a person for the purpose of a commercial sex act in which a commercial sex act is induced by force, fraud, or coercion, or in which the person induced to perform such act has not attained 18 years of age. See 22 U.S.C. § 7102(11)(A).</w:t>
      </w:r>
    </w:p>
    <w:p w14:paraId="27269023" w14:textId="77777777" w:rsidR="00E250D7" w:rsidRPr="00AF5451" w:rsidRDefault="00E250D7" w:rsidP="007F177E">
      <w:pPr>
        <w:numPr>
          <w:ilvl w:val="2"/>
          <w:numId w:val="141"/>
        </w:numPr>
        <w:rPr>
          <w:rFonts w:eastAsia="Arial" w:cs="Arial"/>
        </w:rPr>
      </w:pPr>
      <w:r w:rsidRPr="00AF5451">
        <w:t>Forced labor is the recruitment, harboring, transportation, provision, or obtaining of a person for labor or services, through the use of force, fraud, or coercion for the purpose of subjection to involuntary servitude, peonage, debt bondage, or slavery. See 22 U.S.C. § 7102(11)(B).</w:t>
      </w:r>
    </w:p>
    <w:p w14:paraId="0D746915" w14:textId="77777777" w:rsidR="00E913BE" w:rsidRPr="00AF5451" w:rsidRDefault="00E913BE" w:rsidP="007F177E">
      <w:pPr>
        <w:numPr>
          <w:ilvl w:val="1"/>
          <w:numId w:val="141"/>
        </w:numPr>
        <w:rPr>
          <w:rFonts w:eastAsia="Arial" w:cs="Arial"/>
        </w:rPr>
      </w:pPr>
      <w:r w:rsidRPr="00AF5451">
        <w:rPr>
          <w:rFonts w:cs="Arial"/>
          <w:b/>
          <w:bCs/>
        </w:rPr>
        <w:t>Perpetrator</w:t>
      </w:r>
      <w:r w:rsidRPr="00AF5451">
        <w:rPr>
          <w:rFonts w:cs="Arial"/>
        </w:rPr>
        <w:t xml:space="preserve"> means a person who commits acts of </w:t>
      </w:r>
      <w:r w:rsidR="00C7136F" w:rsidRPr="00AF5451">
        <w:rPr>
          <w:rFonts w:cs="Arial"/>
        </w:rPr>
        <w:t>domestic violence, dating violence, sexual assault, stalking and/or human trafficking</w:t>
      </w:r>
      <w:r w:rsidRPr="00AF5451">
        <w:rPr>
          <w:rFonts w:cs="Arial"/>
        </w:rPr>
        <w:t xml:space="preserve"> against a victim.</w:t>
      </w:r>
    </w:p>
    <w:p w14:paraId="45F0005A" w14:textId="77777777" w:rsidR="00E913BE" w:rsidRPr="00AF5451" w:rsidRDefault="00E913BE" w:rsidP="007F177E">
      <w:pPr>
        <w:numPr>
          <w:ilvl w:val="1"/>
          <w:numId w:val="141"/>
        </w:numPr>
        <w:rPr>
          <w:rFonts w:eastAsia="Arial" w:cs="Arial"/>
        </w:rPr>
      </w:pPr>
      <w:r w:rsidRPr="00AF5451">
        <w:rPr>
          <w:rFonts w:cs="Arial"/>
          <w:b/>
          <w:bCs/>
        </w:rPr>
        <w:t>Sexual Assault</w:t>
      </w:r>
      <w:r w:rsidRPr="00AF5451">
        <w:rPr>
          <w:rFonts w:cs="Arial"/>
        </w:rPr>
        <w:t xml:space="preserve"> is any type of sexual contact or behavior that occurs without the explicit consent of the recipient, including when the individual </w:t>
      </w:r>
      <w:r w:rsidRPr="00AF5451">
        <w:rPr>
          <w:rFonts w:eastAsia="Arial" w:cs="Arial"/>
        </w:rPr>
        <w:t>lacks capacity to consent</w:t>
      </w:r>
      <w:r w:rsidRPr="00AF5451">
        <w:rPr>
          <w:rFonts w:cs="Arial"/>
        </w:rPr>
        <w:t>.</w:t>
      </w:r>
    </w:p>
    <w:p w14:paraId="234A5F9A" w14:textId="77777777" w:rsidR="00E913BE" w:rsidRPr="00AF5451" w:rsidRDefault="00E913BE" w:rsidP="007F177E">
      <w:pPr>
        <w:numPr>
          <w:ilvl w:val="1"/>
          <w:numId w:val="141"/>
        </w:numPr>
        <w:rPr>
          <w:rFonts w:eastAsia="Arial" w:cs="Arial"/>
        </w:rPr>
      </w:pPr>
      <w:r w:rsidRPr="00AF5451">
        <w:rPr>
          <w:rFonts w:cs="Arial"/>
          <w:b/>
          <w:bCs/>
        </w:rPr>
        <w:t>Spouse or Intimate Partner</w:t>
      </w:r>
      <w:r w:rsidRPr="00AF5451">
        <w:rPr>
          <w:rFonts w:cs="Arial"/>
        </w:rPr>
        <w:t xml:space="preserve"> </w:t>
      </w:r>
      <w:r w:rsidRPr="00AF5451">
        <w:rPr>
          <w:rFonts w:eastAsia="Arial" w:cs="Arial"/>
        </w:rPr>
        <w:t>includes a</w:t>
      </w:r>
      <w:r w:rsidRPr="00AF5451">
        <w:rPr>
          <w:rFonts w:cs="Arial"/>
        </w:rPr>
        <w:t xml:space="preserve"> person who is or has been in a </w:t>
      </w:r>
      <w:r w:rsidRPr="00AF5451">
        <w:rPr>
          <w:rFonts w:eastAsia="Arial" w:cs="Arial"/>
        </w:rPr>
        <w:t>social relationship of a romantic or intimate nature with the victim, as determined by the length of th</w:t>
      </w:r>
      <w:r w:rsidRPr="00AF5451">
        <w:rPr>
          <w:rFonts w:cs="Arial"/>
        </w:rPr>
        <w:t xml:space="preserve">e relationship, the type of the </w:t>
      </w:r>
      <w:r w:rsidRPr="00AF5451">
        <w:rPr>
          <w:rFonts w:eastAsia="Arial" w:cs="Arial"/>
        </w:rPr>
        <w:t>relationship, and the frequency of intera</w:t>
      </w:r>
      <w:r w:rsidRPr="00AF5451">
        <w:rPr>
          <w:rFonts w:cs="Arial"/>
        </w:rPr>
        <w:t xml:space="preserve">ction between the persons </w:t>
      </w:r>
      <w:r w:rsidRPr="00AF5451">
        <w:rPr>
          <w:rFonts w:eastAsia="Arial" w:cs="Arial"/>
        </w:rPr>
        <w:t>involved in the relationship.</w:t>
      </w:r>
    </w:p>
    <w:p w14:paraId="774267CA" w14:textId="77777777" w:rsidR="00AD1EDD" w:rsidRPr="00AF5451" w:rsidRDefault="00E913BE" w:rsidP="007F177E">
      <w:pPr>
        <w:numPr>
          <w:ilvl w:val="1"/>
          <w:numId w:val="141"/>
        </w:numPr>
        <w:rPr>
          <w:rFonts w:cs="Arial"/>
        </w:rPr>
      </w:pPr>
      <w:r w:rsidRPr="00AF5451">
        <w:rPr>
          <w:rFonts w:cs="Arial"/>
          <w:b/>
          <w:bCs/>
        </w:rPr>
        <w:t>Stalking</w:t>
      </w:r>
      <w:r w:rsidRPr="00AF5451">
        <w:rPr>
          <w:rFonts w:cs="Arial"/>
        </w:rPr>
        <w:t xml:space="preserve"> </w:t>
      </w:r>
      <w:r w:rsidRPr="00AF5451">
        <w:rPr>
          <w:rFonts w:eastAsia="Arial" w:cs="Arial"/>
        </w:rPr>
        <w:t xml:space="preserve">engaging in a course of conduct directed at a </w:t>
      </w:r>
      <w:r w:rsidRPr="00AF5451">
        <w:rPr>
          <w:rFonts w:cs="Arial"/>
        </w:rPr>
        <w:t>specific person that would cause a reasonable person to fear for the person's individual safety or the safety of others, or suffer substantial emotional distress</w:t>
      </w:r>
      <w:bookmarkStart w:id="4153" w:name="TechnologicalAbuse"/>
      <w:r w:rsidR="00AD1EDD" w:rsidRPr="00AF5451">
        <w:rPr>
          <w:rFonts w:cs="Arial"/>
        </w:rPr>
        <w:t>.</w:t>
      </w:r>
    </w:p>
    <w:p w14:paraId="4994B036" w14:textId="77777777" w:rsidR="00AD1EDD" w:rsidRPr="00AF5451" w:rsidRDefault="00AD1EDD" w:rsidP="007F177E">
      <w:pPr>
        <w:numPr>
          <w:ilvl w:val="1"/>
          <w:numId w:val="141"/>
        </w:numPr>
        <w:rPr>
          <w:rFonts w:cs="Arial"/>
        </w:rPr>
      </w:pPr>
      <w:r w:rsidRPr="00AF5451">
        <w:rPr>
          <w:b/>
          <w:bCs/>
          <w:szCs w:val="24"/>
        </w:rPr>
        <w:t>Technological Abuse</w:t>
      </w:r>
      <w:bookmarkEnd w:id="4153"/>
      <w:r w:rsidRPr="00AF5451">
        <w:rPr>
          <w:b/>
          <w:bCs/>
          <w:szCs w:val="24"/>
        </w:rPr>
        <w:t>:</w:t>
      </w:r>
      <w:r w:rsidRPr="00AF5451">
        <w:rPr>
          <w:szCs w:val="24"/>
        </w:rPr>
        <w:t xml:space="preserve"> </w:t>
      </w:r>
      <w:r w:rsidRPr="00AF5451">
        <w:rPr>
          <w:bCs/>
          <w:szCs w:val="24"/>
        </w:rPr>
        <w:t xml:space="preserve">an act or pattern of behavior that occurs within </w:t>
      </w:r>
      <w:r w:rsidR="00C7136F" w:rsidRPr="00AF5451">
        <w:rPr>
          <w:rFonts w:cs="Arial"/>
        </w:rPr>
        <w:t>domestic violence, dating violence, sexual assault, stalking and/or human trafficking</w:t>
      </w:r>
      <w:r w:rsidRPr="00AF5451">
        <w:rPr>
          <w:bCs/>
          <w:szCs w:val="24"/>
        </w:rPr>
        <w:t xml:space="preserve"> and is intended to harm, threaten, intimidate, control, stalk, harass, impersonate, exploit, extort, or monitor another person, except as otherwise permitted by law, that occurs using any form of technology, including but not limited to:</w:t>
      </w:r>
    </w:p>
    <w:p w14:paraId="6838DCF5" w14:textId="77777777" w:rsidR="00AD1EDD" w:rsidRPr="00AF5451" w:rsidRDefault="00AD1EDD" w:rsidP="007F177E">
      <w:pPr>
        <w:numPr>
          <w:ilvl w:val="2"/>
          <w:numId w:val="141"/>
        </w:numPr>
        <w:rPr>
          <w:rFonts w:cs="Arial"/>
        </w:rPr>
      </w:pPr>
      <w:r w:rsidRPr="00AF5451">
        <w:rPr>
          <w:szCs w:val="24"/>
        </w:rPr>
        <w:t>Internet enabled devices;</w:t>
      </w:r>
    </w:p>
    <w:p w14:paraId="68819EEF" w14:textId="77777777" w:rsidR="00AD1EDD" w:rsidRPr="00AF5451" w:rsidRDefault="00AD1EDD" w:rsidP="007F177E">
      <w:pPr>
        <w:numPr>
          <w:ilvl w:val="2"/>
          <w:numId w:val="141"/>
        </w:numPr>
        <w:rPr>
          <w:rFonts w:cs="Arial"/>
        </w:rPr>
      </w:pPr>
      <w:r w:rsidRPr="00AF5451">
        <w:rPr>
          <w:szCs w:val="24"/>
        </w:rPr>
        <w:t>Online spaces and platforms;</w:t>
      </w:r>
    </w:p>
    <w:p w14:paraId="4FBB214C" w14:textId="77777777" w:rsidR="00AD1EDD" w:rsidRPr="00AF5451" w:rsidRDefault="00AD1EDD" w:rsidP="007F177E">
      <w:pPr>
        <w:numPr>
          <w:ilvl w:val="2"/>
          <w:numId w:val="141"/>
        </w:numPr>
        <w:rPr>
          <w:rFonts w:cs="Arial"/>
        </w:rPr>
      </w:pPr>
      <w:r w:rsidRPr="00AF5451">
        <w:rPr>
          <w:szCs w:val="24"/>
        </w:rPr>
        <w:t>Computers;</w:t>
      </w:r>
    </w:p>
    <w:p w14:paraId="58F93EB8" w14:textId="77777777" w:rsidR="00AD1EDD" w:rsidRPr="00AF5451" w:rsidRDefault="00AD1EDD" w:rsidP="007F177E">
      <w:pPr>
        <w:numPr>
          <w:ilvl w:val="2"/>
          <w:numId w:val="141"/>
        </w:numPr>
        <w:rPr>
          <w:rFonts w:cs="Arial"/>
        </w:rPr>
      </w:pPr>
      <w:r w:rsidRPr="00AF5451">
        <w:rPr>
          <w:szCs w:val="24"/>
        </w:rPr>
        <w:t>Mobile devices;</w:t>
      </w:r>
    </w:p>
    <w:p w14:paraId="6CE7F813" w14:textId="77777777" w:rsidR="00AD1EDD" w:rsidRPr="00AF5451" w:rsidRDefault="00AD1EDD" w:rsidP="007F177E">
      <w:pPr>
        <w:numPr>
          <w:ilvl w:val="2"/>
          <w:numId w:val="141"/>
        </w:numPr>
        <w:rPr>
          <w:rFonts w:cs="Arial"/>
        </w:rPr>
      </w:pPr>
      <w:r w:rsidRPr="00AF5451">
        <w:rPr>
          <w:szCs w:val="24"/>
        </w:rPr>
        <w:t>Cameras and imaging programs;</w:t>
      </w:r>
    </w:p>
    <w:p w14:paraId="1A24EBF0" w14:textId="77777777" w:rsidR="00AD1EDD" w:rsidRPr="00AF5451" w:rsidRDefault="00AD1EDD" w:rsidP="007F177E">
      <w:pPr>
        <w:numPr>
          <w:ilvl w:val="2"/>
          <w:numId w:val="141"/>
        </w:numPr>
        <w:rPr>
          <w:rFonts w:cs="Arial"/>
        </w:rPr>
      </w:pPr>
      <w:r w:rsidRPr="00AF5451">
        <w:rPr>
          <w:szCs w:val="24"/>
        </w:rPr>
        <w:t>Apps;</w:t>
      </w:r>
    </w:p>
    <w:p w14:paraId="157C138F" w14:textId="77777777" w:rsidR="00AD1EDD" w:rsidRPr="00AF5451" w:rsidRDefault="00AD1EDD" w:rsidP="007F177E">
      <w:pPr>
        <w:numPr>
          <w:ilvl w:val="2"/>
          <w:numId w:val="141"/>
        </w:numPr>
        <w:rPr>
          <w:rFonts w:cs="Arial"/>
        </w:rPr>
      </w:pPr>
      <w:r w:rsidRPr="00AF5451">
        <w:rPr>
          <w:szCs w:val="24"/>
        </w:rPr>
        <w:t>Location tracking devices;</w:t>
      </w:r>
    </w:p>
    <w:p w14:paraId="5406FF5C" w14:textId="77777777" w:rsidR="00AD1EDD" w:rsidRPr="00AF5451" w:rsidRDefault="00AD1EDD" w:rsidP="007F177E">
      <w:pPr>
        <w:numPr>
          <w:ilvl w:val="2"/>
          <w:numId w:val="141"/>
        </w:numPr>
        <w:rPr>
          <w:rFonts w:cs="Arial"/>
        </w:rPr>
      </w:pPr>
      <w:r w:rsidRPr="00AF5451">
        <w:rPr>
          <w:szCs w:val="24"/>
        </w:rPr>
        <w:t>Communication technologies; and/or</w:t>
      </w:r>
    </w:p>
    <w:p w14:paraId="2B7F3EEB" w14:textId="77777777" w:rsidR="00AD1EDD" w:rsidRPr="00AF5451" w:rsidRDefault="00AD1EDD" w:rsidP="007F177E">
      <w:pPr>
        <w:numPr>
          <w:ilvl w:val="2"/>
          <w:numId w:val="141"/>
        </w:numPr>
        <w:rPr>
          <w:rFonts w:cs="Arial"/>
        </w:rPr>
      </w:pPr>
      <w:r w:rsidRPr="00AF5451">
        <w:rPr>
          <w:szCs w:val="24"/>
        </w:rPr>
        <w:t>Any other emergency technologies.</w:t>
      </w:r>
    </w:p>
    <w:p w14:paraId="4B9D96AF" w14:textId="77777777" w:rsidR="00E913BE" w:rsidRPr="00AF5451" w:rsidRDefault="00E913BE" w:rsidP="007F177E">
      <w:pPr>
        <w:numPr>
          <w:ilvl w:val="1"/>
          <w:numId w:val="141"/>
        </w:numPr>
        <w:rPr>
          <w:rFonts w:cs="Arial"/>
        </w:rPr>
      </w:pPr>
      <w:r w:rsidRPr="00AF5451">
        <w:rPr>
          <w:rFonts w:cs="Arial"/>
          <w:b/>
          <w:bCs/>
        </w:rPr>
        <w:t>VAWA Self Petitioner</w:t>
      </w:r>
      <w:r w:rsidRPr="00AF5451">
        <w:rPr>
          <w:rFonts w:cs="Arial"/>
        </w:rPr>
        <w:t xml:space="preserve"> refers to noncitizens who claim to be victims of </w:t>
      </w:r>
      <w:r w:rsidRPr="00AF5451">
        <w:rPr>
          <w:rFonts w:cs="Arial"/>
          <w:i/>
          <w:iCs/>
        </w:rPr>
        <w:t>battery or extreme cruelty</w:t>
      </w:r>
      <w:r w:rsidRPr="00AF5451">
        <w:rPr>
          <w:rFonts w:cs="Arial"/>
        </w:rPr>
        <w:t xml:space="preserve">. Battery or extreme cruelty includes </w:t>
      </w:r>
      <w:r w:rsidR="003C0C7F" w:rsidRPr="00AF5451">
        <w:rPr>
          <w:rFonts w:cs="Arial"/>
        </w:rPr>
        <w:t>domestic violence, dating violence, sexual assault, stalking and/or human trafficking</w:t>
      </w:r>
      <w:r w:rsidRPr="00AF5451">
        <w:rPr>
          <w:rFonts w:cs="Arial"/>
        </w:rPr>
        <w:t>. VAWA allows these noncitizens to self-petition for Lawful Permanent Resident (LPR) status without the cooperation of or knowledge of their abusive relative</w:t>
      </w:r>
    </w:p>
    <w:p w14:paraId="77AAA531" w14:textId="77777777" w:rsidR="00E913BE" w:rsidRPr="00AF5451" w:rsidRDefault="00E913BE" w:rsidP="007F177E">
      <w:pPr>
        <w:pStyle w:val="ListParagraph"/>
        <w:numPr>
          <w:ilvl w:val="0"/>
          <w:numId w:val="141"/>
        </w:numPr>
        <w:spacing w:after="200" w:line="276" w:lineRule="auto"/>
        <w:contextualSpacing w:val="0"/>
        <w:rPr>
          <w:rFonts w:cs="Arial"/>
          <w:b/>
          <w:sz w:val="28"/>
          <w:szCs w:val="28"/>
        </w:rPr>
      </w:pPr>
      <w:bookmarkStart w:id="4154" w:name="VAWANotifications"/>
      <w:r w:rsidRPr="00AF5451">
        <w:rPr>
          <w:rFonts w:cs="Arial"/>
          <w:b/>
          <w:sz w:val="28"/>
          <w:szCs w:val="28"/>
        </w:rPr>
        <w:t>Notifications Provided</w:t>
      </w:r>
    </w:p>
    <w:bookmarkEnd w:id="4154"/>
    <w:p w14:paraId="68903F09" w14:textId="77777777" w:rsidR="00E913BE" w:rsidRPr="00AF5451" w:rsidRDefault="00E913BE" w:rsidP="007F177E">
      <w:pPr>
        <w:numPr>
          <w:ilvl w:val="1"/>
          <w:numId w:val="141"/>
        </w:numPr>
        <w:rPr>
          <w:rFonts w:cs="Arial"/>
        </w:rPr>
      </w:pPr>
      <w:r w:rsidRPr="00AF5451">
        <w:rPr>
          <w:rFonts w:cs="Arial"/>
        </w:rPr>
        <w:t xml:space="preserve">All applicants and tenants of all HHA Housing Programs will be provided HUD-5380, </w:t>
      </w:r>
      <w:r w:rsidRPr="00AF5451">
        <w:rPr>
          <w:rFonts w:cs="Arial"/>
          <w:i/>
          <w:iCs/>
        </w:rPr>
        <w:t>Notification of Occupancy Rights Under the Violence Against Women Act (VAWA)</w:t>
      </w:r>
      <w:r w:rsidRPr="00AF5451">
        <w:rPr>
          <w:rFonts w:cs="Arial"/>
        </w:rPr>
        <w:t xml:space="preserve"> and HUD-5382, </w:t>
      </w:r>
      <w:r w:rsidRPr="00AF5451">
        <w:rPr>
          <w:rFonts w:cs="Arial"/>
          <w:i/>
          <w:iCs/>
        </w:rPr>
        <w:t>Certification of Domestic Violence, Dating violence, Sexual Assault, or Stalking and Alternate Documents</w:t>
      </w:r>
      <w:r w:rsidRPr="00AF5451">
        <w:rPr>
          <w:rFonts w:cs="Arial"/>
        </w:rPr>
        <w:t xml:space="preserve"> at the following times:</w:t>
      </w:r>
    </w:p>
    <w:p w14:paraId="00CF2E64" w14:textId="77777777" w:rsidR="00E913BE" w:rsidRPr="00AF5451" w:rsidRDefault="00E913BE" w:rsidP="007F177E">
      <w:pPr>
        <w:numPr>
          <w:ilvl w:val="2"/>
          <w:numId w:val="141"/>
        </w:numPr>
        <w:rPr>
          <w:rFonts w:cs="Arial"/>
        </w:rPr>
      </w:pPr>
      <w:r w:rsidRPr="00AF5451">
        <w:rPr>
          <w:rFonts w:cs="Arial"/>
        </w:rPr>
        <w:t>At time of denial of assistance or admission;</w:t>
      </w:r>
    </w:p>
    <w:p w14:paraId="273357F2" w14:textId="77777777" w:rsidR="00E913BE" w:rsidRPr="00AF5451" w:rsidRDefault="00E913BE" w:rsidP="007F177E">
      <w:pPr>
        <w:numPr>
          <w:ilvl w:val="2"/>
          <w:numId w:val="141"/>
        </w:numPr>
        <w:rPr>
          <w:rFonts w:cs="Arial"/>
        </w:rPr>
      </w:pPr>
      <w:r w:rsidRPr="00AF5451">
        <w:rPr>
          <w:rFonts w:cs="Arial"/>
        </w:rPr>
        <w:t>At time of providing of assistance or admission;</w:t>
      </w:r>
    </w:p>
    <w:p w14:paraId="77C1996E" w14:textId="77777777" w:rsidR="00E913BE" w:rsidRPr="00AF5451" w:rsidRDefault="00E913BE" w:rsidP="007F177E">
      <w:pPr>
        <w:numPr>
          <w:ilvl w:val="2"/>
          <w:numId w:val="141"/>
        </w:numPr>
        <w:rPr>
          <w:rFonts w:cs="Arial"/>
        </w:rPr>
      </w:pPr>
      <w:r w:rsidRPr="00AF5451">
        <w:rPr>
          <w:rFonts w:cs="Arial"/>
        </w:rPr>
        <w:t>At any eviction or termination; or</w:t>
      </w:r>
    </w:p>
    <w:p w14:paraId="59281758" w14:textId="77777777" w:rsidR="00E913BE" w:rsidRPr="00AF5451" w:rsidRDefault="00E913BE" w:rsidP="007F177E">
      <w:pPr>
        <w:numPr>
          <w:ilvl w:val="2"/>
          <w:numId w:val="141"/>
        </w:numPr>
        <w:rPr>
          <w:rFonts w:cs="Arial"/>
        </w:rPr>
      </w:pPr>
      <w:r w:rsidRPr="00AF5451">
        <w:rPr>
          <w:rFonts w:cs="Arial"/>
        </w:rPr>
        <w:t>At recertification or lease renewal.</w:t>
      </w:r>
    </w:p>
    <w:p w14:paraId="72146F4C" w14:textId="77777777" w:rsidR="00E913BE" w:rsidRPr="00AF5451" w:rsidRDefault="00E913BE" w:rsidP="007F177E">
      <w:pPr>
        <w:numPr>
          <w:ilvl w:val="1"/>
          <w:numId w:val="141"/>
        </w:numPr>
        <w:rPr>
          <w:rFonts w:cs="Arial"/>
        </w:rPr>
      </w:pPr>
      <w:r w:rsidRPr="00AF5451">
        <w:rPr>
          <w:rFonts w:cs="Arial"/>
        </w:rPr>
        <w:t>These forms will be provided in the applicable language, if necessary, in accordance with Executive Order 13166 (Improving Access to Services for Persons with Limited English Proficiency).</w:t>
      </w:r>
    </w:p>
    <w:p w14:paraId="14FE98C5" w14:textId="77777777" w:rsidR="00E913BE" w:rsidRPr="00AF5451" w:rsidRDefault="00E913BE" w:rsidP="007F177E">
      <w:pPr>
        <w:pStyle w:val="ListParagraph"/>
        <w:numPr>
          <w:ilvl w:val="0"/>
          <w:numId w:val="141"/>
        </w:numPr>
        <w:spacing w:after="200" w:line="276" w:lineRule="auto"/>
        <w:contextualSpacing w:val="0"/>
        <w:rPr>
          <w:rFonts w:cs="Arial"/>
          <w:b/>
          <w:sz w:val="28"/>
          <w:szCs w:val="28"/>
        </w:rPr>
      </w:pPr>
      <w:r w:rsidRPr="00AF5451">
        <w:rPr>
          <w:rFonts w:cs="Arial"/>
          <w:b/>
          <w:sz w:val="28"/>
          <w:szCs w:val="28"/>
        </w:rPr>
        <w:t>Admissions and Screening</w:t>
      </w:r>
    </w:p>
    <w:p w14:paraId="06376F3F" w14:textId="77777777" w:rsidR="00E913BE" w:rsidRPr="00AF5451" w:rsidRDefault="00E913BE" w:rsidP="007F177E">
      <w:pPr>
        <w:pStyle w:val="ListParagraph"/>
        <w:numPr>
          <w:ilvl w:val="1"/>
          <w:numId w:val="141"/>
        </w:numPr>
        <w:contextualSpacing w:val="0"/>
        <w:rPr>
          <w:rFonts w:eastAsia="Arial" w:cs="Arial"/>
        </w:rPr>
      </w:pPr>
      <w:r w:rsidRPr="00AF5451">
        <w:rPr>
          <w:rFonts w:cs="Arial"/>
          <w:b/>
          <w:bCs/>
        </w:rPr>
        <w:t>Non-Denial of Assistance</w:t>
      </w:r>
      <w:r w:rsidRPr="00AF5451">
        <w:rPr>
          <w:rFonts w:cs="Arial"/>
        </w:rPr>
        <w:t xml:space="preserve">. The HHA </w:t>
      </w:r>
      <w:r w:rsidRPr="00AF5451">
        <w:rPr>
          <w:rFonts w:eastAsia="Arial" w:cs="Arial"/>
        </w:rPr>
        <w:t xml:space="preserve">will not deny </w:t>
      </w:r>
      <w:r w:rsidRPr="00AF5451">
        <w:rPr>
          <w:rFonts w:cs="Arial"/>
        </w:rPr>
        <w:t xml:space="preserve">assistance or </w:t>
      </w:r>
      <w:r w:rsidRPr="00AF5451">
        <w:rPr>
          <w:rFonts w:eastAsia="Arial" w:cs="Arial"/>
        </w:rPr>
        <w:t xml:space="preserve">admission to any person because that person is or has been a victim of </w:t>
      </w:r>
      <w:r w:rsidR="003C0C7F" w:rsidRPr="00AF5451">
        <w:rPr>
          <w:rFonts w:cs="Arial"/>
        </w:rPr>
        <w:t>domestic violence, dating violence, sexual assault, stalking and/or human trafficking</w:t>
      </w:r>
      <w:r w:rsidRPr="00AF5451">
        <w:rPr>
          <w:rFonts w:eastAsia="Arial" w:cs="Arial"/>
        </w:rPr>
        <w:t>, provided that such person is otherwise qualified for admission.</w:t>
      </w:r>
    </w:p>
    <w:p w14:paraId="17B387C6" w14:textId="77777777" w:rsidR="00E913BE" w:rsidRPr="00AF5451" w:rsidRDefault="00E913BE" w:rsidP="007F177E">
      <w:pPr>
        <w:pStyle w:val="ListParagraph"/>
        <w:numPr>
          <w:ilvl w:val="1"/>
          <w:numId w:val="141"/>
        </w:numPr>
        <w:contextualSpacing w:val="0"/>
        <w:rPr>
          <w:rFonts w:eastAsia="Arial" w:cs="Arial"/>
        </w:rPr>
      </w:pPr>
      <w:r w:rsidRPr="00AF5451">
        <w:rPr>
          <w:rFonts w:eastAsia="Arial" w:cs="Arial"/>
          <w:b/>
          <w:bCs/>
        </w:rPr>
        <w:t>Mitigation of Disqualifying Information</w:t>
      </w:r>
      <w:r w:rsidRPr="00AF5451">
        <w:rPr>
          <w:rFonts w:cs="Arial"/>
        </w:rPr>
        <w:t>.</w:t>
      </w:r>
    </w:p>
    <w:p w14:paraId="5D6C8022" w14:textId="77777777" w:rsidR="00E913BE" w:rsidRPr="00AF5451" w:rsidRDefault="00E913BE" w:rsidP="007F177E">
      <w:pPr>
        <w:pStyle w:val="ListParagraph"/>
        <w:numPr>
          <w:ilvl w:val="2"/>
          <w:numId w:val="141"/>
        </w:numPr>
        <w:contextualSpacing w:val="0"/>
        <w:rPr>
          <w:rFonts w:eastAsia="Arial" w:cs="Arial"/>
        </w:rPr>
      </w:pPr>
      <w:r w:rsidRPr="00AF5451">
        <w:rPr>
          <w:rFonts w:eastAsia="Arial" w:cs="Arial"/>
        </w:rPr>
        <w:t xml:space="preserve">An applicant for assistance whose history includes incidents in which the applicant was a victim of </w:t>
      </w:r>
      <w:r w:rsidR="00C55710" w:rsidRPr="00AF5451">
        <w:rPr>
          <w:rFonts w:cs="Arial"/>
        </w:rPr>
        <w:t>domestic violence, dating violence, sexual assault, stalking and/or human trafficking</w:t>
      </w:r>
      <w:r w:rsidRPr="00AF5451">
        <w:rPr>
          <w:rFonts w:eastAsia="Arial" w:cs="Arial"/>
        </w:rPr>
        <w:t>, may request that the HHA take such information into account in mitigation of potentially disqualifying information, such as poor credit history or previous damage to a dwelling.</w:t>
      </w:r>
    </w:p>
    <w:p w14:paraId="267C83F3" w14:textId="77777777" w:rsidR="00E913BE" w:rsidRPr="00AF5451" w:rsidRDefault="00E913BE" w:rsidP="007F177E">
      <w:pPr>
        <w:pStyle w:val="ListParagraph"/>
        <w:numPr>
          <w:ilvl w:val="2"/>
          <w:numId w:val="141"/>
        </w:numPr>
        <w:contextualSpacing w:val="0"/>
        <w:rPr>
          <w:rFonts w:eastAsia="Arial" w:cs="Arial"/>
        </w:rPr>
      </w:pPr>
      <w:r w:rsidRPr="00AF5451">
        <w:rPr>
          <w:rFonts w:eastAsia="Arial" w:cs="Arial"/>
        </w:rPr>
        <w:t xml:space="preserve">If requested by an applicant to take such mitigating information into account, the HHA shall be entitled to conduct such inquiries as are reasonably necessary to verify the claimed history of </w:t>
      </w:r>
      <w:r w:rsidR="00910A62" w:rsidRPr="00AF5451">
        <w:rPr>
          <w:rFonts w:cs="Arial"/>
        </w:rPr>
        <w:t>domestic violence, dating violence, sexual assault, stalking and/or human trafficking</w:t>
      </w:r>
      <w:r w:rsidR="00910A62" w:rsidRPr="00AF5451">
        <w:rPr>
          <w:rFonts w:eastAsia="Arial" w:cs="Arial"/>
        </w:rPr>
        <w:t xml:space="preserve"> </w:t>
      </w:r>
      <w:r w:rsidRPr="00AF5451">
        <w:rPr>
          <w:rFonts w:eastAsia="Arial" w:cs="Arial"/>
        </w:rPr>
        <w:t xml:space="preserve">and </w:t>
      </w:r>
      <w:r w:rsidRPr="00AF5451">
        <w:rPr>
          <w:rFonts w:cs="Arial"/>
        </w:rPr>
        <w:t>its</w:t>
      </w:r>
      <w:r w:rsidRPr="00AF5451">
        <w:rPr>
          <w:rFonts w:eastAsia="Arial" w:cs="Arial"/>
        </w:rPr>
        <w:t xml:space="preserve"> probable relevanc</w:t>
      </w:r>
      <w:r w:rsidRPr="00AF5451">
        <w:rPr>
          <w:rFonts w:cs="Arial"/>
        </w:rPr>
        <w:t>e</w:t>
      </w:r>
      <w:r w:rsidRPr="00AF5451">
        <w:rPr>
          <w:rFonts w:eastAsia="Arial" w:cs="Arial"/>
        </w:rPr>
        <w:t xml:space="preserve"> to the potentially disqualifying information. </w:t>
      </w:r>
    </w:p>
    <w:p w14:paraId="11DED4D3" w14:textId="77777777" w:rsidR="00E913BE" w:rsidRPr="00AF5451" w:rsidRDefault="00E913BE" w:rsidP="007F177E">
      <w:pPr>
        <w:pStyle w:val="ListParagraph"/>
        <w:numPr>
          <w:ilvl w:val="2"/>
          <w:numId w:val="141"/>
        </w:numPr>
        <w:contextualSpacing w:val="0"/>
        <w:rPr>
          <w:rFonts w:eastAsia="Arial" w:cs="Arial"/>
        </w:rPr>
      </w:pPr>
      <w:r w:rsidRPr="00AF5451">
        <w:rPr>
          <w:rFonts w:eastAsia="Arial" w:cs="Arial"/>
        </w:rPr>
        <w:t xml:space="preserve">The HHA will not disregard or mitigate potentially disqualifying information if the applicant household includes a perpetrator of a previous incident or incidents of </w:t>
      </w:r>
      <w:r w:rsidR="00910A62" w:rsidRPr="00AF5451">
        <w:rPr>
          <w:rFonts w:cs="Arial"/>
        </w:rPr>
        <w:t>domestic violence, dating violence, sexual assault, stalking and/or human trafficking</w:t>
      </w:r>
      <w:r w:rsidRPr="00AF5451">
        <w:rPr>
          <w:rFonts w:eastAsia="Arial" w:cs="Arial"/>
        </w:rPr>
        <w:t xml:space="preserve">. </w:t>
      </w:r>
    </w:p>
    <w:p w14:paraId="2C976A6F" w14:textId="77777777" w:rsidR="00E913BE" w:rsidRPr="00AF5451" w:rsidRDefault="00E913BE" w:rsidP="007F177E">
      <w:pPr>
        <w:pStyle w:val="ListParagraph"/>
        <w:numPr>
          <w:ilvl w:val="0"/>
          <w:numId w:val="141"/>
        </w:numPr>
        <w:spacing w:after="200" w:line="276" w:lineRule="auto"/>
        <w:contextualSpacing w:val="0"/>
        <w:rPr>
          <w:rFonts w:cs="Arial"/>
          <w:b/>
          <w:sz w:val="28"/>
          <w:szCs w:val="28"/>
        </w:rPr>
      </w:pPr>
      <w:bookmarkStart w:id="4155" w:name="VAWATermination"/>
      <w:r w:rsidRPr="00AF5451">
        <w:rPr>
          <w:rFonts w:cs="Arial"/>
          <w:b/>
          <w:sz w:val="28"/>
          <w:szCs w:val="28"/>
        </w:rPr>
        <w:t>Termination of Tenancy or Assistance</w:t>
      </w:r>
    </w:p>
    <w:bookmarkEnd w:id="4155"/>
    <w:p w14:paraId="47DAFE9D" w14:textId="77777777" w:rsidR="00E913BE" w:rsidRPr="00AF5451" w:rsidRDefault="00E913BE" w:rsidP="007F177E">
      <w:pPr>
        <w:pStyle w:val="ListParagraph"/>
        <w:numPr>
          <w:ilvl w:val="1"/>
          <w:numId w:val="141"/>
        </w:numPr>
        <w:contextualSpacing w:val="0"/>
        <w:rPr>
          <w:rFonts w:cs="Arial"/>
        </w:rPr>
      </w:pPr>
      <w:r w:rsidRPr="00AF5451">
        <w:rPr>
          <w:rFonts w:cs="Arial"/>
          <w:b/>
          <w:bCs/>
        </w:rPr>
        <w:t>VAWA Protections</w:t>
      </w:r>
      <w:r w:rsidRPr="00AF5451">
        <w:rPr>
          <w:rFonts w:cs="Arial"/>
        </w:rPr>
        <w:t>.</w:t>
      </w:r>
    </w:p>
    <w:p w14:paraId="3766A228" w14:textId="77777777" w:rsidR="00E913BE" w:rsidRPr="00AF5451" w:rsidRDefault="00E913BE" w:rsidP="007F177E">
      <w:pPr>
        <w:pStyle w:val="ListParagraph"/>
        <w:numPr>
          <w:ilvl w:val="2"/>
          <w:numId w:val="141"/>
        </w:numPr>
        <w:contextualSpacing w:val="0"/>
        <w:rPr>
          <w:rFonts w:cs="Arial"/>
        </w:rPr>
      </w:pPr>
      <w:r w:rsidRPr="00AF5451">
        <w:rPr>
          <w:rFonts w:eastAsia="Arial" w:cs="Arial"/>
        </w:rPr>
        <w:t xml:space="preserve">A tenant may not be denied tenancy or occupancy rights solely on the basis of criminal activity directly relating to </w:t>
      </w:r>
      <w:r w:rsidR="00910A62" w:rsidRPr="00AF5451">
        <w:rPr>
          <w:rFonts w:cs="Arial"/>
        </w:rPr>
        <w:t>domestic violence, dating violence, sexual assault, stalking and/or human trafficking</w:t>
      </w:r>
      <w:r w:rsidRPr="00AF5451">
        <w:rPr>
          <w:rFonts w:eastAsia="Arial" w:cs="Arial"/>
        </w:rPr>
        <w:t xml:space="preserve"> if</w:t>
      </w:r>
      <w:r w:rsidRPr="00AF5451">
        <w:rPr>
          <w:rFonts w:cs="Arial"/>
        </w:rPr>
        <w:t>:</w:t>
      </w:r>
    </w:p>
    <w:p w14:paraId="77679931" w14:textId="77777777" w:rsidR="00E913BE" w:rsidRPr="00AF5451" w:rsidRDefault="00E913BE" w:rsidP="007F177E">
      <w:pPr>
        <w:pStyle w:val="ListParagraph"/>
        <w:numPr>
          <w:ilvl w:val="3"/>
          <w:numId w:val="141"/>
        </w:numPr>
        <w:contextualSpacing w:val="0"/>
        <w:rPr>
          <w:rFonts w:cs="Arial"/>
        </w:rPr>
      </w:pPr>
      <w:r w:rsidRPr="00AF5451">
        <w:rPr>
          <w:rFonts w:eastAsia="Arial" w:cs="Arial"/>
        </w:rPr>
        <w:t>The criminal activity is engaged in by a member of the household of the tenant or any guest or other person under the control of the tenant</w:t>
      </w:r>
      <w:r w:rsidRPr="00AF5451">
        <w:rPr>
          <w:rFonts w:cs="Arial"/>
        </w:rPr>
        <w:t>;</w:t>
      </w:r>
      <w:r w:rsidRPr="00AF5451">
        <w:rPr>
          <w:rFonts w:eastAsia="Arial" w:cs="Arial"/>
        </w:rPr>
        <w:t xml:space="preserve"> and</w:t>
      </w:r>
    </w:p>
    <w:p w14:paraId="5C6CE3A3" w14:textId="77777777" w:rsidR="00E913BE" w:rsidRPr="00AF5451" w:rsidRDefault="00E913BE" w:rsidP="007F177E">
      <w:pPr>
        <w:pStyle w:val="ListParagraph"/>
        <w:numPr>
          <w:ilvl w:val="3"/>
          <w:numId w:val="141"/>
        </w:numPr>
        <w:contextualSpacing w:val="0"/>
        <w:rPr>
          <w:rFonts w:eastAsia="Arial" w:cs="Arial"/>
        </w:rPr>
      </w:pPr>
      <w:r w:rsidRPr="00AF5451">
        <w:rPr>
          <w:rFonts w:eastAsia="Arial" w:cs="Arial"/>
        </w:rPr>
        <w:t xml:space="preserve">The tenant or an affiliated individual of the tenant is the </w:t>
      </w:r>
      <w:r w:rsidRPr="00AF5451">
        <w:rPr>
          <w:rFonts w:cs="Arial"/>
        </w:rPr>
        <w:t xml:space="preserve">victim </w:t>
      </w:r>
      <w:r w:rsidRPr="00AF5451">
        <w:rPr>
          <w:rFonts w:eastAsia="Arial" w:cs="Arial"/>
        </w:rPr>
        <w:t xml:space="preserve">or threatened victim of such </w:t>
      </w:r>
      <w:r w:rsidR="00910A62" w:rsidRPr="00AF5451">
        <w:rPr>
          <w:rFonts w:cs="Arial"/>
        </w:rPr>
        <w:t>domestic violence, dating violence, sexual assault, stalking and/or human trafficking</w:t>
      </w:r>
      <w:r w:rsidRPr="00AF5451">
        <w:rPr>
          <w:rFonts w:cs="Arial"/>
        </w:rPr>
        <w:t>.</w:t>
      </w:r>
    </w:p>
    <w:p w14:paraId="5865C159" w14:textId="77777777" w:rsidR="00E913BE" w:rsidRPr="00AF5451" w:rsidRDefault="00E913BE" w:rsidP="007F177E">
      <w:pPr>
        <w:pStyle w:val="ListParagraph"/>
        <w:numPr>
          <w:ilvl w:val="2"/>
          <w:numId w:val="141"/>
        </w:numPr>
        <w:contextualSpacing w:val="0"/>
        <w:rPr>
          <w:rFonts w:cs="Arial"/>
        </w:rPr>
      </w:pPr>
      <w:r w:rsidRPr="00AF5451">
        <w:rPr>
          <w:rFonts w:cs="Arial"/>
        </w:rPr>
        <w:t xml:space="preserve">An incident of actual or threatened </w:t>
      </w:r>
      <w:r w:rsidR="00910A62" w:rsidRPr="00AF5451">
        <w:rPr>
          <w:rFonts w:cs="Arial"/>
        </w:rPr>
        <w:t>domestic violence, dating violence, sexual assault, stalking and/or human trafficking</w:t>
      </w:r>
      <w:r w:rsidRPr="00AF5451">
        <w:rPr>
          <w:rFonts w:cs="Arial"/>
        </w:rPr>
        <w:t xml:space="preserve"> shall not be considered as a serious or repeated violation of the lease by the victim or threatened victim or good cause for terminating the assistance, tenancy or occupancy rights of the victim or threatened victim of such incident.</w:t>
      </w:r>
    </w:p>
    <w:p w14:paraId="52B76B11" w14:textId="77777777" w:rsidR="00E913BE" w:rsidRPr="00AF5451" w:rsidRDefault="00E913BE" w:rsidP="007F177E">
      <w:pPr>
        <w:pStyle w:val="ListParagraph"/>
        <w:numPr>
          <w:ilvl w:val="1"/>
          <w:numId w:val="141"/>
        </w:numPr>
        <w:contextualSpacing w:val="0"/>
        <w:rPr>
          <w:rFonts w:cs="Arial"/>
        </w:rPr>
      </w:pPr>
      <w:r w:rsidRPr="00AF5451">
        <w:rPr>
          <w:rFonts w:cs="Arial"/>
          <w:b/>
          <w:bCs/>
        </w:rPr>
        <w:t>Limitations of VAWA Protections</w:t>
      </w:r>
      <w:r w:rsidRPr="00AF5451">
        <w:rPr>
          <w:rFonts w:cs="Arial"/>
        </w:rPr>
        <w:t>.</w:t>
      </w:r>
    </w:p>
    <w:p w14:paraId="61934F0E" w14:textId="77777777" w:rsidR="00E913BE" w:rsidRPr="00AF5451" w:rsidRDefault="00E913BE" w:rsidP="007F177E">
      <w:pPr>
        <w:pStyle w:val="ListParagraph"/>
        <w:numPr>
          <w:ilvl w:val="2"/>
          <w:numId w:val="141"/>
        </w:numPr>
        <w:contextualSpacing w:val="0"/>
        <w:rPr>
          <w:rFonts w:cs="Arial"/>
          <w:spacing w:val="-2"/>
        </w:rPr>
      </w:pPr>
      <w:r w:rsidRPr="00AF5451">
        <w:rPr>
          <w:rFonts w:eastAsia="Arial" w:cs="Arial"/>
          <w:spacing w:val="-2"/>
        </w:rPr>
        <w:t>Nothing in the above section li</w:t>
      </w:r>
      <w:r w:rsidRPr="00AF5451">
        <w:rPr>
          <w:rFonts w:cs="Arial"/>
          <w:spacing w:val="-2"/>
        </w:rPr>
        <w:t xml:space="preserve">mits the authority of the HHA to </w:t>
      </w:r>
      <w:r w:rsidRPr="00AF5451">
        <w:rPr>
          <w:rFonts w:eastAsia="Arial" w:cs="Arial"/>
          <w:spacing w:val="-2"/>
        </w:rPr>
        <w:t xml:space="preserve">comply with a court order with respect to the rights of access or control of property, including civil protection orders issued to protect a victim of  </w:t>
      </w:r>
      <w:r w:rsidR="00910A62" w:rsidRPr="00AF5451">
        <w:rPr>
          <w:rFonts w:cs="Arial"/>
        </w:rPr>
        <w:t>domestic violence, dating violence, sexual assault, stalking and/or human trafficking</w:t>
      </w:r>
      <w:r w:rsidRPr="00AF5451">
        <w:rPr>
          <w:rFonts w:eastAsia="Arial" w:cs="Arial"/>
          <w:spacing w:val="-2"/>
        </w:rPr>
        <w:t>, or the distribution or possession of property among members of a household.</w:t>
      </w:r>
    </w:p>
    <w:p w14:paraId="6B4CAACB" w14:textId="77777777" w:rsidR="00E913BE" w:rsidRPr="00AF5451" w:rsidRDefault="00E913BE" w:rsidP="007F177E">
      <w:pPr>
        <w:pStyle w:val="ListParagraph"/>
        <w:numPr>
          <w:ilvl w:val="2"/>
          <w:numId w:val="141"/>
        </w:numPr>
        <w:contextualSpacing w:val="0"/>
        <w:rPr>
          <w:rFonts w:cs="Arial"/>
        </w:rPr>
      </w:pPr>
      <w:r w:rsidRPr="00AF5451">
        <w:rPr>
          <w:rFonts w:eastAsia="Arial" w:cs="Arial"/>
        </w:rPr>
        <w:t>Nothing in the above section limits any available authority of the</w:t>
      </w:r>
      <w:r w:rsidRPr="00AF5451">
        <w:rPr>
          <w:rFonts w:cs="Arial"/>
        </w:rPr>
        <w:t xml:space="preserve"> </w:t>
      </w:r>
      <w:r w:rsidRPr="00AF5451">
        <w:rPr>
          <w:rFonts w:eastAsia="Arial" w:cs="Arial"/>
        </w:rPr>
        <w:t xml:space="preserve">HHA to evict or terminate assistance to a tenant for any violation not based on an act of </w:t>
      </w:r>
      <w:r w:rsidR="00910A62" w:rsidRPr="00AF5451">
        <w:rPr>
          <w:rFonts w:cs="Arial"/>
        </w:rPr>
        <w:t>domestic violence, dating violence, sexual assault, stalking and/or human trafficking</w:t>
      </w:r>
      <w:r w:rsidRPr="00AF5451">
        <w:rPr>
          <w:rFonts w:eastAsia="Arial" w:cs="Arial"/>
        </w:rPr>
        <w:t>. However, the HHA will not</w:t>
      </w:r>
      <w:r w:rsidRPr="00AF5451">
        <w:rPr>
          <w:rFonts w:cs="Arial"/>
        </w:rPr>
        <w:t xml:space="preserve"> </w:t>
      </w:r>
      <w:r w:rsidRPr="00AF5451">
        <w:rPr>
          <w:rFonts w:eastAsia="Arial" w:cs="Arial"/>
        </w:rPr>
        <w:t xml:space="preserve">hold a tenant or an affiliated individual who is or has been a victim of </w:t>
      </w:r>
      <w:r w:rsidR="00910A62" w:rsidRPr="00AF5451">
        <w:rPr>
          <w:rFonts w:cs="Arial"/>
        </w:rPr>
        <w:t>domestic violence, dating violence, sexual assault, stalking and/or human trafficking</w:t>
      </w:r>
      <w:r w:rsidR="00910A62" w:rsidRPr="00AF5451">
        <w:rPr>
          <w:rFonts w:eastAsia="Arial" w:cs="Arial"/>
        </w:rPr>
        <w:t xml:space="preserve"> </w:t>
      </w:r>
      <w:r w:rsidRPr="00AF5451">
        <w:rPr>
          <w:rFonts w:eastAsia="Arial" w:cs="Arial"/>
        </w:rPr>
        <w:t>to a higher standard.</w:t>
      </w:r>
    </w:p>
    <w:p w14:paraId="77411E5C" w14:textId="77777777" w:rsidR="00E913BE" w:rsidRPr="00AF5451" w:rsidRDefault="00E913BE" w:rsidP="007F177E">
      <w:pPr>
        <w:pStyle w:val="ListParagraph"/>
        <w:numPr>
          <w:ilvl w:val="2"/>
          <w:numId w:val="141"/>
        </w:numPr>
        <w:contextualSpacing w:val="0"/>
        <w:rPr>
          <w:rFonts w:cs="Arial"/>
        </w:rPr>
      </w:pPr>
      <w:r w:rsidRPr="00AF5451">
        <w:rPr>
          <w:rFonts w:eastAsia="Arial" w:cs="Arial"/>
        </w:rPr>
        <w:t>Nothing in the above section limits the authority of the HHA to evict or terminate from assistance any tenant or lawful</w:t>
      </w:r>
      <w:r w:rsidRPr="00AF5451">
        <w:rPr>
          <w:rFonts w:cs="Arial"/>
        </w:rPr>
        <w:t xml:space="preserve"> </w:t>
      </w:r>
      <w:r w:rsidRPr="00AF5451">
        <w:rPr>
          <w:rFonts w:eastAsia="Arial" w:cs="Arial"/>
        </w:rPr>
        <w:t>applicant if</w:t>
      </w:r>
      <w:r w:rsidRPr="00AF5451">
        <w:rPr>
          <w:rFonts w:cs="Arial"/>
        </w:rPr>
        <w:t>:</w:t>
      </w:r>
    </w:p>
    <w:p w14:paraId="1836AFED" w14:textId="77777777" w:rsidR="00E913BE" w:rsidRPr="00AF5451" w:rsidRDefault="00E913BE" w:rsidP="007F177E">
      <w:pPr>
        <w:pStyle w:val="ListParagraph"/>
        <w:numPr>
          <w:ilvl w:val="3"/>
          <w:numId w:val="141"/>
        </w:numPr>
        <w:contextualSpacing w:val="0"/>
        <w:rPr>
          <w:rFonts w:cs="Arial"/>
        </w:rPr>
      </w:pPr>
      <w:r w:rsidRPr="00AF5451">
        <w:rPr>
          <w:rFonts w:eastAsia="Arial" w:cs="Arial"/>
        </w:rPr>
        <w:t>The HHA can demonstrate an actual and imminent threat to other tenants and/or staff if the tenant is not evicted or terminated from the assistance</w:t>
      </w:r>
      <w:r w:rsidRPr="00AF5451">
        <w:rPr>
          <w:rFonts w:cs="Arial"/>
        </w:rPr>
        <w:t>;</w:t>
      </w:r>
      <w:r w:rsidRPr="00AF5451">
        <w:rPr>
          <w:rFonts w:eastAsia="Arial" w:cs="Arial"/>
        </w:rPr>
        <w:t xml:space="preserve"> and</w:t>
      </w:r>
    </w:p>
    <w:p w14:paraId="0507DE5C" w14:textId="77777777" w:rsidR="00E913BE" w:rsidRPr="00AF5451" w:rsidRDefault="00E913BE" w:rsidP="007F177E">
      <w:pPr>
        <w:pStyle w:val="ListParagraph"/>
        <w:numPr>
          <w:ilvl w:val="3"/>
          <w:numId w:val="141"/>
        </w:numPr>
        <w:contextualSpacing w:val="0"/>
        <w:rPr>
          <w:rFonts w:eastAsia="Arial" w:cs="Arial"/>
        </w:rPr>
      </w:pPr>
      <w:r w:rsidRPr="00AF5451">
        <w:rPr>
          <w:rFonts w:eastAsia="Arial" w:cs="Arial"/>
        </w:rPr>
        <w:t>No other actions that could be taken to reduce the threat have been successful, including transferring the victim to a different unit, ba</w:t>
      </w:r>
      <w:r w:rsidRPr="00AF5451">
        <w:rPr>
          <w:rFonts w:cs="Arial"/>
        </w:rPr>
        <w:t xml:space="preserve">rring the perpetrator from the </w:t>
      </w:r>
      <w:r w:rsidRPr="00AF5451">
        <w:rPr>
          <w:rFonts w:eastAsia="Arial" w:cs="Arial"/>
        </w:rPr>
        <w:t>property, involving law enforcement, or seeking other</w:t>
      </w:r>
      <w:r w:rsidRPr="00AF5451">
        <w:rPr>
          <w:rFonts w:cs="Arial"/>
        </w:rPr>
        <w:t xml:space="preserve"> legal remedies to prevent the </w:t>
      </w:r>
      <w:r w:rsidRPr="00AF5451">
        <w:rPr>
          <w:rFonts w:eastAsia="Arial" w:cs="Arial"/>
        </w:rPr>
        <w:t xml:space="preserve">perpetrator from acting on </w:t>
      </w:r>
      <w:r w:rsidRPr="00AF5451">
        <w:rPr>
          <w:rFonts w:cs="Arial"/>
        </w:rPr>
        <w:t xml:space="preserve">a threat. </w:t>
      </w:r>
    </w:p>
    <w:p w14:paraId="19EA18EF" w14:textId="77777777" w:rsidR="00E913BE" w:rsidRPr="00AF5451" w:rsidRDefault="00E913BE" w:rsidP="007F177E">
      <w:pPr>
        <w:pStyle w:val="ListParagraph"/>
        <w:numPr>
          <w:ilvl w:val="0"/>
          <w:numId w:val="141"/>
        </w:numPr>
        <w:spacing w:after="200" w:line="276" w:lineRule="auto"/>
        <w:contextualSpacing w:val="0"/>
        <w:rPr>
          <w:rFonts w:cs="Arial"/>
          <w:b/>
          <w:sz w:val="28"/>
          <w:szCs w:val="28"/>
        </w:rPr>
      </w:pPr>
      <w:r w:rsidRPr="00AF5451">
        <w:rPr>
          <w:rFonts w:cs="Arial"/>
          <w:b/>
          <w:sz w:val="28"/>
          <w:szCs w:val="28"/>
        </w:rPr>
        <w:t>Verification of Domestic Violence, Dating Violence, Sexual Assault, Stalking</w:t>
      </w:r>
      <w:r w:rsidR="00910A62" w:rsidRPr="00AF5451">
        <w:rPr>
          <w:rFonts w:cs="Arial"/>
          <w:b/>
          <w:sz w:val="28"/>
          <w:szCs w:val="28"/>
        </w:rPr>
        <w:t xml:space="preserve"> and/or Human Trafficking</w:t>
      </w:r>
    </w:p>
    <w:p w14:paraId="44CB546D" w14:textId="77777777" w:rsidR="00E913BE" w:rsidRPr="00AF5451" w:rsidRDefault="00E913BE" w:rsidP="007F177E">
      <w:pPr>
        <w:pStyle w:val="ListParagraph"/>
        <w:numPr>
          <w:ilvl w:val="1"/>
          <w:numId w:val="141"/>
        </w:numPr>
        <w:contextualSpacing w:val="0"/>
        <w:rPr>
          <w:rFonts w:eastAsia="Arial" w:cs="Arial"/>
        </w:rPr>
      </w:pPr>
      <w:r w:rsidRPr="00AF5451">
        <w:rPr>
          <w:rFonts w:cs="Arial"/>
          <w:b/>
          <w:bCs/>
        </w:rPr>
        <w:t>Requirement for Verification</w:t>
      </w:r>
      <w:r w:rsidRPr="00AF5451">
        <w:rPr>
          <w:rFonts w:cs="Arial"/>
        </w:rPr>
        <w:t xml:space="preserve">. Subject only to waiver as provided in paragraph D below, the HHA shall require verification in all cases where an individual requests protection against an action involving </w:t>
      </w:r>
      <w:r w:rsidR="00656FC5" w:rsidRPr="00AF5451">
        <w:rPr>
          <w:rFonts w:cs="Arial"/>
        </w:rPr>
        <w:t>domestic violence, dating violence, sexual assault, stalking and/or human trafficking</w:t>
      </w:r>
      <w:r w:rsidRPr="00AF5451">
        <w:rPr>
          <w:rFonts w:cs="Arial"/>
        </w:rPr>
        <w:t xml:space="preserve">.  </w:t>
      </w:r>
      <w:r w:rsidRPr="00AF5451">
        <w:rPr>
          <w:rFonts w:eastAsia="Arial" w:cs="Arial"/>
        </w:rPr>
        <w:t>Verification may be accomplished in one of three ways:</w:t>
      </w:r>
    </w:p>
    <w:p w14:paraId="4772BE00" w14:textId="77777777" w:rsidR="00E913BE" w:rsidRPr="00AF5451" w:rsidRDefault="00E913BE" w:rsidP="007F177E">
      <w:pPr>
        <w:pStyle w:val="ListParagraph"/>
        <w:numPr>
          <w:ilvl w:val="2"/>
          <w:numId w:val="141"/>
        </w:numPr>
        <w:contextualSpacing w:val="0"/>
        <w:rPr>
          <w:rFonts w:cs="Arial"/>
        </w:rPr>
      </w:pPr>
      <w:r w:rsidRPr="00AF5451">
        <w:rPr>
          <w:rFonts w:eastAsia="Arial" w:cs="Arial"/>
        </w:rPr>
        <w:t xml:space="preserve">Completing HUD-5382, </w:t>
      </w:r>
      <w:r w:rsidRPr="00AF5451">
        <w:rPr>
          <w:rFonts w:eastAsia="Arial" w:cs="Arial"/>
          <w:i/>
          <w:iCs/>
        </w:rPr>
        <w:t>Certification of Domestic Violence, Dating Violence, Sexual Assault, or Stalking</w:t>
      </w:r>
      <w:r w:rsidRPr="00AF5451">
        <w:rPr>
          <w:rFonts w:cs="Arial"/>
        </w:rPr>
        <w:t>;</w:t>
      </w:r>
    </w:p>
    <w:p w14:paraId="17EFEF21" w14:textId="77777777" w:rsidR="00E913BE" w:rsidRPr="00AF5451" w:rsidRDefault="00E913BE" w:rsidP="007F177E">
      <w:pPr>
        <w:pStyle w:val="ListParagraph"/>
        <w:numPr>
          <w:ilvl w:val="2"/>
          <w:numId w:val="141"/>
        </w:numPr>
        <w:contextualSpacing w:val="0"/>
        <w:rPr>
          <w:rFonts w:cs="Arial"/>
        </w:rPr>
      </w:pPr>
      <w:r w:rsidRPr="00AF5451">
        <w:rPr>
          <w:rFonts w:eastAsia="Arial" w:cs="Arial"/>
        </w:rPr>
        <w:t>Other documentation signed by an employee, agent, or volunteer of a victim service provi</w:t>
      </w:r>
      <w:r w:rsidRPr="00AF5451">
        <w:rPr>
          <w:rFonts w:cs="Arial"/>
        </w:rPr>
        <w:t xml:space="preserve">der, an attorney, or a medical </w:t>
      </w:r>
      <w:r w:rsidRPr="00AF5451">
        <w:rPr>
          <w:rFonts w:eastAsia="Arial" w:cs="Arial"/>
        </w:rPr>
        <w:t xml:space="preserve">professional, from whom the victim has sought assistance in addressing </w:t>
      </w:r>
      <w:r w:rsidR="00656FC5" w:rsidRPr="00AF5451">
        <w:rPr>
          <w:rFonts w:cs="Arial"/>
        </w:rPr>
        <w:t>domestic violence, dating violence, sexual assault, stalking and/or human trafficking</w:t>
      </w:r>
      <w:r w:rsidRPr="00AF5451">
        <w:rPr>
          <w:rFonts w:eastAsia="Arial" w:cs="Arial"/>
        </w:rPr>
        <w:t>, or the side effects of the abuse, described in such</w:t>
      </w:r>
      <w:r w:rsidRPr="00AF5451">
        <w:rPr>
          <w:rFonts w:cs="Arial"/>
        </w:rPr>
        <w:t xml:space="preserve"> </w:t>
      </w:r>
      <w:r w:rsidRPr="00AF5451">
        <w:rPr>
          <w:rFonts w:eastAsia="Arial" w:cs="Arial"/>
        </w:rPr>
        <w:t>documentation. The professional providing the documentation must sign and attest under penalty of perjury that the incident or incid</w:t>
      </w:r>
      <w:r w:rsidRPr="00AF5451">
        <w:rPr>
          <w:rFonts w:cs="Arial"/>
        </w:rPr>
        <w:t xml:space="preserve">ents in question are bona fide </w:t>
      </w:r>
      <w:r w:rsidRPr="00AF5451">
        <w:rPr>
          <w:rFonts w:eastAsia="Arial" w:cs="Arial"/>
        </w:rPr>
        <w:t>and meet the requirements</w:t>
      </w:r>
      <w:r w:rsidRPr="00AF5451">
        <w:rPr>
          <w:rFonts w:cs="Arial"/>
        </w:rPr>
        <w:t xml:space="preserve"> </w:t>
      </w:r>
      <w:r w:rsidRPr="00AF5451">
        <w:rPr>
          <w:rFonts w:eastAsia="Arial" w:cs="Arial"/>
        </w:rPr>
        <w:t>of the applicable defin</w:t>
      </w:r>
      <w:r w:rsidRPr="00AF5451">
        <w:rPr>
          <w:rFonts w:cs="Arial"/>
        </w:rPr>
        <w:t>ition set forth in this policy; or</w:t>
      </w:r>
    </w:p>
    <w:p w14:paraId="6AB57264" w14:textId="77777777" w:rsidR="00E913BE" w:rsidRPr="00AF5451" w:rsidRDefault="00E913BE" w:rsidP="007F177E">
      <w:pPr>
        <w:pStyle w:val="ListParagraph"/>
        <w:numPr>
          <w:ilvl w:val="2"/>
          <w:numId w:val="141"/>
        </w:numPr>
        <w:contextualSpacing w:val="0"/>
        <w:rPr>
          <w:rFonts w:cs="Arial"/>
        </w:rPr>
      </w:pPr>
      <w:r w:rsidRPr="00AF5451">
        <w:rPr>
          <w:rFonts w:cs="Arial"/>
        </w:rPr>
        <w:t xml:space="preserve">A police or court record </w:t>
      </w:r>
      <w:r w:rsidRPr="00AF5451">
        <w:rPr>
          <w:rFonts w:eastAsia="Arial" w:cs="Arial"/>
        </w:rPr>
        <w:t>provided to the HHA by federal, state, tribal, or local police or court record describing the incident or incidents in question.</w:t>
      </w:r>
    </w:p>
    <w:p w14:paraId="4DF26961" w14:textId="77777777" w:rsidR="00E913BE" w:rsidRPr="00AF5451" w:rsidRDefault="00E913BE" w:rsidP="007F177E">
      <w:pPr>
        <w:pStyle w:val="ListParagraph"/>
        <w:numPr>
          <w:ilvl w:val="1"/>
          <w:numId w:val="141"/>
        </w:numPr>
        <w:contextualSpacing w:val="0"/>
        <w:rPr>
          <w:rFonts w:cs="Arial"/>
        </w:rPr>
      </w:pPr>
      <w:r w:rsidRPr="00AF5451">
        <w:rPr>
          <w:rFonts w:eastAsia="Arial" w:cs="Arial"/>
          <w:b/>
          <w:bCs/>
        </w:rPr>
        <w:t>Time Allowed</w:t>
      </w:r>
      <w:r w:rsidRPr="00AF5451">
        <w:rPr>
          <w:rFonts w:eastAsia="Arial" w:cs="Arial"/>
        </w:rPr>
        <w:t>. An individual who claims protection against adverse</w:t>
      </w:r>
      <w:r w:rsidRPr="00AF5451">
        <w:rPr>
          <w:rFonts w:cs="Arial"/>
        </w:rPr>
        <w:t xml:space="preserve"> </w:t>
      </w:r>
      <w:r w:rsidRPr="00AF5451">
        <w:rPr>
          <w:rFonts w:eastAsia="Arial" w:cs="Arial"/>
        </w:rPr>
        <w:t xml:space="preserve">action based on an incident or incidents of actual or threatened </w:t>
      </w:r>
      <w:r w:rsidR="00656FC5" w:rsidRPr="00AF5451">
        <w:rPr>
          <w:rFonts w:cs="Arial"/>
        </w:rPr>
        <w:t>domestic violence, dating violence, sexual assault, stalking and/or human trafficking</w:t>
      </w:r>
      <w:r w:rsidRPr="00AF5451">
        <w:rPr>
          <w:rFonts w:eastAsia="Arial" w:cs="Arial"/>
        </w:rPr>
        <w:t>, and who</w:t>
      </w:r>
      <w:r w:rsidRPr="00AF5451">
        <w:rPr>
          <w:rFonts w:cs="Arial"/>
        </w:rPr>
        <w:t xml:space="preserve"> </w:t>
      </w:r>
      <w:r w:rsidRPr="00AF5451">
        <w:rPr>
          <w:rFonts w:eastAsia="Arial" w:cs="Arial"/>
        </w:rPr>
        <w:t>is requested by the HHA to provide verification, must provide such verification within 14 business days after receipt of the request for</w:t>
      </w:r>
      <w:r w:rsidRPr="00AF5451">
        <w:rPr>
          <w:rFonts w:cs="Arial"/>
        </w:rPr>
        <w:t xml:space="preserve"> </w:t>
      </w:r>
      <w:r w:rsidRPr="00AF5451">
        <w:rPr>
          <w:rFonts w:eastAsia="Arial" w:cs="Arial"/>
        </w:rPr>
        <w:t>verification.  Failure to provide verification, in proper form within such</w:t>
      </w:r>
      <w:r w:rsidRPr="00AF5451">
        <w:rPr>
          <w:rFonts w:cs="Arial"/>
        </w:rPr>
        <w:t xml:space="preserve"> </w:t>
      </w:r>
      <w:r w:rsidRPr="00AF5451">
        <w:rPr>
          <w:rFonts w:eastAsia="Arial" w:cs="Arial"/>
        </w:rPr>
        <w:t>time will result in loss of protection under VAWA and this policy against a proposed adverse action.</w:t>
      </w:r>
    </w:p>
    <w:p w14:paraId="67C17C29" w14:textId="77777777" w:rsidR="00E913BE" w:rsidRPr="00AF5451" w:rsidRDefault="00E913BE" w:rsidP="007F177E">
      <w:pPr>
        <w:pStyle w:val="ListParagraph"/>
        <w:numPr>
          <w:ilvl w:val="1"/>
          <w:numId w:val="141"/>
        </w:numPr>
        <w:contextualSpacing w:val="0"/>
        <w:rPr>
          <w:rFonts w:cs="Arial"/>
        </w:rPr>
      </w:pPr>
      <w:r w:rsidRPr="00AF5451">
        <w:rPr>
          <w:rFonts w:cs="Arial"/>
        </w:rPr>
        <w:t xml:space="preserve">If the HHA receives conflicting evidence that an incident of </w:t>
      </w:r>
      <w:r w:rsidR="00656FC5" w:rsidRPr="00AF5451">
        <w:rPr>
          <w:rFonts w:cs="Arial"/>
        </w:rPr>
        <w:t xml:space="preserve">domestic violence, dating violence, sexual assault, stalking and/or human trafficking </w:t>
      </w:r>
      <w:r w:rsidRPr="00AF5451">
        <w:rPr>
          <w:rFonts w:cs="Arial"/>
        </w:rPr>
        <w:t>has been committed (such as certification forms from two or more members of a household each claiming to be a victim and naming one or more of the other petitioning household members as the abuser or perpetrator), the HHA has the right to request that the tenant provide third-party documentation within thirty 30 calendar days in order to resolve the conflict. Failure to provide third-party documentation where there is conflicting evidence</w:t>
      </w:r>
      <w:r w:rsidRPr="00AF5451">
        <w:rPr>
          <w:rFonts w:eastAsia="Arial" w:cs="Arial"/>
        </w:rPr>
        <w:t xml:space="preserve"> will result in loss of protection under VAWA and this policy against a proposed adverse action.</w:t>
      </w:r>
    </w:p>
    <w:p w14:paraId="04C52D81" w14:textId="77777777" w:rsidR="00E913BE" w:rsidRPr="00AF5451" w:rsidRDefault="00E913BE" w:rsidP="007F177E">
      <w:pPr>
        <w:pStyle w:val="ListParagraph"/>
        <w:numPr>
          <w:ilvl w:val="1"/>
          <w:numId w:val="141"/>
        </w:numPr>
        <w:contextualSpacing w:val="0"/>
        <w:rPr>
          <w:rFonts w:cs="Arial"/>
        </w:rPr>
      </w:pPr>
      <w:r w:rsidRPr="00AF5451">
        <w:rPr>
          <w:rFonts w:eastAsia="Arial" w:cs="Arial"/>
        </w:rPr>
        <w:t>Waiver of verification requirement. With respect to any specific case, the HHA may waive the above-stated requirements for verification and provide the benefits of this policy based on the victim’s statement or other corroborating evidence. Such waiver may be granted at the sole discretion of the President &amp; CEO. Any suc</w:t>
      </w:r>
      <w:r w:rsidRPr="00AF5451">
        <w:rPr>
          <w:rFonts w:cs="Arial"/>
        </w:rPr>
        <w:t>h</w:t>
      </w:r>
      <w:r w:rsidRPr="00AF5451">
        <w:rPr>
          <w:rFonts w:eastAsia="Arial" w:cs="Arial"/>
        </w:rPr>
        <w:t xml:space="preserve"> waive</w:t>
      </w:r>
      <w:r w:rsidRPr="00AF5451">
        <w:rPr>
          <w:rFonts w:cs="Arial"/>
        </w:rPr>
        <w:t>r</w:t>
      </w:r>
      <w:r w:rsidRPr="00AF5451">
        <w:rPr>
          <w:rFonts w:eastAsia="Arial" w:cs="Arial"/>
        </w:rPr>
        <w:t xml:space="preserve"> must be in writing. Waive</w:t>
      </w:r>
      <w:r w:rsidRPr="00AF5451">
        <w:rPr>
          <w:rFonts w:cs="Arial"/>
        </w:rPr>
        <w:t>r</w:t>
      </w:r>
      <w:r w:rsidRPr="00AF5451">
        <w:rPr>
          <w:rFonts w:eastAsia="Arial" w:cs="Arial"/>
        </w:rPr>
        <w:t xml:space="preserve"> in a particula</w:t>
      </w:r>
      <w:r w:rsidRPr="00AF5451">
        <w:rPr>
          <w:rFonts w:cs="Arial"/>
        </w:rPr>
        <w:t>r</w:t>
      </w:r>
      <w:r w:rsidRPr="00AF5451">
        <w:rPr>
          <w:rFonts w:eastAsia="Arial" w:cs="Arial"/>
        </w:rPr>
        <w:t xml:space="preserve"> instance </w:t>
      </w:r>
      <w:r w:rsidRPr="00AF5451">
        <w:rPr>
          <w:rFonts w:cs="Arial"/>
        </w:rPr>
        <w:t xml:space="preserve">or </w:t>
      </w:r>
      <w:r w:rsidRPr="00AF5451">
        <w:rPr>
          <w:rFonts w:eastAsia="Arial" w:cs="Arial"/>
        </w:rPr>
        <w:t>instances shall not operate as precedent for, or create any right to,</w:t>
      </w:r>
      <w:r w:rsidRPr="00AF5451">
        <w:rPr>
          <w:rFonts w:cs="Arial"/>
        </w:rPr>
        <w:t xml:space="preserve"> </w:t>
      </w:r>
      <w:r w:rsidRPr="00AF5451">
        <w:rPr>
          <w:rFonts w:eastAsia="Arial" w:cs="Arial"/>
        </w:rPr>
        <w:t>waiver in any other case or cases, regardless of similarity in circumstances.</w:t>
      </w:r>
    </w:p>
    <w:p w14:paraId="1B6F63F7" w14:textId="77777777" w:rsidR="00E913BE" w:rsidRPr="00AF5451" w:rsidRDefault="00E913BE" w:rsidP="007F177E">
      <w:pPr>
        <w:pStyle w:val="ListParagraph"/>
        <w:numPr>
          <w:ilvl w:val="0"/>
          <w:numId w:val="141"/>
        </w:numPr>
        <w:spacing w:after="200" w:line="276" w:lineRule="auto"/>
        <w:contextualSpacing w:val="0"/>
        <w:rPr>
          <w:rFonts w:cs="Arial"/>
          <w:b/>
          <w:sz w:val="28"/>
          <w:szCs w:val="28"/>
        </w:rPr>
      </w:pPr>
      <w:r w:rsidRPr="00AF5451">
        <w:rPr>
          <w:rFonts w:cs="Arial"/>
          <w:b/>
          <w:sz w:val="28"/>
          <w:szCs w:val="28"/>
        </w:rPr>
        <w:t>Non-Citizen Self-Petitioner Verification</w:t>
      </w:r>
    </w:p>
    <w:p w14:paraId="1B5AB3C1" w14:textId="77777777" w:rsidR="00E913BE" w:rsidRPr="00AF5451" w:rsidRDefault="00E913BE" w:rsidP="007F177E">
      <w:pPr>
        <w:pStyle w:val="ListParagraph"/>
        <w:numPr>
          <w:ilvl w:val="1"/>
          <w:numId w:val="141"/>
        </w:numPr>
        <w:contextualSpacing w:val="0"/>
        <w:rPr>
          <w:rFonts w:cs="Arial"/>
        </w:rPr>
      </w:pPr>
      <w:r w:rsidRPr="00AF5451">
        <w:rPr>
          <w:rFonts w:cs="Arial"/>
        </w:rPr>
        <w:t>Financial assistance to ineligible noncitizens will not be denied while verifying immigration status.</w:t>
      </w:r>
    </w:p>
    <w:p w14:paraId="01AEAF5C" w14:textId="77777777" w:rsidR="00E913BE" w:rsidRPr="00AF5451" w:rsidRDefault="00E913BE" w:rsidP="007F177E">
      <w:pPr>
        <w:pStyle w:val="ListParagraph"/>
        <w:numPr>
          <w:ilvl w:val="1"/>
          <w:numId w:val="141"/>
        </w:numPr>
        <w:contextualSpacing w:val="0"/>
        <w:rPr>
          <w:rFonts w:cs="Arial"/>
        </w:rPr>
      </w:pPr>
      <w:r w:rsidRPr="00AF5451">
        <w:rPr>
          <w:rFonts w:cs="Arial"/>
        </w:rPr>
        <w:t xml:space="preserve">Self-petitioners can indicate that they are in </w:t>
      </w:r>
      <w:r w:rsidRPr="00AF5451">
        <w:rPr>
          <w:rFonts w:cs="Arial"/>
          <w:i/>
          <w:iCs/>
        </w:rPr>
        <w:t>satisfactory immigration status</w:t>
      </w:r>
      <w:r w:rsidRPr="00AF5451">
        <w:rPr>
          <w:rFonts w:cs="Arial"/>
        </w:rPr>
        <w:t xml:space="preserve"> when applying for assistance or continued assistance. </w:t>
      </w:r>
      <w:r w:rsidRPr="00AF5451">
        <w:rPr>
          <w:rFonts w:cs="Arial"/>
          <w:i/>
          <w:iCs/>
        </w:rPr>
        <w:t>Satisfactory immigration status</w:t>
      </w:r>
      <w:r w:rsidRPr="00AF5451">
        <w:rPr>
          <w:rFonts w:cs="Arial"/>
        </w:rPr>
        <w:t xml:space="preserve"> means an immigration status which does not make the individual ineligible for financial assistance. After verifying such immigration status in the Department of Homeland Security (DHS) Systematic Alien Verification for Entitlements (SAVE) System, HHAs will make a final determination as to the self-petitioner’s eligibility for assistance.</w:t>
      </w:r>
    </w:p>
    <w:p w14:paraId="258A1166" w14:textId="77777777" w:rsidR="00E913BE" w:rsidRPr="00AF5451" w:rsidRDefault="00E913BE" w:rsidP="007F177E">
      <w:pPr>
        <w:pStyle w:val="ListParagraph"/>
        <w:numPr>
          <w:ilvl w:val="1"/>
          <w:numId w:val="141"/>
        </w:numPr>
        <w:contextualSpacing w:val="0"/>
        <w:rPr>
          <w:rFonts w:cs="Arial"/>
          <w:spacing w:val="-4"/>
        </w:rPr>
      </w:pPr>
      <w:r w:rsidRPr="00AF5451">
        <w:rPr>
          <w:rFonts w:cs="Arial"/>
          <w:spacing w:val="-4"/>
        </w:rPr>
        <w:t xml:space="preserve">In order to qualify, the noncitizen victim must have been battered or subjected to extreme cruelty by their spouse or parent, who is a U.S. citizen or LPR (Lawful Permanent Resident).  </w:t>
      </w:r>
    </w:p>
    <w:p w14:paraId="3CCA39A5" w14:textId="77777777" w:rsidR="00E913BE" w:rsidRPr="00AF5451" w:rsidRDefault="00E913BE" w:rsidP="007F177E">
      <w:pPr>
        <w:pStyle w:val="ListParagraph"/>
        <w:numPr>
          <w:ilvl w:val="1"/>
          <w:numId w:val="141"/>
        </w:numPr>
        <w:contextualSpacing w:val="0"/>
        <w:rPr>
          <w:rFonts w:cs="Arial"/>
        </w:rPr>
      </w:pPr>
      <w:r w:rsidRPr="00AF5451">
        <w:rPr>
          <w:rFonts w:cs="Arial"/>
        </w:rPr>
        <w:t>Once HHA receives a self-petition (INS Form I-360 or I-130) or INS Form 797, HHA will not request any additional information from the self-petitioner, other than what is required using the SAVE system to complete the verification.</w:t>
      </w:r>
    </w:p>
    <w:p w14:paraId="35123347" w14:textId="77777777" w:rsidR="00E913BE" w:rsidRPr="00AF5451" w:rsidRDefault="00E913BE" w:rsidP="007F177E">
      <w:pPr>
        <w:pStyle w:val="ListParagraph"/>
        <w:numPr>
          <w:ilvl w:val="1"/>
          <w:numId w:val="141"/>
        </w:numPr>
        <w:contextualSpacing w:val="0"/>
        <w:rPr>
          <w:rFonts w:cs="Arial"/>
        </w:rPr>
      </w:pPr>
      <w:r w:rsidRPr="00AF5451">
        <w:rPr>
          <w:rFonts w:cs="Arial"/>
        </w:rPr>
        <w:t>When HHA receives a self-petition or INS Form 797 Notice of Action, the HHA will initiate verification in the SAVE System</w:t>
      </w:r>
    </w:p>
    <w:p w14:paraId="1645F773" w14:textId="77777777" w:rsidR="00E913BE" w:rsidRPr="00AF5451" w:rsidRDefault="00E913BE" w:rsidP="007F177E">
      <w:pPr>
        <w:pStyle w:val="ListParagraph"/>
        <w:numPr>
          <w:ilvl w:val="1"/>
          <w:numId w:val="141"/>
        </w:numPr>
        <w:contextualSpacing w:val="0"/>
        <w:rPr>
          <w:rFonts w:cs="Arial"/>
        </w:rPr>
      </w:pPr>
      <w:r w:rsidRPr="00AF5451">
        <w:rPr>
          <w:rFonts w:cs="Arial"/>
        </w:rPr>
        <w:t xml:space="preserve">Final determination from the SAVE System. HHA will receive one of the following confirmations: </w:t>
      </w:r>
    </w:p>
    <w:p w14:paraId="1532A34A" w14:textId="77777777" w:rsidR="00E913BE" w:rsidRPr="00AF5451" w:rsidRDefault="00E913BE" w:rsidP="007F177E">
      <w:pPr>
        <w:pStyle w:val="ListParagraph"/>
        <w:numPr>
          <w:ilvl w:val="2"/>
          <w:numId w:val="141"/>
        </w:numPr>
        <w:contextualSpacing w:val="0"/>
        <w:rPr>
          <w:rFonts w:cs="Arial"/>
          <w:spacing w:val="-4"/>
        </w:rPr>
      </w:pPr>
      <w:r w:rsidRPr="00AF5451">
        <w:rPr>
          <w:rFonts w:cs="Arial"/>
          <w:spacing w:val="-4"/>
        </w:rPr>
        <w:t xml:space="preserve">The VAWA self-petition is verified, in which case the applicant is immediately eligible for housing and no evidence of battery or extreme cruelty shall be requested or collected; </w:t>
      </w:r>
    </w:p>
    <w:p w14:paraId="52AEFD50" w14:textId="77777777" w:rsidR="00E913BE" w:rsidRPr="00AF5451" w:rsidRDefault="00E913BE" w:rsidP="007F177E">
      <w:pPr>
        <w:pStyle w:val="ListParagraph"/>
        <w:numPr>
          <w:ilvl w:val="2"/>
          <w:numId w:val="141"/>
        </w:numPr>
        <w:contextualSpacing w:val="0"/>
        <w:rPr>
          <w:rFonts w:cs="Arial"/>
        </w:rPr>
      </w:pPr>
      <w:r w:rsidRPr="00AF5451">
        <w:rPr>
          <w:rFonts w:cs="Arial"/>
        </w:rPr>
        <w:t>The I-130 is verified, in which case the petitioner submitting a family-based visa petition must provide to the HHA any evidence of “battery or extreme cruelty.”</w:t>
      </w:r>
    </w:p>
    <w:p w14:paraId="1E38BF14" w14:textId="77777777" w:rsidR="00E913BE" w:rsidRPr="00AF5451" w:rsidRDefault="00E913BE" w:rsidP="007F177E">
      <w:pPr>
        <w:pStyle w:val="ListParagraph"/>
        <w:numPr>
          <w:ilvl w:val="1"/>
          <w:numId w:val="141"/>
        </w:numPr>
        <w:contextualSpacing w:val="0"/>
        <w:rPr>
          <w:rFonts w:cs="Arial"/>
        </w:rPr>
      </w:pPr>
      <w:r w:rsidRPr="00AF5451">
        <w:rPr>
          <w:rFonts w:cs="Arial"/>
        </w:rPr>
        <w:t>Housing assistance and all other VAWA protections will be granted to the self-petitioner throughout the verification process until a final determination of LPR (Lawful Permanent Resident) status is made. If the final determination is to deny the VAWA self-petition or LPR petition, the HHA must alert the petitioner and take actions to terminate voucher assistance or evict the petitioner from public housing in accordance with the existing public housing requirements.</w:t>
      </w:r>
    </w:p>
    <w:p w14:paraId="02073404" w14:textId="77777777" w:rsidR="00E913BE" w:rsidRPr="00AF5451" w:rsidRDefault="00E913BE" w:rsidP="007F177E">
      <w:pPr>
        <w:pStyle w:val="ListParagraph"/>
        <w:numPr>
          <w:ilvl w:val="0"/>
          <w:numId w:val="141"/>
        </w:numPr>
        <w:spacing w:after="200" w:line="276" w:lineRule="auto"/>
        <w:contextualSpacing w:val="0"/>
        <w:rPr>
          <w:rFonts w:cs="Arial"/>
          <w:b/>
          <w:sz w:val="28"/>
          <w:szCs w:val="28"/>
        </w:rPr>
      </w:pPr>
      <w:r w:rsidRPr="00AF5451">
        <w:rPr>
          <w:rFonts w:cs="Arial"/>
          <w:b/>
          <w:sz w:val="28"/>
          <w:szCs w:val="28"/>
        </w:rPr>
        <w:t>Emergency Transfer Plan</w:t>
      </w:r>
    </w:p>
    <w:p w14:paraId="69633772" w14:textId="77777777" w:rsidR="00E913BE" w:rsidRPr="00AF5451" w:rsidRDefault="00E913BE" w:rsidP="007F177E">
      <w:pPr>
        <w:pStyle w:val="ListParagraph"/>
        <w:numPr>
          <w:ilvl w:val="1"/>
          <w:numId w:val="141"/>
        </w:numPr>
        <w:contextualSpacing w:val="0"/>
        <w:rPr>
          <w:rFonts w:cs="Arial"/>
        </w:rPr>
      </w:pPr>
      <w:r w:rsidRPr="00AF5451">
        <w:rPr>
          <w:rFonts w:cs="Arial"/>
          <w:b/>
          <w:bCs/>
        </w:rPr>
        <w:t>Eligibility for Transfer</w:t>
      </w:r>
      <w:r w:rsidRPr="00AF5451">
        <w:rPr>
          <w:rFonts w:cs="Arial"/>
        </w:rPr>
        <w:t xml:space="preserve">.  In accordance with the Violence Against Women Act (VAWA) the HHA allows tenants who are victims of </w:t>
      </w:r>
      <w:r w:rsidR="009F3DBA" w:rsidRPr="00AF5451">
        <w:rPr>
          <w:rFonts w:cs="Arial"/>
        </w:rPr>
        <w:t xml:space="preserve">domestic violence, dating violence, sexual assault, stalking and/or human trafficking </w:t>
      </w:r>
      <w:r w:rsidRPr="00AF5451">
        <w:rPr>
          <w:rFonts w:cs="Arial"/>
        </w:rPr>
        <w:t>to request an emergency transfer from the tenant’s current unit to another unit, regardless of sex, gender identity, or sexual orientation. The ability of the HHA to honor such request for tenants currently receiving assistance may depend upon the following:</w:t>
      </w:r>
    </w:p>
    <w:p w14:paraId="1E5300E3" w14:textId="77777777" w:rsidR="00E913BE" w:rsidRPr="00AF5451" w:rsidRDefault="00E913BE" w:rsidP="007F177E">
      <w:pPr>
        <w:pStyle w:val="ListParagraph"/>
        <w:numPr>
          <w:ilvl w:val="2"/>
          <w:numId w:val="141"/>
        </w:numPr>
        <w:contextualSpacing w:val="0"/>
        <w:rPr>
          <w:rFonts w:cs="Arial"/>
        </w:rPr>
      </w:pPr>
      <w:r w:rsidRPr="00AF5451">
        <w:rPr>
          <w:rFonts w:cs="Arial"/>
        </w:rPr>
        <w:t xml:space="preserve">A preliminary determination that the tenant is or has been a victim of </w:t>
      </w:r>
      <w:r w:rsidR="009F3DBA" w:rsidRPr="00AF5451">
        <w:rPr>
          <w:rFonts w:cs="Arial"/>
        </w:rPr>
        <w:t>domestic violence, dating violence, sexual assault, stalking and/or human trafficking</w:t>
      </w:r>
      <w:r w:rsidRPr="00AF5451">
        <w:rPr>
          <w:rFonts w:cs="Arial"/>
        </w:rPr>
        <w:t xml:space="preserve">, and </w:t>
      </w:r>
    </w:p>
    <w:p w14:paraId="7155C13B" w14:textId="77777777" w:rsidR="00E913BE" w:rsidRPr="00AF5451" w:rsidRDefault="00E913BE" w:rsidP="007F177E">
      <w:pPr>
        <w:pStyle w:val="ListParagraph"/>
        <w:numPr>
          <w:ilvl w:val="2"/>
          <w:numId w:val="141"/>
        </w:numPr>
        <w:contextualSpacing w:val="0"/>
        <w:rPr>
          <w:rFonts w:cs="Arial"/>
        </w:rPr>
      </w:pPr>
      <w:r w:rsidRPr="00AF5451">
        <w:rPr>
          <w:rFonts w:cs="Arial"/>
        </w:rPr>
        <w:t xml:space="preserve">Whether the HHA has another dwelling unit available that is safe to offer the tenant for temporary or permanent occupancy. </w:t>
      </w:r>
    </w:p>
    <w:p w14:paraId="01E2DA31" w14:textId="77777777" w:rsidR="00E913BE" w:rsidRPr="00AF5451" w:rsidRDefault="00E913BE" w:rsidP="007F177E">
      <w:pPr>
        <w:pStyle w:val="ListParagraph"/>
        <w:numPr>
          <w:ilvl w:val="1"/>
          <w:numId w:val="141"/>
        </w:numPr>
        <w:contextualSpacing w:val="0"/>
        <w:rPr>
          <w:rFonts w:eastAsia="Kozuka Gothic Pro" w:cs="Arial"/>
        </w:rPr>
      </w:pPr>
      <w:r w:rsidRPr="00AF5451">
        <w:rPr>
          <w:rFonts w:eastAsia="Kozuka Gothic Pro" w:cs="Arial"/>
          <w:b/>
          <w:bCs/>
        </w:rPr>
        <w:t>Requesting a transfer</w:t>
      </w:r>
      <w:r w:rsidRPr="00AF5451">
        <w:rPr>
          <w:rFonts w:cs="Arial"/>
        </w:rPr>
        <w:t>.</w:t>
      </w:r>
    </w:p>
    <w:p w14:paraId="76D930B0" w14:textId="77777777" w:rsidR="00E913BE" w:rsidRPr="00AF5451" w:rsidRDefault="00E913BE" w:rsidP="007F177E">
      <w:pPr>
        <w:pStyle w:val="ListParagraph"/>
        <w:numPr>
          <w:ilvl w:val="2"/>
          <w:numId w:val="141"/>
        </w:numPr>
        <w:contextualSpacing w:val="0"/>
        <w:rPr>
          <w:rFonts w:cs="Arial"/>
        </w:rPr>
      </w:pPr>
      <w:r w:rsidRPr="00AF5451">
        <w:rPr>
          <w:rFonts w:cs="Arial"/>
        </w:rPr>
        <w:t xml:space="preserve">To request an emergency transfer the tenant shall notify the HHA office and submit a written request for a transfer (HUD-5383). The tenant may submit the written request by any of the following methods: hand delivery to the HHA’s office at 2640 Fountain View Drive, via email to </w:t>
      </w:r>
      <w:hyperlink r:id="rId24" w:history="1">
        <w:r w:rsidRPr="00AF5451">
          <w:rPr>
            <w:rStyle w:val="Hyperlink"/>
            <w:rFonts w:cs="Arial"/>
          </w:rPr>
          <w:t>VAWA@housingforhouston.com</w:t>
        </w:r>
      </w:hyperlink>
      <w:r w:rsidRPr="00AF5451">
        <w:rPr>
          <w:rFonts w:cs="Arial"/>
        </w:rPr>
        <w:t>, via fax to (713) 260-0376, or via mail: 2640 Fountain View Drive, Attention: Legal Compliance Officer, Houston, TX 77057. The HHA will provide reasonable accommodations to this policy for individuals with disabilities. The tenant’s written request for an emergency transfer should include either:</w:t>
      </w:r>
    </w:p>
    <w:p w14:paraId="052DB433" w14:textId="77777777" w:rsidR="00E913BE" w:rsidRPr="00AF5451" w:rsidRDefault="00E913BE" w:rsidP="007F177E">
      <w:pPr>
        <w:pStyle w:val="ListParagraph"/>
        <w:numPr>
          <w:ilvl w:val="3"/>
          <w:numId w:val="141"/>
        </w:numPr>
        <w:contextualSpacing w:val="0"/>
        <w:rPr>
          <w:rFonts w:cs="Arial"/>
        </w:rPr>
      </w:pPr>
      <w:r w:rsidRPr="00AF5451">
        <w:rPr>
          <w:rFonts w:cs="Arial"/>
        </w:rPr>
        <w:t>A statement expressing that the tenant reasonably believes that there is a threat of imminent harm from further violence if the tenant were to remain in the same dwelling unit assisted under the HHA’s program; or</w:t>
      </w:r>
    </w:p>
    <w:p w14:paraId="4566AE11" w14:textId="77777777" w:rsidR="00E913BE" w:rsidRPr="00AF5451" w:rsidRDefault="00E913BE" w:rsidP="007F177E">
      <w:pPr>
        <w:pStyle w:val="ListParagraph"/>
        <w:numPr>
          <w:ilvl w:val="3"/>
          <w:numId w:val="141"/>
        </w:numPr>
        <w:contextualSpacing w:val="0"/>
        <w:rPr>
          <w:rFonts w:cs="Arial"/>
        </w:rPr>
      </w:pPr>
      <w:r w:rsidRPr="00AF5451">
        <w:rPr>
          <w:rFonts w:cs="Arial"/>
        </w:rPr>
        <w:t>A statement that the tenant was a victim of sexual assault and that the sexual assault occurred on the premises during the 90-calendar-day period preceding the tenant’s request for an emergency transfer.</w:t>
      </w:r>
    </w:p>
    <w:p w14:paraId="0F309C18" w14:textId="77777777" w:rsidR="00E913BE" w:rsidRPr="00AF5451" w:rsidRDefault="00E913BE" w:rsidP="007F177E">
      <w:pPr>
        <w:pStyle w:val="ListParagraph"/>
        <w:numPr>
          <w:ilvl w:val="2"/>
          <w:numId w:val="141"/>
        </w:numPr>
        <w:contextualSpacing w:val="0"/>
        <w:rPr>
          <w:rFonts w:cs="Arial"/>
        </w:rPr>
      </w:pPr>
      <w:r w:rsidRPr="00AF5451">
        <w:rPr>
          <w:rFonts w:cs="Arial"/>
        </w:rPr>
        <w:t xml:space="preserve">The HHA cannot guarantee that a transfer request will be approved or how long it will take to process the request. However, the HHA will act as quickly as possible to move a tenant who is a victim of </w:t>
      </w:r>
      <w:r w:rsidR="009B3197" w:rsidRPr="00AF5451">
        <w:rPr>
          <w:rFonts w:cs="Arial"/>
        </w:rPr>
        <w:t xml:space="preserve">domestic violence, dating violence, sexual assault, stalking and/or human trafficking </w:t>
      </w:r>
      <w:r w:rsidRPr="00AF5451">
        <w:rPr>
          <w:rFonts w:cs="Arial"/>
        </w:rPr>
        <w:t xml:space="preserve">to another unit, subject to availability and safety of a unit.  </w:t>
      </w:r>
    </w:p>
    <w:p w14:paraId="56E0F6FF" w14:textId="77777777" w:rsidR="00E913BE" w:rsidRPr="00AF5451" w:rsidRDefault="00E913BE" w:rsidP="007F177E">
      <w:pPr>
        <w:pStyle w:val="ListParagraph"/>
        <w:numPr>
          <w:ilvl w:val="1"/>
          <w:numId w:val="141"/>
        </w:numPr>
        <w:contextualSpacing w:val="0"/>
        <w:rPr>
          <w:rFonts w:cs="Arial"/>
        </w:rPr>
      </w:pPr>
      <w:r w:rsidRPr="00AF5451">
        <w:rPr>
          <w:rFonts w:cs="Arial"/>
        </w:rPr>
        <w:t xml:space="preserve">If a tenant reasonably believes a proposed transfer would not be safe, the tenant may request a transfer to a different unit.  </w:t>
      </w:r>
    </w:p>
    <w:p w14:paraId="0F7069E9" w14:textId="77777777" w:rsidR="00E913BE" w:rsidRPr="00AF5451" w:rsidRDefault="00E913BE" w:rsidP="007F177E">
      <w:pPr>
        <w:pStyle w:val="ListParagraph"/>
        <w:numPr>
          <w:ilvl w:val="1"/>
          <w:numId w:val="141"/>
        </w:numPr>
        <w:contextualSpacing w:val="0"/>
        <w:rPr>
          <w:rFonts w:eastAsia="Arial" w:cs="Arial"/>
        </w:rPr>
      </w:pPr>
      <w:r w:rsidRPr="00AF5451">
        <w:rPr>
          <w:rFonts w:cs="Arial"/>
        </w:rPr>
        <w:t xml:space="preserve">If a unit is available, the transferred tenant must agree to abide by the terms and conditions that govern occupancy in the unit to which the tenant has been transferred. The HHA may be unable to transfer a tenant to a particular unit if the tenant cannot establish eligibility for that unit.    </w:t>
      </w:r>
      <w:r w:rsidRPr="00AF5451">
        <w:rPr>
          <w:rFonts w:eastAsia="Arial" w:cs="Arial"/>
        </w:rPr>
        <w:t xml:space="preserve"> </w:t>
      </w:r>
    </w:p>
    <w:p w14:paraId="669BB7E1" w14:textId="77777777" w:rsidR="00E913BE" w:rsidRPr="00AF5451" w:rsidRDefault="00E913BE" w:rsidP="007F177E">
      <w:pPr>
        <w:pStyle w:val="ListParagraph"/>
        <w:numPr>
          <w:ilvl w:val="1"/>
          <w:numId w:val="141"/>
        </w:numPr>
        <w:contextualSpacing w:val="0"/>
        <w:rPr>
          <w:rFonts w:cs="Arial"/>
        </w:rPr>
      </w:pPr>
      <w:r w:rsidRPr="00AF5451">
        <w:rPr>
          <w:rFonts w:eastAsia="Arial" w:cs="Arial"/>
        </w:rPr>
        <w:t>In cases where the HHA determines that the family’s decision to move out of the HHA housing was reasonable under the</w:t>
      </w:r>
      <w:r w:rsidRPr="00AF5451">
        <w:rPr>
          <w:rFonts w:cs="Arial"/>
        </w:rPr>
        <w:t xml:space="preserve"> </w:t>
      </w:r>
      <w:r w:rsidRPr="00AF5451">
        <w:rPr>
          <w:rFonts w:eastAsia="Arial" w:cs="Arial"/>
        </w:rPr>
        <w:t>circumstances, the HHA may wholly or partially waive rent and any rent owed shall be reduced by the amoun</w:t>
      </w:r>
      <w:r w:rsidRPr="00AF5451">
        <w:rPr>
          <w:rFonts w:cs="Arial"/>
        </w:rPr>
        <w:t xml:space="preserve">ts </w:t>
      </w:r>
      <w:r w:rsidRPr="00AF5451">
        <w:rPr>
          <w:rFonts w:eastAsia="Arial" w:cs="Arial"/>
        </w:rPr>
        <w:t>of rent collected for the remaining lease term from a tenant</w:t>
      </w:r>
      <w:r w:rsidRPr="00AF5451">
        <w:rPr>
          <w:rFonts w:cs="Arial"/>
        </w:rPr>
        <w:t xml:space="preserve"> </w:t>
      </w:r>
      <w:r w:rsidRPr="00AF5451">
        <w:rPr>
          <w:rFonts w:eastAsia="Arial" w:cs="Arial"/>
        </w:rPr>
        <w:t>subsequently occupying the un</w:t>
      </w:r>
      <w:r w:rsidRPr="00AF5451">
        <w:rPr>
          <w:rFonts w:cs="Arial"/>
        </w:rPr>
        <w:t>it.</w:t>
      </w:r>
    </w:p>
    <w:p w14:paraId="7EEA2154" w14:textId="77777777" w:rsidR="00E913BE" w:rsidRPr="00AF5451" w:rsidRDefault="00E913BE" w:rsidP="007F177E">
      <w:pPr>
        <w:pStyle w:val="ListParagraph"/>
        <w:numPr>
          <w:ilvl w:val="1"/>
          <w:numId w:val="141"/>
        </w:numPr>
        <w:contextualSpacing w:val="0"/>
        <w:rPr>
          <w:rFonts w:eastAsia="Arial" w:cs="Arial"/>
        </w:rPr>
      </w:pPr>
      <w:r w:rsidRPr="00AF5451">
        <w:rPr>
          <w:rFonts w:cs="Arial"/>
          <w:b/>
          <w:bCs/>
        </w:rPr>
        <w:t>Portability</w:t>
      </w:r>
      <w:r w:rsidRPr="00AF5451">
        <w:rPr>
          <w:rFonts w:cs="Arial"/>
        </w:rPr>
        <w:t xml:space="preserve">. </w:t>
      </w:r>
      <w:r w:rsidRPr="00AF5451">
        <w:rPr>
          <w:rFonts w:eastAsia="Arial" w:cs="Arial"/>
        </w:rPr>
        <w:t>A Housing Choice Voucher (HCV) participant will not be denied portability to a unit located in another jurisdiction so lon</w:t>
      </w:r>
      <w:r w:rsidRPr="00AF5451">
        <w:rPr>
          <w:rFonts w:cs="Arial"/>
        </w:rPr>
        <w:t xml:space="preserve">g </w:t>
      </w:r>
      <w:r w:rsidRPr="00AF5451">
        <w:rPr>
          <w:rFonts w:eastAsia="Arial" w:cs="Arial"/>
        </w:rPr>
        <w:t>as the participant has complied with all other requirements of the</w:t>
      </w:r>
      <w:r w:rsidRPr="00AF5451">
        <w:rPr>
          <w:rFonts w:cs="Arial"/>
        </w:rPr>
        <w:t xml:space="preserve"> HCV</w:t>
      </w:r>
      <w:r w:rsidRPr="00AF5451">
        <w:rPr>
          <w:rFonts w:eastAsia="Arial" w:cs="Arial"/>
        </w:rPr>
        <w:t xml:space="preserve"> Program and, </w:t>
      </w:r>
    </w:p>
    <w:p w14:paraId="770D979C" w14:textId="77777777" w:rsidR="00E913BE" w:rsidRPr="00AF5451" w:rsidRDefault="00E913BE" w:rsidP="007F177E">
      <w:pPr>
        <w:pStyle w:val="ListParagraph"/>
        <w:numPr>
          <w:ilvl w:val="2"/>
          <w:numId w:val="141"/>
        </w:numPr>
        <w:contextualSpacing w:val="0"/>
        <w:rPr>
          <w:rFonts w:eastAsia="Arial" w:cs="Arial"/>
        </w:rPr>
      </w:pPr>
      <w:r w:rsidRPr="00AF5451">
        <w:rPr>
          <w:rFonts w:eastAsia="Arial" w:cs="Arial"/>
        </w:rPr>
        <w:t xml:space="preserve">has moved from the unit in order to protect the health or safety of an individual member of the household who is or has been the victim of </w:t>
      </w:r>
      <w:r w:rsidR="009B3197" w:rsidRPr="00AF5451">
        <w:rPr>
          <w:rFonts w:cs="Arial"/>
        </w:rPr>
        <w:t>domestic violence, dating violence, sexual assault, stalking and/or human trafficking</w:t>
      </w:r>
      <w:r w:rsidRPr="00AF5451">
        <w:rPr>
          <w:rFonts w:eastAsia="Arial" w:cs="Arial"/>
        </w:rPr>
        <w:t xml:space="preserve"> and,</w:t>
      </w:r>
    </w:p>
    <w:p w14:paraId="5F7E44DD" w14:textId="77777777" w:rsidR="00E913BE" w:rsidRPr="00AF5451" w:rsidRDefault="00E913BE" w:rsidP="007F177E">
      <w:pPr>
        <w:pStyle w:val="ListParagraph"/>
        <w:numPr>
          <w:ilvl w:val="2"/>
          <w:numId w:val="141"/>
        </w:numPr>
        <w:contextualSpacing w:val="0"/>
        <w:rPr>
          <w:rFonts w:cs="Arial"/>
        </w:rPr>
      </w:pPr>
      <w:r w:rsidRPr="00AF5451">
        <w:rPr>
          <w:rFonts w:eastAsia="Arial" w:cs="Arial"/>
        </w:rPr>
        <w:t>wh</w:t>
      </w:r>
      <w:r w:rsidRPr="00AF5451">
        <w:rPr>
          <w:rFonts w:cs="Arial"/>
        </w:rPr>
        <w:t xml:space="preserve">o </w:t>
      </w:r>
      <w:r w:rsidRPr="00AF5451">
        <w:rPr>
          <w:rFonts w:eastAsia="Arial" w:cs="Arial"/>
        </w:rPr>
        <w:t>reasonably believes that the tenant or other household member will be imminently threatened by harm from further violence if the individual remains in the present dwelling un</w:t>
      </w:r>
      <w:r w:rsidRPr="00AF5451">
        <w:rPr>
          <w:rFonts w:cs="Arial"/>
        </w:rPr>
        <w:t>it.</w:t>
      </w:r>
    </w:p>
    <w:p w14:paraId="0A24C29B" w14:textId="77777777" w:rsidR="00E913BE" w:rsidRPr="00AF5451" w:rsidRDefault="00E913BE" w:rsidP="007F177E">
      <w:pPr>
        <w:pStyle w:val="ListParagraph"/>
        <w:numPr>
          <w:ilvl w:val="1"/>
          <w:numId w:val="141"/>
        </w:numPr>
        <w:contextualSpacing w:val="0"/>
        <w:rPr>
          <w:rFonts w:cs="Arial"/>
        </w:rPr>
      </w:pPr>
      <w:r w:rsidRPr="00AF5451">
        <w:rPr>
          <w:rFonts w:cs="Arial"/>
        </w:rPr>
        <w:t xml:space="preserve">If the HHA has no safe and available units for which a tenant who needs an emergency is eligible, the HHA will assist the tenant in identifying other housing providers who may have safe and available units to which the tenant could move.  </w:t>
      </w:r>
    </w:p>
    <w:p w14:paraId="3F4A7280" w14:textId="77777777" w:rsidR="00E913BE" w:rsidRPr="00AF5451" w:rsidRDefault="00E913BE" w:rsidP="007F177E">
      <w:pPr>
        <w:pStyle w:val="ListParagraph"/>
        <w:numPr>
          <w:ilvl w:val="1"/>
          <w:numId w:val="141"/>
        </w:numPr>
        <w:contextualSpacing w:val="0"/>
        <w:rPr>
          <w:rFonts w:cs="Arial"/>
        </w:rPr>
      </w:pPr>
      <w:r w:rsidRPr="00AF5451">
        <w:rPr>
          <w:rFonts w:cs="Arial"/>
        </w:rPr>
        <w:t xml:space="preserve">At the tenant’s request, the HHA will assist tenants in contacting local organizations offering assistance to victims of </w:t>
      </w:r>
      <w:r w:rsidR="00C64A6B" w:rsidRPr="00AF5451">
        <w:rPr>
          <w:rFonts w:cs="Arial"/>
        </w:rPr>
        <w:t>domestic violence, dating violence, sexual assault, stalking and/or human trafficking</w:t>
      </w:r>
      <w:r w:rsidRPr="00AF5451">
        <w:rPr>
          <w:rFonts w:cs="Arial"/>
        </w:rPr>
        <w:t xml:space="preserve"> that are attached to this plan.</w:t>
      </w:r>
    </w:p>
    <w:p w14:paraId="26176933" w14:textId="77777777" w:rsidR="00E913BE" w:rsidRPr="00AF5451" w:rsidRDefault="00E913BE" w:rsidP="007F177E">
      <w:pPr>
        <w:pStyle w:val="ListParagraph"/>
        <w:numPr>
          <w:ilvl w:val="1"/>
          <w:numId w:val="141"/>
        </w:numPr>
        <w:contextualSpacing w:val="0"/>
        <w:rPr>
          <w:rFonts w:cs="Arial"/>
        </w:rPr>
      </w:pPr>
      <w:r w:rsidRPr="00AF5451">
        <w:rPr>
          <w:rFonts w:cs="Arial"/>
          <w:b/>
          <w:bCs/>
        </w:rPr>
        <w:t>Safety and Security of Tenants</w:t>
      </w:r>
      <w:r w:rsidRPr="00AF5451">
        <w:rPr>
          <w:rFonts w:cs="Arial"/>
        </w:rPr>
        <w:t>.</w:t>
      </w:r>
    </w:p>
    <w:p w14:paraId="6B2B950E" w14:textId="77777777" w:rsidR="00E913BE" w:rsidRPr="00AF5451" w:rsidRDefault="00E913BE" w:rsidP="007F177E">
      <w:pPr>
        <w:pStyle w:val="ListParagraph"/>
        <w:numPr>
          <w:ilvl w:val="2"/>
          <w:numId w:val="141"/>
        </w:numPr>
        <w:contextualSpacing w:val="0"/>
        <w:rPr>
          <w:rFonts w:cs="Arial"/>
        </w:rPr>
      </w:pPr>
      <w:r w:rsidRPr="00AF5451">
        <w:rPr>
          <w:rFonts w:cs="Arial"/>
          <w:b/>
          <w:bCs/>
        </w:rPr>
        <w:t>Confidentiality</w:t>
      </w:r>
      <w:r w:rsidRPr="00AF5451">
        <w:rPr>
          <w:rFonts w:cs="Arial"/>
        </w:rPr>
        <w:t xml:space="preserve">. The HHA will keep confidential any information that the tenant submits with a request for an emergency transfer, unless: </w:t>
      </w:r>
    </w:p>
    <w:p w14:paraId="02021787" w14:textId="77777777" w:rsidR="00E913BE" w:rsidRPr="00AF5451" w:rsidRDefault="004E727D" w:rsidP="007F177E">
      <w:pPr>
        <w:pStyle w:val="ListParagraph"/>
        <w:numPr>
          <w:ilvl w:val="3"/>
          <w:numId w:val="141"/>
        </w:numPr>
        <w:contextualSpacing w:val="0"/>
        <w:rPr>
          <w:rFonts w:cs="Arial"/>
        </w:rPr>
      </w:pPr>
      <w:r w:rsidRPr="00AF5451">
        <w:rPr>
          <w:rFonts w:cs="Arial"/>
        </w:rPr>
        <w:t>T</w:t>
      </w:r>
      <w:r w:rsidR="00E913BE" w:rsidRPr="00AF5451">
        <w:rPr>
          <w:rFonts w:cs="Arial"/>
        </w:rPr>
        <w:t>he tenant gives the HHA written permission to release the information on a time limited basis or,</w:t>
      </w:r>
    </w:p>
    <w:p w14:paraId="254D36A4" w14:textId="77777777" w:rsidR="00E913BE" w:rsidRPr="00AF5451" w:rsidRDefault="004E727D" w:rsidP="007F177E">
      <w:pPr>
        <w:pStyle w:val="ListParagraph"/>
        <w:numPr>
          <w:ilvl w:val="3"/>
          <w:numId w:val="141"/>
        </w:numPr>
        <w:contextualSpacing w:val="0"/>
        <w:rPr>
          <w:rFonts w:cs="Arial"/>
          <w:spacing w:val="-4"/>
        </w:rPr>
      </w:pPr>
      <w:r w:rsidRPr="00AF5451">
        <w:rPr>
          <w:rFonts w:cs="Arial"/>
          <w:spacing w:val="-4"/>
        </w:rPr>
        <w:t>D</w:t>
      </w:r>
      <w:r w:rsidR="00E913BE" w:rsidRPr="00AF5451">
        <w:rPr>
          <w:rFonts w:cs="Arial"/>
          <w:spacing w:val="-4"/>
        </w:rPr>
        <w:t xml:space="preserve">isclosure of the information is required by law or required </w:t>
      </w:r>
      <w:r w:rsidR="00E913BE" w:rsidRPr="00AF5451">
        <w:rPr>
          <w:rFonts w:eastAsia="Cambria" w:cs="Arial"/>
          <w:spacing w:val="-4"/>
        </w:rPr>
        <w:t>for use in an eviction proceeding or hearing</w:t>
      </w:r>
      <w:r w:rsidR="00E913BE" w:rsidRPr="00AF5451">
        <w:rPr>
          <w:rFonts w:cs="Arial"/>
          <w:spacing w:val="-4"/>
        </w:rPr>
        <w:t xml:space="preserve"> </w:t>
      </w:r>
      <w:r w:rsidR="00E913BE" w:rsidRPr="00AF5451">
        <w:rPr>
          <w:rFonts w:eastAsia="Cambria" w:cs="Arial"/>
          <w:spacing w:val="-4"/>
        </w:rPr>
        <w:t>regarding termination of assistance from the covered program</w:t>
      </w:r>
      <w:r w:rsidR="00E913BE" w:rsidRPr="00AF5451">
        <w:rPr>
          <w:rFonts w:cs="Arial"/>
          <w:spacing w:val="-4"/>
        </w:rPr>
        <w:t xml:space="preserve">.  </w:t>
      </w:r>
    </w:p>
    <w:p w14:paraId="1E35E595" w14:textId="77777777" w:rsidR="00E913BE" w:rsidRPr="00AF5451" w:rsidRDefault="00E913BE" w:rsidP="00F35C67">
      <w:pPr>
        <w:ind w:left="1080"/>
        <w:rPr>
          <w:rFonts w:cs="Arial"/>
        </w:rPr>
      </w:pPr>
      <w:r w:rsidRPr="00AF5451">
        <w:rPr>
          <w:rFonts w:cs="Arial"/>
        </w:rPr>
        <w:t xml:space="preserve">This includes keeping confidential the new location of the dwelling unit of the tenant, if one is provided, from the person(s) that committed an act(s) of </w:t>
      </w:r>
      <w:r w:rsidR="00C64A6B" w:rsidRPr="00AF5451">
        <w:rPr>
          <w:rFonts w:cs="Arial"/>
        </w:rPr>
        <w:t>domestic violence, dating violence, sexual assault, stalking and/or human trafficking</w:t>
      </w:r>
      <w:r w:rsidRPr="00AF5451">
        <w:rPr>
          <w:rFonts w:cs="Arial"/>
        </w:rPr>
        <w:t xml:space="preserve"> against the tenant. Please see the </w:t>
      </w:r>
      <w:r w:rsidRPr="00AF5451">
        <w:rPr>
          <w:rFonts w:cs="Arial"/>
          <w:i/>
          <w:iCs/>
        </w:rPr>
        <w:t>Notice of Occupancy Rights under the Violence Against Women Act</w:t>
      </w:r>
      <w:r w:rsidRPr="00AF5451">
        <w:rPr>
          <w:rFonts w:cs="Arial"/>
        </w:rPr>
        <w:t xml:space="preserve"> for more information about HHA’s responsibility to maintain the confidentiality of information related to incidents of </w:t>
      </w:r>
      <w:r w:rsidR="00C64A6B" w:rsidRPr="00AF5451">
        <w:rPr>
          <w:rFonts w:cs="Arial"/>
        </w:rPr>
        <w:t>domestic violence, dating violence, sexual assault, stalking and/or human trafficking</w:t>
      </w:r>
      <w:r w:rsidRPr="00AF5451">
        <w:rPr>
          <w:rFonts w:cs="Arial"/>
        </w:rPr>
        <w:t>.</w:t>
      </w:r>
    </w:p>
    <w:p w14:paraId="14B551DC" w14:textId="77777777" w:rsidR="00E913BE" w:rsidRPr="00AF5451" w:rsidRDefault="00E913BE" w:rsidP="007F177E">
      <w:pPr>
        <w:pStyle w:val="ListParagraph"/>
        <w:numPr>
          <w:ilvl w:val="2"/>
          <w:numId w:val="141"/>
        </w:numPr>
        <w:contextualSpacing w:val="0"/>
        <w:rPr>
          <w:rFonts w:cs="Arial"/>
        </w:rPr>
      </w:pPr>
      <w:r w:rsidRPr="00AF5451">
        <w:rPr>
          <w:rFonts w:cs="Arial"/>
        </w:rPr>
        <w:t xml:space="preserve">Throughout the request and transfer (if approved) process, the tenant is urged to take all reasonable precautions to be safe.  </w:t>
      </w:r>
    </w:p>
    <w:p w14:paraId="0B121867" w14:textId="77777777" w:rsidR="00E913BE" w:rsidRPr="00AF5451" w:rsidRDefault="00E913BE" w:rsidP="007F177E">
      <w:pPr>
        <w:pStyle w:val="ListParagraph"/>
        <w:numPr>
          <w:ilvl w:val="2"/>
          <w:numId w:val="141"/>
        </w:numPr>
        <w:contextualSpacing w:val="0"/>
        <w:rPr>
          <w:rFonts w:cs="Arial"/>
        </w:rPr>
      </w:pPr>
      <w:r w:rsidRPr="00AF5451">
        <w:rPr>
          <w:rFonts w:cs="Arial"/>
        </w:rPr>
        <w:t xml:space="preserve">Tenants who are or have been victims of domestic violence are encouraged to contact the National Domestic Violence Hotline at 1-800-799-7233, or a local domestic violence shelter for assistance in creating a safety plan. For persons with hearing impairment, please dial 1-800-787-3224 (TTY).  </w:t>
      </w:r>
    </w:p>
    <w:p w14:paraId="503ED2BA" w14:textId="77777777" w:rsidR="00E913BE" w:rsidRPr="00CE404A" w:rsidRDefault="00E913BE" w:rsidP="007F177E">
      <w:pPr>
        <w:pStyle w:val="ListParagraph"/>
        <w:numPr>
          <w:ilvl w:val="2"/>
          <w:numId w:val="141"/>
        </w:numPr>
        <w:contextualSpacing w:val="0"/>
        <w:rPr>
          <w:rFonts w:cs="Arial"/>
        </w:rPr>
      </w:pPr>
      <w:r w:rsidRPr="00AF5451">
        <w:rPr>
          <w:rFonts w:cs="Arial"/>
        </w:rPr>
        <w:t xml:space="preserve">Tenants who have been victims of sexual assault may call the Rape, Abuse &amp; Incest National Network’s Sexual Assault Hotline at 800-656-HOPE (4673), or visit the online </w:t>
      </w:r>
      <w:r w:rsidRPr="00CE404A">
        <w:rPr>
          <w:rFonts w:cs="Arial"/>
        </w:rPr>
        <w:t xml:space="preserve">hotline at </w:t>
      </w:r>
      <w:hyperlink r:id="rId25" w:history="1">
        <w:r w:rsidRPr="00CE404A">
          <w:rPr>
            <w:rStyle w:val="Hyperlink"/>
            <w:rFonts w:cs="Arial"/>
          </w:rPr>
          <w:t>https://ohl.rainn.org/online/</w:t>
        </w:r>
      </w:hyperlink>
      <w:r w:rsidRPr="00CE404A">
        <w:rPr>
          <w:rFonts w:cs="Arial"/>
        </w:rPr>
        <w:t xml:space="preserve">.  </w:t>
      </w:r>
    </w:p>
    <w:p w14:paraId="152702F6" w14:textId="792FD7BD" w:rsidR="00E913BE" w:rsidRPr="00CE404A" w:rsidRDefault="00E913BE" w:rsidP="007F177E">
      <w:pPr>
        <w:pStyle w:val="ListParagraph"/>
        <w:numPr>
          <w:ilvl w:val="2"/>
          <w:numId w:val="141"/>
        </w:numPr>
        <w:contextualSpacing w:val="0"/>
        <w:rPr>
          <w:rFonts w:cs="Arial"/>
          <w:strike/>
          <w:color w:val="FF0000"/>
        </w:rPr>
      </w:pPr>
      <w:r w:rsidRPr="00CE404A">
        <w:rPr>
          <w:rFonts w:cs="Arial"/>
        </w:rPr>
        <w:t xml:space="preserve">Tenants </w:t>
      </w:r>
      <w:r w:rsidR="00DA7A47" w:rsidRPr="00CE404A">
        <w:rPr>
          <w:rFonts w:cs="Arial"/>
        </w:rPr>
        <w:t xml:space="preserve">may find additional resources at </w:t>
      </w:r>
      <w:r w:rsidR="00A67E3C" w:rsidRPr="00CE404A">
        <w:rPr>
          <w:rFonts w:cs="Arial"/>
        </w:rPr>
        <w:t xml:space="preserve">HUD’s Help for Survivors page at </w:t>
      </w:r>
      <w:hyperlink r:id="rId26" w:anchor="helpforsurvivors" w:history="1">
        <w:r w:rsidR="002E7257" w:rsidRPr="00CE404A">
          <w:rPr>
            <w:rStyle w:val="Hyperlink"/>
            <w:rFonts w:cs="Arial"/>
          </w:rPr>
          <w:t>https://www.hud.gov/vawa#helpforsurvivors</w:t>
        </w:r>
      </w:hyperlink>
      <w:r w:rsidR="00A67E3C" w:rsidRPr="00CE404A">
        <w:rPr>
          <w:rFonts w:cs="Arial"/>
        </w:rPr>
        <w:t>.</w:t>
      </w:r>
      <w:r w:rsidR="00C42C9E" w:rsidRPr="00CE404A">
        <w:rPr>
          <w:rFonts w:cs="Arial"/>
          <w:strike/>
          <w:color w:val="FF0000"/>
        </w:rPr>
        <w:t xml:space="preserve"> </w:t>
      </w:r>
    </w:p>
    <w:p w14:paraId="14A96598" w14:textId="77777777" w:rsidR="00E913BE" w:rsidRPr="00E913BE" w:rsidRDefault="00E913BE" w:rsidP="007F177E">
      <w:pPr>
        <w:pStyle w:val="ListParagraph"/>
        <w:numPr>
          <w:ilvl w:val="0"/>
          <w:numId w:val="141"/>
        </w:numPr>
        <w:spacing w:after="200" w:line="276" w:lineRule="auto"/>
        <w:contextualSpacing w:val="0"/>
        <w:rPr>
          <w:rFonts w:cs="Arial"/>
          <w:b/>
          <w:sz w:val="28"/>
          <w:szCs w:val="28"/>
        </w:rPr>
      </w:pPr>
      <w:r w:rsidRPr="00E913BE">
        <w:rPr>
          <w:rFonts w:cs="Arial"/>
          <w:b/>
          <w:sz w:val="28"/>
          <w:szCs w:val="28"/>
        </w:rPr>
        <w:t>Other Remedies</w:t>
      </w:r>
    </w:p>
    <w:p w14:paraId="41AB43F9" w14:textId="77777777" w:rsidR="00E913BE" w:rsidRPr="00F35C67" w:rsidRDefault="00E913BE" w:rsidP="007F177E">
      <w:pPr>
        <w:pStyle w:val="ListParagraph"/>
        <w:numPr>
          <w:ilvl w:val="1"/>
          <w:numId w:val="141"/>
        </w:numPr>
        <w:spacing w:line="276" w:lineRule="auto"/>
        <w:contextualSpacing w:val="0"/>
        <w:rPr>
          <w:rFonts w:cs="Arial"/>
          <w:b/>
          <w:bCs/>
        </w:rPr>
      </w:pPr>
      <w:bookmarkStart w:id="4156" w:name="VAWALeaseBifurcation"/>
      <w:r w:rsidRPr="00F35C67">
        <w:rPr>
          <w:rFonts w:cs="Arial"/>
          <w:b/>
          <w:bCs/>
        </w:rPr>
        <w:t>Lease Bifurcation</w:t>
      </w:r>
      <w:bookmarkEnd w:id="4156"/>
      <w:r w:rsidRPr="00F35C67">
        <w:rPr>
          <w:rFonts w:cs="Arial"/>
          <w:b/>
          <w:bCs/>
        </w:rPr>
        <w:t xml:space="preserve"> </w:t>
      </w:r>
    </w:p>
    <w:p w14:paraId="625B736F" w14:textId="77777777" w:rsidR="00E913BE" w:rsidRPr="00AF5451" w:rsidRDefault="00E913BE" w:rsidP="007F177E">
      <w:pPr>
        <w:pStyle w:val="ListParagraph"/>
        <w:numPr>
          <w:ilvl w:val="2"/>
          <w:numId w:val="141"/>
        </w:numPr>
        <w:spacing w:line="276" w:lineRule="auto"/>
        <w:contextualSpacing w:val="0"/>
        <w:rPr>
          <w:rFonts w:cs="Arial"/>
        </w:rPr>
      </w:pPr>
      <w:r w:rsidRPr="00F35C67">
        <w:rPr>
          <w:rFonts w:cs="Arial"/>
        </w:rPr>
        <w:t xml:space="preserve">The HHA may bifurcate a lease, or remove a household member from a lease in order to evict, remove, terminate occupancy rights, </w:t>
      </w:r>
      <w:r w:rsidRPr="00AF5451">
        <w:rPr>
          <w:rFonts w:cs="Arial"/>
        </w:rPr>
        <w:t xml:space="preserve">or terminate assistance or occupancy rights to such member who engages in criminal activity directly related to </w:t>
      </w:r>
      <w:r w:rsidR="0001586D" w:rsidRPr="00AF5451">
        <w:rPr>
          <w:rFonts w:cs="Arial"/>
        </w:rPr>
        <w:t>domestic violence, dating violence, sexual assault, stalking and/or human trafficking</w:t>
      </w:r>
      <w:r w:rsidRPr="00AF5451">
        <w:rPr>
          <w:rFonts w:cs="Arial"/>
        </w:rPr>
        <w:t>.  In such a case, it does not matter that the perpetrator was a signatory to the lease and the victim is allowed to stay in the unit or on the program.</w:t>
      </w:r>
    </w:p>
    <w:p w14:paraId="69684A34" w14:textId="77777777" w:rsidR="00E913BE" w:rsidRPr="00AF5451" w:rsidRDefault="00E913BE" w:rsidP="007F177E">
      <w:pPr>
        <w:pStyle w:val="ListParagraph"/>
        <w:numPr>
          <w:ilvl w:val="2"/>
          <w:numId w:val="141"/>
        </w:numPr>
        <w:spacing w:line="276" w:lineRule="auto"/>
        <w:contextualSpacing w:val="0"/>
        <w:rPr>
          <w:rFonts w:cs="Arial"/>
        </w:rPr>
      </w:pPr>
      <w:r w:rsidRPr="00AF5451">
        <w:rPr>
          <w:rFonts w:cs="Arial"/>
        </w:rPr>
        <w:t>In removing the perpetrator from the household, the HHA will follow all federal, state and local eviction procedures.</w:t>
      </w:r>
    </w:p>
    <w:p w14:paraId="60F3A7C5" w14:textId="77777777" w:rsidR="00E913BE" w:rsidRPr="00AF5451" w:rsidRDefault="00E913BE" w:rsidP="007F177E">
      <w:pPr>
        <w:pStyle w:val="ListParagraph"/>
        <w:numPr>
          <w:ilvl w:val="2"/>
          <w:numId w:val="141"/>
        </w:numPr>
        <w:spacing w:line="276" w:lineRule="auto"/>
        <w:contextualSpacing w:val="0"/>
        <w:rPr>
          <w:rFonts w:cs="Arial"/>
        </w:rPr>
      </w:pPr>
      <w:r w:rsidRPr="00AF5451">
        <w:rPr>
          <w:rFonts w:cs="Arial"/>
        </w:rPr>
        <w:t>If the evicted person was the eligible program participant in the household, the remaining tenants will be given 90 days from the date of bifurcation of the lease to:</w:t>
      </w:r>
    </w:p>
    <w:p w14:paraId="7E782C92" w14:textId="77777777" w:rsidR="00E913BE" w:rsidRPr="00AF5451" w:rsidRDefault="00E913BE" w:rsidP="007F177E">
      <w:pPr>
        <w:pStyle w:val="ListParagraph"/>
        <w:numPr>
          <w:ilvl w:val="3"/>
          <w:numId w:val="141"/>
        </w:numPr>
        <w:spacing w:line="276" w:lineRule="auto"/>
        <w:contextualSpacing w:val="0"/>
        <w:rPr>
          <w:rFonts w:cs="Arial"/>
        </w:rPr>
      </w:pPr>
      <w:r w:rsidRPr="00AF5451">
        <w:rPr>
          <w:rFonts w:cs="Arial"/>
        </w:rPr>
        <w:t>Establish eligibility for the current program;</w:t>
      </w:r>
    </w:p>
    <w:p w14:paraId="6352CE7B" w14:textId="77777777" w:rsidR="00E913BE" w:rsidRPr="00AF5451" w:rsidRDefault="00E913BE" w:rsidP="007F177E">
      <w:pPr>
        <w:pStyle w:val="ListParagraph"/>
        <w:numPr>
          <w:ilvl w:val="3"/>
          <w:numId w:val="141"/>
        </w:numPr>
        <w:spacing w:line="276" w:lineRule="auto"/>
        <w:contextualSpacing w:val="0"/>
        <w:rPr>
          <w:rFonts w:cs="Arial"/>
        </w:rPr>
      </w:pPr>
      <w:r w:rsidRPr="00AF5451">
        <w:rPr>
          <w:rFonts w:cs="Arial"/>
        </w:rPr>
        <w:t>Establish eligibility under another program; or</w:t>
      </w:r>
    </w:p>
    <w:p w14:paraId="7AC81ED2" w14:textId="77777777" w:rsidR="00E913BE" w:rsidRPr="00AF5451" w:rsidRDefault="00E913BE" w:rsidP="007F177E">
      <w:pPr>
        <w:pStyle w:val="ListParagraph"/>
        <w:numPr>
          <w:ilvl w:val="3"/>
          <w:numId w:val="141"/>
        </w:numPr>
        <w:spacing w:line="276" w:lineRule="auto"/>
        <w:contextualSpacing w:val="0"/>
        <w:rPr>
          <w:rFonts w:cs="Arial"/>
        </w:rPr>
      </w:pPr>
      <w:r w:rsidRPr="00AF5451">
        <w:rPr>
          <w:rFonts w:cs="Arial"/>
        </w:rPr>
        <w:t>Find alternative housing.</w:t>
      </w:r>
    </w:p>
    <w:p w14:paraId="6A534BD5" w14:textId="77777777" w:rsidR="00E913BE" w:rsidRPr="00AF5451" w:rsidRDefault="00E913BE" w:rsidP="007F177E">
      <w:pPr>
        <w:pStyle w:val="ListParagraph"/>
        <w:numPr>
          <w:ilvl w:val="1"/>
          <w:numId w:val="141"/>
        </w:numPr>
        <w:spacing w:line="276" w:lineRule="auto"/>
        <w:contextualSpacing w:val="0"/>
        <w:rPr>
          <w:rFonts w:cs="Arial"/>
          <w:b/>
          <w:bCs/>
        </w:rPr>
      </w:pPr>
      <w:r w:rsidRPr="00AF5451">
        <w:rPr>
          <w:rFonts w:cs="Arial"/>
          <w:b/>
          <w:bCs/>
        </w:rPr>
        <w:t xml:space="preserve">Efforts to </w:t>
      </w:r>
      <w:r w:rsidR="00F35C67" w:rsidRPr="00AF5451">
        <w:rPr>
          <w:rFonts w:cs="Arial"/>
          <w:b/>
          <w:bCs/>
        </w:rPr>
        <w:t>P</w:t>
      </w:r>
      <w:r w:rsidRPr="00AF5451">
        <w:rPr>
          <w:rFonts w:cs="Arial"/>
          <w:b/>
          <w:bCs/>
        </w:rPr>
        <w:t xml:space="preserve">romote </w:t>
      </w:r>
      <w:r w:rsidR="00F35C67" w:rsidRPr="00AF5451">
        <w:rPr>
          <w:rFonts w:cs="Arial"/>
          <w:b/>
          <w:bCs/>
        </w:rPr>
        <w:t>H</w:t>
      </w:r>
      <w:r w:rsidRPr="00AF5451">
        <w:rPr>
          <w:rFonts w:cs="Arial"/>
          <w:b/>
          <w:bCs/>
        </w:rPr>
        <w:t xml:space="preserve">ousing </w:t>
      </w:r>
      <w:r w:rsidR="00F35C67" w:rsidRPr="00AF5451">
        <w:rPr>
          <w:rFonts w:cs="Arial"/>
          <w:b/>
          <w:bCs/>
        </w:rPr>
        <w:t>S</w:t>
      </w:r>
      <w:r w:rsidRPr="00AF5451">
        <w:rPr>
          <w:rFonts w:cs="Arial"/>
          <w:b/>
          <w:bCs/>
        </w:rPr>
        <w:t>tability</w:t>
      </w:r>
    </w:p>
    <w:p w14:paraId="189119CD" w14:textId="77777777" w:rsidR="00E913BE" w:rsidRPr="00AF5451" w:rsidRDefault="00E913BE" w:rsidP="007F177E">
      <w:pPr>
        <w:pStyle w:val="ListParagraph"/>
        <w:numPr>
          <w:ilvl w:val="2"/>
          <w:numId w:val="141"/>
        </w:numPr>
        <w:spacing w:line="276" w:lineRule="auto"/>
        <w:contextualSpacing w:val="0"/>
        <w:rPr>
          <w:rFonts w:cs="Arial"/>
        </w:rPr>
      </w:pPr>
      <w:r w:rsidRPr="00AF5451">
        <w:rPr>
          <w:rFonts w:cs="Arial"/>
        </w:rPr>
        <w:t>The HHA will make every effort that is feasible and permissible for victims to remain in their units or other units of the HHA and/or retain assistance. The HHA will bear the cost of any transfer, where permissible.</w:t>
      </w:r>
    </w:p>
    <w:p w14:paraId="119784C6" w14:textId="77777777" w:rsidR="00E913BE" w:rsidRPr="00AF5451" w:rsidRDefault="00F35C67" w:rsidP="007F177E">
      <w:pPr>
        <w:pStyle w:val="ListParagraph"/>
        <w:numPr>
          <w:ilvl w:val="1"/>
          <w:numId w:val="141"/>
        </w:numPr>
        <w:spacing w:line="276" w:lineRule="auto"/>
        <w:contextualSpacing w:val="0"/>
        <w:rPr>
          <w:rFonts w:cs="Arial"/>
          <w:b/>
          <w:bCs/>
        </w:rPr>
      </w:pPr>
      <w:r w:rsidRPr="00AF5451">
        <w:rPr>
          <w:rFonts w:cs="Arial"/>
          <w:b/>
          <w:bCs/>
        </w:rPr>
        <w:t>R</w:t>
      </w:r>
      <w:r w:rsidR="00E913BE" w:rsidRPr="00AF5451">
        <w:rPr>
          <w:rFonts w:cs="Arial"/>
          <w:b/>
          <w:bCs/>
        </w:rPr>
        <w:t xml:space="preserve">elationships with </w:t>
      </w:r>
      <w:r w:rsidRPr="00AF5451">
        <w:rPr>
          <w:rFonts w:cs="Arial"/>
          <w:b/>
          <w:bCs/>
        </w:rPr>
        <w:t>S</w:t>
      </w:r>
      <w:r w:rsidR="00E913BE" w:rsidRPr="00AF5451">
        <w:rPr>
          <w:rFonts w:cs="Arial"/>
          <w:b/>
          <w:bCs/>
        </w:rPr>
        <w:t xml:space="preserve">ervice </w:t>
      </w:r>
      <w:r w:rsidRPr="00AF5451">
        <w:rPr>
          <w:rFonts w:cs="Arial"/>
          <w:b/>
          <w:bCs/>
        </w:rPr>
        <w:t>P</w:t>
      </w:r>
      <w:r w:rsidR="00E913BE" w:rsidRPr="00AF5451">
        <w:rPr>
          <w:rFonts w:cs="Arial"/>
          <w:b/>
          <w:bCs/>
        </w:rPr>
        <w:t>roviders</w:t>
      </w:r>
    </w:p>
    <w:p w14:paraId="7CCD555A" w14:textId="77777777" w:rsidR="00E913BE" w:rsidRPr="00AF5451" w:rsidRDefault="00E913BE" w:rsidP="007F177E">
      <w:pPr>
        <w:pStyle w:val="ListParagraph"/>
        <w:numPr>
          <w:ilvl w:val="2"/>
          <w:numId w:val="141"/>
        </w:numPr>
        <w:spacing w:line="276" w:lineRule="auto"/>
        <w:contextualSpacing w:val="0"/>
        <w:rPr>
          <w:rFonts w:cs="Arial"/>
        </w:rPr>
      </w:pPr>
      <w:r w:rsidRPr="00AF5451">
        <w:rPr>
          <w:rFonts w:eastAsia="Arial" w:cs="Arial"/>
        </w:rPr>
        <w:t>It is the policy of the HHA to cooperate with organizations and entities, both private and governmental, that provide shelter and/or services</w:t>
      </w:r>
      <w:r w:rsidRPr="00AF5451">
        <w:rPr>
          <w:rFonts w:cs="Arial"/>
        </w:rPr>
        <w:t xml:space="preserve"> </w:t>
      </w:r>
      <w:r w:rsidRPr="00AF5451">
        <w:rPr>
          <w:rFonts w:eastAsia="Arial" w:cs="Arial"/>
        </w:rPr>
        <w:t>to victims of domestic violence. If the HHA becomes aware that an</w:t>
      </w:r>
      <w:r w:rsidRPr="00AF5451">
        <w:rPr>
          <w:rFonts w:cs="Arial"/>
        </w:rPr>
        <w:t xml:space="preserve"> </w:t>
      </w:r>
      <w:r w:rsidRPr="00AF5451">
        <w:rPr>
          <w:rFonts w:eastAsia="Arial" w:cs="Arial"/>
        </w:rPr>
        <w:t xml:space="preserve">individual assisted by the HHA is a victim of </w:t>
      </w:r>
      <w:r w:rsidR="0001586D" w:rsidRPr="00AF5451">
        <w:rPr>
          <w:rFonts w:cs="Arial"/>
        </w:rPr>
        <w:t>domestic violence, dating violence, sexual assault, stalking and/or human trafficking</w:t>
      </w:r>
      <w:r w:rsidRPr="00AF5451">
        <w:rPr>
          <w:rFonts w:eastAsia="Arial" w:cs="Arial"/>
        </w:rPr>
        <w:t>, the HHA will refer the</w:t>
      </w:r>
      <w:r w:rsidRPr="00AF5451">
        <w:rPr>
          <w:rFonts w:cs="Arial"/>
        </w:rPr>
        <w:t xml:space="preserve"> </w:t>
      </w:r>
      <w:r w:rsidRPr="00AF5451">
        <w:rPr>
          <w:rFonts w:eastAsia="Arial" w:cs="Arial"/>
        </w:rPr>
        <w:t>victim to such providers of shelter or services as appropriat</w:t>
      </w:r>
      <w:r w:rsidRPr="00AF5451">
        <w:rPr>
          <w:rFonts w:cs="Arial"/>
        </w:rPr>
        <w:t xml:space="preserve">e. </w:t>
      </w:r>
      <w:r w:rsidRPr="00AF5451">
        <w:rPr>
          <w:rFonts w:eastAsia="Arial" w:cs="Arial"/>
        </w:rPr>
        <w:t>Notwithstanding the foregoing, this Policy does not create any legal obligation requiring the HHA either to maintain a relationship with any</w:t>
      </w:r>
      <w:r w:rsidRPr="00AF5451">
        <w:rPr>
          <w:rFonts w:cs="Arial"/>
        </w:rPr>
        <w:t xml:space="preserve"> </w:t>
      </w:r>
      <w:r w:rsidRPr="00AF5451">
        <w:rPr>
          <w:rFonts w:eastAsia="Arial" w:cs="Arial"/>
        </w:rPr>
        <w:t>particular provider of shelter or services to victims of domestic</w:t>
      </w:r>
      <w:r w:rsidRPr="00AF5451">
        <w:rPr>
          <w:rFonts w:cs="Arial"/>
        </w:rPr>
        <w:t xml:space="preserve"> </w:t>
      </w:r>
      <w:r w:rsidRPr="00AF5451">
        <w:rPr>
          <w:rFonts w:eastAsia="Arial" w:cs="Arial"/>
        </w:rPr>
        <w:t>violence or to make a referral in any particular case. The HHA’s</w:t>
      </w:r>
      <w:r w:rsidRPr="00AF5451">
        <w:rPr>
          <w:rFonts w:cs="Arial"/>
        </w:rPr>
        <w:t xml:space="preserve"> </w:t>
      </w:r>
      <w:r w:rsidRPr="00AF5451">
        <w:rPr>
          <w:rFonts w:eastAsia="Arial" w:cs="Arial"/>
        </w:rPr>
        <w:t>annual Public Housing Agency Plan shall describe providers of shelter</w:t>
      </w:r>
      <w:r w:rsidRPr="00AF5451">
        <w:rPr>
          <w:rFonts w:cs="Arial"/>
        </w:rPr>
        <w:t xml:space="preserve"> </w:t>
      </w:r>
      <w:r w:rsidRPr="00AF5451">
        <w:rPr>
          <w:rFonts w:eastAsia="Arial" w:cs="Arial"/>
        </w:rPr>
        <w:t>or services to victims of domestic violence with which the HHA has</w:t>
      </w:r>
      <w:r w:rsidRPr="00AF5451">
        <w:rPr>
          <w:rFonts w:cs="Arial"/>
        </w:rPr>
        <w:t xml:space="preserve"> </w:t>
      </w:r>
      <w:r w:rsidRPr="00AF5451">
        <w:rPr>
          <w:rFonts w:eastAsia="Arial" w:cs="Arial"/>
        </w:rPr>
        <w:t>referral or other cooperative relationships.</w:t>
      </w:r>
    </w:p>
    <w:p w14:paraId="6C504B17" w14:textId="77777777" w:rsidR="00E913BE" w:rsidRPr="00AF5451" w:rsidRDefault="00E913BE" w:rsidP="007F177E">
      <w:pPr>
        <w:pStyle w:val="ListParagraph"/>
        <w:numPr>
          <w:ilvl w:val="0"/>
          <w:numId w:val="141"/>
        </w:numPr>
        <w:spacing w:after="200" w:line="276" w:lineRule="auto"/>
        <w:contextualSpacing w:val="0"/>
        <w:rPr>
          <w:rFonts w:cs="Arial"/>
          <w:b/>
          <w:sz w:val="28"/>
          <w:szCs w:val="28"/>
        </w:rPr>
      </w:pPr>
      <w:r w:rsidRPr="00AF5451">
        <w:rPr>
          <w:rFonts w:cs="Arial"/>
          <w:b/>
          <w:sz w:val="28"/>
          <w:szCs w:val="28"/>
        </w:rPr>
        <w:t>Local Domestic Violence Services and Resources In Houston</w:t>
      </w:r>
    </w:p>
    <w:p w14:paraId="5F5D92B0" w14:textId="77777777" w:rsidR="00E913BE" w:rsidRPr="00AF5451" w:rsidRDefault="00E913BE" w:rsidP="007F177E">
      <w:pPr>
        <w:pStyle w:val="ListParagraph"/>
        <w:numPr>
          <w:ilvl w:val="1"/>
          <w:numId w:val="141"/>
        </w:numPr>
        <w:contextualSpacing w:val="0"/>
        <w:rPr>
          <w:rFonts w:cs="Arial"/>
        </w:rPr>
      </w:pPr>
      <w:r w:rsidRPr="00AF5451">
        <w:rPr>
          <w:rFonts w:cs="Arial"/>
        </w:rPr>
        <w:t>Below is a non-exhaustive list of local domestic violence-related services and resources in the Houston/Harris County, Texas area. This section may be amended and revised periodically, as needed, without the need for approval from the HHA Board of Commissioners so that changes or updates to contact information may be promptly made whenever discovered.</w:t>
      </w:r>
    </w:p>
    <w:p w14:paraId="23D141FB" w14:textId="77777777" w:rsidR="00E913BE" w:rsidRPr="00AF5451" w:rsidRDefault="00E913BE" w:rsidP="007F177E">
      <w:pPr>
        <w:pStyle w:val="ListParagraph"/>
        <w:numPr>
          <w:ilvl w:val="2"/>
          <w:numId w:val="141"/>
        </w:numPr>
        <w:contextualSpacing w:val="0"/>
        <w:rPr>
          <w:rFonts w:cs="Arial"/>
          <w:b/>
          <w:bCs/>
        </w:rPr>
      </w:pPr>
      <w:r w:rsidRPr="00AF5451">
        <w:rPr>
          <w:rFonts w:cs="Arial"/>
          <w:b/>
          <w:bCs/>
        </w:rPr>
        <w:t>Houston Area Women’s Center</w:t>
      </w:r>
    </w:p>
    <w:p w14:paraId="2DDCFE12" w14:textId="77777777" w:rsidR="00F35C67" w:rsidRPr="00AF5451" w:rsidRDefault="00E913BE" w:rsidP="00F35C67">
      <w:pPr>
        <w:pStyle w:val="ListParagraph"/>
        <w:ind w:left="1440"/>
        <w:contextualSpacing w:val="0"/>
        <w:rPr>
          <w:rFonts w:cs="Arial"/>
        </w:rPr>
      </w:pPr>
      <w:r w:rsidRPr="00AF5451">
        <w:rPr>
          <w:rFonts w:cs="Arial"/>
        </w:rPr>
        <w:t>Domestic Violence Hotline: 713-528-2121</w:t>
      </w:r>
    </w:p>
    <w:p w14:paraId="120BC1BF" w14:textId="77777777" w:rsidR="00F35C67" w:rsidRPr="00AF5451" w:rsidRDefault="00E913BE" w:rsidP="00F35C67">
      <w:pPr>
        <w:pStyle w:val="ListParagraph"/>
        <w:ind w:left="1440"/>
        <w:contextualSpacing w:val="0"/>
        <w:rPr>
          <w:rFonts w:cs="Arial"/>
        </w:rPr>
      </w:pPr>
      <w:r w:rsidRPr="00AF5451">
        <w:rPr>
          <w:rFonts w:cs="Arial"/>
        </w:rPr>
        <w:t>Toll Free Line: 800-256-0551</w:t>
      </w:r>
    </w:p>
    <w:p w14:paraId="6814819E" w14:textId="77777777" w:rsidR="00F35C67" w:rsidRPr="00AF5451" w:rsidRDefault="00E913BE" w:rsidP="00F35C67">
      <w:pPr>
        <w:pStyle w:val="ListParagraph"/>
        <w:ind w:left="1440"/>
        <w:contextualSpacing w:val="0"/>
        <w:rPr>
          <w:rFonts w:cs="Arial"/>
        </w:rPr>
      </w:pPr>
      <w:r w:rsidRPr="00AF5451">
        <w:rPr>
          <w:rFonts w:cs="Arial"/>
        </w:rPr>
        <w:t>Rape Crisis Hotline: 713-528-7273</w:t>
      </w:r>
    </w:p>
    <w:p w14:paraId="75BD844E" w14:textId="77777777" w:rsidR="00F35C67" w:rsidRPr="00AF5451" w:rsidRDefault="00E913BE" w:rsidP="00F35C67">
      <w:pPr>
        <w:pStyle w:val="ListParagraph"/>
        <w:ind w:left="1440"/>
        <w:contextualSpacing w:val="0"/>
        <w:rPr>
          <w:rFonts w:cs="Arial"/>
        </w:rPr>
      </w:pPr>
      <w:r w:rsidRPr="00AF5451">
        <w:rPr>
          <w:rFonts w:cs="Arial"/>
        </w:rPr>
        <w:t>Toll Free Line: 1-800-256-0661</w:t>
      </w:r>
    </w:p>
    <w:p w14:paraId="0289927C" w14:textId="77777777" w:rsidR="00F35C67" w:rsidRPr="00AF5451" w:rsidRDefault="00E913BE" w:rsidP="00F35C67">
      <w:pPr>
        <w:pStyle w:val="ListParagraph"/>
        <w:ind w:left="1440"/>
        <w:contextualSpacing w:val="0"/>
        <w:rPr>
          <w:rFonts w:cs="Arial"/>
        </w:rPr>
      </w:pPr>
      <w:r w:rsidRPr="00AF5451">
        <w:rPr>
          <w:rFonts w:cs="Arial"/>
        </w:rPr>
        <w:t>Office: 713-528-6798</w:t>
      </w:r>
    </w:p>
    <w:p w14:paraId="72C5531F" w14:textId="77777777" w:rsidR="00E913BE" w:rsidRPr="00AF5451" w:rsidRDefault="00E913BE" w:rsidP="00F35C67">
      <w:pPr>
        <w:pStyle w:val="ListParagraph"/>
        <w:ind w:left="1440"/>
        <w:contextualSpacing w:val="0"/>
        <w:rPr>
          <w:rFonts w:cs="Arial"/>
        </w:rPr>
      </w:pPr>
      <w:r w:rsidRPr="00AF5451">
        <w:rPr>
          <w:rFonts w:cs="Arial"/>
        </w:rPr>
        <w:t>TTY: 713-528-3625</w:t>
      </w:r>
    </w:p>
    <w:p w14:paraId="1712AF52" w14:textId="77777777" w:rsidR="00E913BE" w:rsidRPr="00AF5451" w:rsidRDefault="00E913BE" w:rsidP="007F177E">
      <w:pPr>
        <w:pStyle w:val="ListParagraph"/>
        <w:numPr>
          <w:ilvl w:val="2"/>
          <w:numId w:val="141"/>
        </w:numPr>
        <w:contextualSpacing w:val="0"/>
        <w:rPr>
          <w:rStyle w:val="Strong"/>
          <w:rFonts w:cs="Arial"/>
          <w:b w:val="0"/>
          <w:bCs w:val="0"/>
        </w:rPr>
      </w:pPr>
      <w:r w:rsidRPr="00AF5451">
        <w:rPr>
          <w:rStyle w:val="Strong"/>
          <w:rFonts w:cs="Arial"/>
        </w:rPr>
        <w:t>Non-Residential Programs for Victims of Abuse</w:t>
      </w:r>
    </w:p>
    <w:p w14:paraId="42DCAC4A" w14:textId="77777777" w:rsidR="00E913BE" w:rsidRPr="00AF5451" w:rsidRDefault="00E913BE" w:rsidP="00F35C67">
      <w:pPr>
        <w:pStyle w:val="ListParagraph"/>
        <w:ind w:left="1440"/>
        <w:contextualSpacing w:val="0"/>
        <w:rPr>
          <w:rFonts w:cs="Arial"/>
        </w:rPr>
      </w:pPr>
      <w:r w:rsidRPr="00AF5451">
        <w:rPr>
          <w:rFonts w:cs="Arial"/>
        </w:rPr>
        <w:t>Legal Assistance – HPD/Family Violence Unit</w:t>
      </w:r>
    </w:p>
    <w:p w14:paraId="26CA6202" w14:textId="77777777" w:rsidR="00E913BE" w:rsidRPr="00AF5451" w:rsidRDefault="00E913BE" w:rsidP="00F35C67">
      <w:pPr>
        <w:pStyle w:val="ListParagraph"/>
        <w:ind w:left="1440"/>
        <w:contextualSpacing w:val="0"/>
        <w:rPr>
          <w:rFonts w:cs="Arial"/>
        </w:rPr>
      </w:pPr>
      <w:r w:rsidRPr="00AF5451">
        <w:rPr>
          <w:rFonts w:cs="Arial"/>
        </w:rPr>
        <w:t>P</w:t>
      </w:r>
      <w:r w:rsidR="00FC3790" w:rsidRPr="00AF5451">
        <w:rPr>
          <w:rFonts w:cs="Arial"/>
        </w:rPr>
        <w:t>hone</w:t>
      </w:r>
      <w:r w:rsidRPr="00AF5451">
        <w:rPr>
          <w:rFonts w:cs="Arial"/>
        </w:rPr>
        <w:t>: 713-308-1100</w:t>
      </w:r>
    </w:p>
    <w:p w14:paraId="3D1EB95F" w14:textId="77777777" w:rsidR="00E913BE" w:rsidRPr="00AF5451" w:rsidRDefault="00E913BE" w:rsidP="00F35C67">
      <w:pPr>
        <w:ind w:left="1440"/>
        <w:rPr>
          <w:rFonts w:cs="Arial"/>
        </w:rPr>
      </w:pPr>
      <w:r w:rsidRPr="00AF5451">
        <w:rPr>
          <w:rFonts w:cs="Arial"/>
        </w:rPr>
        <w:t>Provides services for all domestic violence incidents that take place within the city limits. Will file charges and take statements in cases of domestic violence and provides short-term crisis counseling and referral. Women should be prepared to spend a minimum of 2-3 hours at unit. Witnesses can make statements in person or they can write a statement and have it notarized for the survivor to take with them.</w:t>
      </w:r>
    </w:p>
    <w:p w14:paraId="5EBA58C3" w14:textId="77777777" w:rsidR="00E913BE" w:rsidRPr="00AF5451" w:rsidRDefault="00E913BE" w:rsidP="007F177E">
      <w:pPr>
        <w:pStyle w:val="ListParagraph"/>
        <w:numPr>
          <w:ilvl w:val="2"/>
          <w:numId w:val="141"/>
        </w:numPr>
        <w:contextualSpacing w:val="0"/>
        <w:rPr>
          <w:rStyle w:val="Strong"/>
          <w:rFonts w:cs="Arial"/>
          <w:b w:val="0"/>
          <w:bCs w:val="0"/>
        </w:rPr>
      </w:pPr>
      <w:r w:rsidRPr="00AF5451">
        <w:rPr>
          <w:rStyle w:val="Strong"/>
          <w:rFonts w:cs="Arial"/>
        </w:rPr>
        <w:t>Harris County Constable’s Office</w:t>
      </w:r>
    </w:p>
    <w:p w14:paraId="2DEC1638" w14:textId="77777777" w:rsidR="00E913BE" w:rsidRPr="00AF5451" w:rsidRDefault="00E913BE" w:rsidP="00F35C67">
      <w:pPr>
        <w:pStyle w:val="ListParagraph"/>
        <w:ind w:left="1440"/>
        <w:contextualSpacing w:val="0"/>
        <w:rPr>
          <w:rFonts w:cs="Arial"/>
        </w:rPr>
      </w:pPr>
      <w:r w:rsidRPr="00AF5451">
        <w:rPr>
          <w:rFonts w:cs="Arial"/>
        </w:rPr>
        <w:t>P</w:t>
      </w:r>
      <w:r w:rsidR="00FC3790" w:rsidRPr="00AF5451">
        <w:rPr>
          <w:rFonts w:cs="Arial"/>
        </w:rPr>
        <w:t>hone</w:t>
      </w:r>
      <w:r w:rsidRPr="00AF5451">
        <w:rPr>
          <w:rFonts w:cs="Arial"/>
        </w:rPr>
        <w:t>: 281-376-3472</w:t>
      </w:r>
    </w:p>
    <w:p w14:paraId="551D32F7" w14:textId="77777777" w:rsidR="00E913BE" w:rsidRPr="00AF5451" w:rsidRDefault="00E913BE" w:rsidP="00F35C67">
      <w:pPr>
        <w:pStyle w:val="ListParagraph"/>
        <w:ind w:left="1440"/>
        <w:contextualSpacing w:val="0"/>
        <w:rPr>
          <w:rFonts w:cs="Arial"/>
        </w:rPr>
      </w:pPr>
      <w:r w:rsidRPr="00AF5451">
        <w:rPr>
          <w:rFonts w:cs="Arial"/>
        </w:rPr>
        <w:t>Provides services for all domestic violence incidents that take place within the Constable’s jurisdiction. Victim’s assistance office will investigate all complaints of domestic violence and assist survivors with filing charges.</w:t>
      </w:r>
    </w:p>
    <w:p w14:paraId="5C3918A7" w14:textId="77777777" w:rsidR="00E913BE" w:rsidRPr="00AF5451" w:rsidRDefault="00E913BE" w:rsidP="007F177E">
      <w:pPr>
        <w:pStyle w:val="ListParagraph"/>
        <w:numPr>
          <w:ilvl w:val="2"/>
          <w:numId w:val="141"/>
        </w:numPr>
        <w:contextualSpacing w:val="0"/>
        <w:rPr>
          <w:rStyle w:val="Strong"/>
          <w:rFonts w:cs="Arial"/>
          <w:b w:val="0"/>
          <w:bCs w:val="0"/>
        </w:rPr>
      </w:pPr>
      <w:r w:rsidRPr="00AF5451">
        <w:rPr>
          <w:rStyle w:val="Strong"/>
          <w:rFonts w:cs="Arial"/>
        </w:rPr>
        <w:t>Harris County Sheriff’s Family Violence Unit</w:t>
      </w:r>
    </w:p>
    <w:p w14:paraId="1573A03A" w14:textId="77777777" w:rsidR="00E913BE" w:rsidRPr="00AF5451" w:rsidRDefault="00E913BE" w:rsidP="00F35C67">
      <w:pPr>
        <w:pStyle w:val="ListParagraph"/>
        <w:ind w:left="1440"/>
        <w:contextualSpacing w:val="0"/>
        <w:rPr>
          <w:rFonts w:cs="Arial"/>
        </w:rPr>
      </w:pPr>
      <w:r w:rsidRPr="00AF5451">
        <w:rPr>
          <w:rFonts w:cs="Arial"/>
        </w:rPr>
        <w:t>P</w:t>
      </w:r>
      <w:r w:rsidR="00FC3790" w:rsidRPr="00AF5451">
        <w:rPr>
          <w:rFonts w:cs="Arial"/>
        </w:rPr>
        <w:t>hone</w:t>
      </w:r>
      <w:r w:rsidRPr="00AF5451">
        <w:rPr>
          <w:rFonts w:cs="Arial"/>
        </w:rPr>
        <w:t>: 713-967-5743</w:t>
      </w:r>
    </w:p>
    <w:p w14:paraId="0FD69795" w14:textId="77777777" w:rsidR="00E913BE" w:rsidRPr="00AF5451" w:rsidRDefault="00E913BE" w:rsidP="00F35C67">
      <w:pPr>
        <w:pStyle w:val="ListParagraph"/>
        <w:ind w:left="1440"/>
        <w:contextualSpacing w:val="0"/>
        <w:rPr>
          <w:rFonts w:cs="Arial"/>
        </w:rPr>
      </w:pPr>
      <w:r w:rsidRPr="00AF5451">
        <w:rPr>
          <w:rFonts w:cs="Arial"/>
        </w:rPr>
        <w:t>Provides services for all domestic violence incidents that take place within the Sheriff’s jurisdiction. Victim’s assistance office will investigate all complaints of domestic violence and assist survivors with filing charges.</w:t>
      </w:r>
    </w:p>
    <w:p w14:paraId="3681DFAF" w14:textId="77777777" w:rsidR="00E913BE" w:rsidRPr="00AF5451" w:rsidRDefault="00E913BE" w:rsidP="007F177E">
      <w:pPr>
        <w:pStyle w:val="ListParagraph"/>
        <w:numPr>
          <w:ilvl w:val="2"/>
          <w:numId w:val="141"/>
        </w:numPr>
        <w:contextualSpacing w:val="0"/>
        <w:rPr>
          <w:rStyle w:val="Strong"/>
          <w:rFonts w:cs="Arial"/>
          <w:b w:val="0"/>
          <w:bCs w:val="0"/>
        </w:rPr>
      </w:pPr>
      <w:r w:rsidRPr="00AF5451">
        <w:rPr>
          <w:rStyle w:val="Strong"/>
          <w:rFonts w:cs="Arial"/>
        </w:rPr>
        <w:t>Aid to Victims of Domestic Abuse</w:t>
      </w:r>
    </w:p>
    <w:p w14:paraId="2F6F0B07" w14:textId="77777777" w:rsidR="00E913BE" w:rsidRPr="00AF5451" w:rsidRDefault="00E913BE" w:rsidP="00F35C67">
      <w:pPr>
        <w:pStyle w:val="ListParagraph"/>
        <w:ind w:left="1440"/>
        <w:contextualSpacing w:val="0"/>
        <w:rPr>
          <w:rFonts w:cs="Arial"/>
        </w:rPr>
      </w:pPr>
      <w:r w:rsidRPr="00AF5451">
        <w:rPr>
          <w:rFonts w:cs="Arial"/>
        </w:rPr>
        <w:t>P</w:t>
      </w:r>
      <w:r w:rsidR="00FC3790" w:rsidRPr="00AF5451">
        <w:rPr>
          <w:rFonts w:cs="Arial"/>
        </w:rPr>
        <w:t>hone</w:t>
      </w:r>
      <w:r w:rsidRPr="00AF5451">
        <w:rPr>
          <w:rFonts w:cs="Arial"/>
        </w:rPr>
        <w:t>: 713-224-9911</w:t>
      </w:r>
    </w:p>
    <w:p w14:paraId="5206C5D6" w14:textId="77777777" w:rsidR="00E913BE" w:rsidRPr="00AF5451" w:rsidRDefault="00E913BE" w:rsidP="007F177E">
      <w:pPr>
        <w:pStyle w:val="ListParagraph"/>
        <w:numPr>
          <w:ilvl w:val="2"/>
          <w:numId w:val="141"/>
        </w:numPr>
        <w:contextualSpacing w:val="0"/>
        <w:rPr>
          <w:rStyle w:val="Strong"/>
          <w:rFonts w:cs="Arial"/>
          <w:b w:val="0"/>
          <w:bCs w:val="0"/>
        </w:rPr>
      </w:pPr>
      <w:r w:rsidRPr="00AF5451">
        <w:rPr>
          <w:rStyle w:val="Strong"/>
          <w:rFonts w:cs="Arial"/>
        </w:rPr>
        <w:t>Harris County DA’s Office – Family Criminal Law Division</w:t>
      </w:r>
    </w:p>
    <w:p w14:paraId="68E088B8" w14:textId="77777777" w:rsidR="00E913BE" w:rsidRPr="00AF5451" w:rsidRDefault="00E913BE" w:rsidP="00F35C67">
      <w:pPr>
        <w:pStyle w:val="ListParagraph"/>
        <w:ind w:left="1440"/>
        <w:contextualSpacing w:val="0"/>
        <w:rPr>
          <w:rFonts w:cs="Arial"/>
        </w:rPr>
      </w:pPr>
      <w:r w:rsidRPr="00AF5451">
        <w:rPr>
          <w:rFonts w:cs="Arial"/>
        </w:rPr>
        <w:t>P</w:t>
      </w:r>
      <w:r w:rsidR="00FC3790" w:rsidRPr="00AF5451">
        <w:rPr>
          <w:rFonts w:cs="Arial"/>
        </w:rPr>
        <w:t>hone</w:t>
      </w:r>
      <w:r w:rsidRPr="00AF5451">
        <w:rPr>
          <w:rFonts w:cs="Arial"/>
        </w:rPr>
        <w:t>: 713-755-5888</w:t>
      </w:r>
    </w:p>
    <w:p w14:paraId="08E9DCDB" w14:textId="77777777" w:rsidR="00E913BE" w:rsidRPr="00AF5451" w:rsidRDefault="00E913BE" w:rsidP="00F35C67">
      <w:pPr>
        <w:pStyle w:val="ListParagraph"/>
        <w:ind w:left="1440"/>
        <w:contextualSpacing w:val="0"/>
        <w:rPr>
          <w:rFonts w:cs="Arial"/>
        </w:rPr>
      </w:pPr>
      <w:r w:rsidRPr="00AF5451">
        <w:rPr>
          <w:rFonts w:cs="Arial"/>
        </w:rPr>
        <w:t>Prosecutes all forms of domestic violence and Title 6 Family Crimes (i.e., bigamy, criminal nonsupport, interference with child custody, etc.), files applications for Protective Orders, and provides crisis intervention counseling for victims of domestic violence.</w:t>
      </w:r>
    </w:p>
    <w:p w14:paraId="0ECA6127" w14:textId="77777777" w:rsidR="00E913BE" w:rsidRPr="00AF5451" w:rsidRDefault="00E913BE" w:rsidP="007F177E">
      <w:pPr>
        <w:pStyle w:val="ListParagraph"/>
        <w:numPr>
          <w:ilvl w:val="2"/>
          <w:numId w:val="141"/>
        </w:numPr>
        <w:contextualSpacing w:val="0"/>
        <w:rPr>
          <w:rFonts w:cs="Arial"/>
          <w:b/>
          <w:bCs/>
        </w:rPr>
      </w:pPr>
      <w:r w:rsidRPr="00AF5451">
        <w:rPr>
          <w:rFonts w:cs="Arial"/>
          <w:b/>
          <w:bCs/>
        </w:rPr>
        <w:t>YMCA International Services</w:t>
      </w:r>
    </w:p>
    <w:p w14:paraId="04FDD35D" w14:textId="77777777" w:rsidR="00E913BE" w:rsidRPr="00AF5451" w:rsidRDefault="00E913BE" w:rsidP="00F35C67">
      <w:pPr>
        <w:pStyle w:val="ListParagraph"/>
        <w:ind w:left="1440"/>
        <w:contextualSpacing w:val="0"/>
        <w:rPr>
          <w:rFonts w:cs="Arial"/>
        </w:rPr>
      </w:pPr>
      <w:r w:rsidRPr="00AF5451">
        <w:rPr>
          <w:rFonts w:cs="Arial"/>
        </w:rPr>
        <w:t>P</w:t>
      </w:r>
      <w:r w:rsidR="00FC3790" w:rsidRPr="00AF5451">
        <w:rPr>
          <w:rFonts w:cs="Arial"/>
        </w:rPr>
        <w:t>hone</w:t>
      </w:r>
      <w:r w:rsidRPr="00AF5451">
        <w:rPr>
          <w:rFonts w:cs="Arial"/>
        </w:rPr>
        <w:t>: 713-339-9015</w:t>
      </w:r>
    </w:p>
    <w:p w14:paraId="18A2411F" w14:textId="77777777" w:rsidR="00E913BE" w:rsidRPr="00F35C67" w:rsidRDefault="00E913BE" w:rsidP="00F35C67">
      <w:pPr>
        <w:pStyle w:val="ListParagraph"/>
        <w:ind w:left="1440"/>
        <w:contextualSpacing w:val="0"/>
        <w:rPr>
          <w:rFonts w:cs="Arial"/>
        </w:rPr>
      </w:pPr>
      <w:r w:rsidRPr="00AF5451">
        <w:rPr>
          <w:rFonts w:cs="Arial"/>
        </w:rPr>
        <w:t>Assists battered immigrant women who are interested in applying for residency. Provides services for victims of human trafficking.</w:t>
      </w:r>
    </w:p>
    <w:p w14:paraId="23A90DCB" w14:textId="77777777" w:rsidR="004A395D" w:rsidRPr="00F35C67" w:rsidRDefault="004A395D" w:rsidP="00F35C67">
      <w:pPr>
        <w:rPr>
          <w:rFonts w:cs="Arial"/>
        </w:rPr>
      </w:pPr>
    </w:p>
    <w:p w14:paraId="2782DBD2" w14:textId="77777777" w:rsidR="004A395D" w:rsidRDefault="004A395D" w:rsidP="004A395D"/>
    <w:p w14:paraId="6237CE2B" w14:textId="77777777" w:rsidR="00195575" w:rsidRDefault="00195575" w:rsidP="00B46CB5">
      <w:pPr>
        <w:sectPr w:rsidR="00195575" w:rsidSect="00EE2233">
          <w:pgSz w:w="12240" w:h="15840"/>
          <w:pgMar w:top="1440" w:right="1440" w:bottom="1440" w:left="1440" w:header="720" w:footer="720" w:gutter="0"/>
          <w:cols w:space="720"/>
          <w:docGrid w:linePitch="360"/>
        </w:sectPr>
      </w:pPr>
    </w:p>
    <w:p w14:paraId="11ED4162" w14:textId="77777777" w:rsidR="00B46CB5" w:rsidRDefault="00B46CB5" w:rsidP="00B46CB5">
      <w:pPr>
        <w:pStyle w:val="Heading1"/>
        <w:numPr>
          <w:ilvl w:val="0"/>
          <w:numId w:val="0"/>
        </w:numPr>
      </w:pPr>
      <w:bookmarkStart w:id="4157" w:name="_Ref150760024"/>
      <w:bookmarkStart w:id="4158" w:name="_Ref151016998"/>
      <w:bookmarkStart w:id="4159" w:name="_Toc173222808"/>
      <w:bookmarkStart w:id="4160" w:name="_Toc200375914"/>
      <w:bookmarkStart w:id="4161" w:name="_Toc200377075"/>
      <w:r>
        <w:t xml:space="preserve">APPENDIX </w:t>
      </w:r>
      <w:r w:rsidR="0047669E">
        <w:t>D</w:t>
      </w:r>
      <w:r>
        <w:t>: GRIEVANCE POLICY</w:t>
      </w:r>
      <w:bookmarkEnd w:id="4157"/>
      <w:bookmarkEnd w:id="4158"/>
      <w:bookmarkEnd w:id="4159"/>
      <w:bookmarkEnd w:id="4160"/>
      <w:bookmarkEnd w:id="4161"/>
    </w:p>
    <w:p w14:paraId="55F20672" w14:textId="77777777" w:rsidR="00732D73" w:rsidRPr="00AE7020" w:rsidRDefault="00AE7020" w:rsidP="007F177E">
      <w:pPr>
        <w:pStyle w:val="ListParagraph"/>
        <w:numPr>
          <w:ilvl w:val="0"/>
          <w:numId w:val="123"/>
        </w:numPr>
        <w:spacing w:after="200" w:line="276" w:lineRule="auto"/>
        <w:ind w:left="360"/>
        <w:contextualSpacing w:val="0"/>
        <w:jc w:val="left"/>
        <w:rPr>
          <w:rFonts w:cs="Arial"/>
          <w:b/>
          <w:sz w:val="28"/>
          <w:szCs w:val="28"/>
        </w:rPr>
      </w:pPr>
      <w:r w:rsidRPr="00AE7020">
        <w:rPr>
          <w:rFonts w:cs="Arial"/>
          <w:b/>
          <w:sz w:val="28"/>
          <w:szCs w:val="28"/>
        </w:rPr>
        <w:t>Definitions</w:t>
      </w:r>
    </w:p>
    <w:p w14:paraId="40EE25F2" w14:textId="77777777" w:rsidR="00DD0461" w:rsidRDefault="00732D73" w:rsidP="007F177E">
      <w:pPr>
        <w:pStyle w:val="ListParagraph"/>
        <w:numPr>
          <w:ilvl w:val="0"/>
          <w:numId w:val="124"/>
        </w:numPr>
        <w:contextualSpacing w:val="0"/>
        <w:rPr>
          <w:rFonts w:cs="Arial"/>
        </w:rPr>
      </w:pPr>
      <w:r w:rsidRPr="00DD0461">
        <w:rPr>
          <w:rFonts w:cs="Arial"/>
          <w:b/>
          <w:bCs/>
        </w:rPr>
        <w:t>Tenant:</w:t>
      </w:r>
      <w:r w:rsidRPr="00DD0461">
        <w:rPr>
          <w:rFonts w:cs="Arial"/>
        </w:rPr>
        <w:t xml:space="preserve">  The adult person (or persons, other than a </w:t>
      </w:r>
      <w:r w:rsidR="00DD0461">
        <w:rPr>
          <w:rFonts w:cs="Arial"/>
        </w:rPr>
        <w:t>l</w:t>
      </w:r>
      <w:r w:rsidRPr="00DD0461">
        <w:rPr>
          <w:rFonts w:cs="Arial"/>
        </w:rPr>
        <w:t xml:space="preserve">ive-in aide):  </w:t>
      </w:r>
    </w:p>
    <w:p w14:paraId="0B328949" w14:textId="77777777" w:rsidR="00D97606" w:rsidRDefault="00D97606" w:rsidP="007F177E">
      <w:pPr>
        <w:pStyle w:val="ListParagraph"/>
        <w:numPr>
          <w:ilvl w:val="0"/>
          <w:numId w:val="135"/>
        </w:numPr>
        <w:ind w:left="1440"/>
        <w:rPr>
          <w:rFonts w:cs="Arial"/>
        </w:rPr>
      </w:pPr>
      <w:r>
        <w:rPr>
          <w:rFonts w:cs="Arial"/>
        </w:rPr>
        <w:t>W</w:t>
      </w:r>
      <w:r w:rsidR="00732D73" w:rsidRPr="00D97606">
        <w:rPr>
          <w:rFonts w:cs="Arial"/>
        </w:rPr>
        <w:t xml:space="preserve">ho resides in the unit, and who executed the lease with the Houston Housing Authority (HHA) as lessee of the dwelling unit, or, if no such person now resides in the unit, </w:t>
      </w:r>
    </w:p>
    <w:p w14:paraId="2CC97D3A" w14:textId="77777777" w:rsidR="00732D73" w:rsidRPr="00D97606" w:rsidRDefault="00D97606" w:rsidP="007F177E">
      <w:pPr>
        <w:pStyle w:val="ListParagraph"/>
        <w:numPr>
          <w:ilvl w:val="0"/>
          <w:numId w:val="135"/>
        </w:numPr>
        <w:ind w:left="1440"/>
        <w:rPr>
          <w:rFonts w:cs="Arial"/>
        </w:rPr>
      </w:pPr>
      <w:r>
        <w:rPr>
          <w:rFonts w:cs="Arial"/>
        </w:rPr>
        <w:t>W</w:t>
      </w:r>
      <w:r w:rsidR="00732D73" w:rsidRPr="00D97606">
        <w:rPr>
          <w:rFonts w:cs="Arial"/>
        </w:rPr>
        <w:t xml:space="preserve">ho resides in the unit, and who is the remaining head of household of the </w:t>
      </w:r>
      <w:r w:rsidR="002E35BE">
        <w:rPr>
          <w:rFonts w:cs="Arial"/>
        </w:rPr>
        <w:t>t</w:t>
      </w:r>
      <w:r w:rsidR="00732D73" w:rsidRPr="00D97606">
        <w:rPr>
          <w:rFonts w:cs="Arial"/>
        </w:rPr>
        <w:t xml:space="preserve">enant family residing in the dwelling unit. </w:t>
      </w:r>
    </w:p>
    <w:p w14:paraId="48D5ED64" w14:textId="77777777" w:rsidR="00732D73" w:rsidRPr="00DD0461" w:rsidRDefault="00732D73" w:rsidP="007F177E">
      <w:pPr>
        <w:pStyle w:val="ListParagraph"/>
        <w:numPr>
          <w:ilvl w:val="0"/>
          <w:numId w:val="124"/>
        </w:numPr>
        <w:contextualSpacing w:val="0"/>
        <w:rPr>
          <w:rFonts w:cs="Arial"/>
        </w:rPr>
      </w:pPr>
      <w:r w:rsidRPr="002E35BE">
        <w:rPr>
          <w:rFonts w:cs="Arial"/>
          <w:b/>
          <w:bCs/>
        </w:rPr>
        <w:t>Grievance</w:t>
      </w:r>
      <w:r w:rsidRPr="00DD0461">
        <w:rPr>
          <w:rFonts w:cs="Arial"/>
        </w:rPr>
        <w:t xml:space="preserve">:  Any dispute a </w:t>
      </w:r>
      <w:r w:rsidR="00B20A5D">
        <w:rPr>
          <w:rFonts w:cs="Arial"/>
        </w:rPr>
        <w:t>T</w:t>
      </w:r>
      <w:r w:rsidRPr="00DD0461">
        <w:rPr>
          <w:rFonts w:cs="Arial"/>
        </w:rPr>
        <w:t xml:space="preserve">enant may have with respect to an HHA action or failure to act in accordance with the individual </w:t>
      </w:r>
      <w:r w:rsidR="00B20A5D">
        <w:rPr>
          <w:rFonts w:cs="Arial"/>
        </w:rPr>
        <w:t>T</w:t>
      </w:r>
      <w:r w:rsidRPr="00DD0461">
        <w:rPr>
          <w:rFonts w:cs="Arial"/>
        </w:rPr>
        <w:t>enant’s lease or HHA regulations that adversely affects the individual Tenant’s rights, duties, welfare or status.</w:t>
      </w:r>
    </w:p>
    <w:p w14:paraId="5200EE91" w14:textId="77777777" w:rsidR="00732D73" w:rsidRPr="00DD0461" w:rsidRDefault="00732D73" w:rsidP="007F177E">
      <w:pPr>
        <w:pStyle w:val="ListParagraph"/>
        <w:numPr>
          <w:ilvl w:val="0"/>
          <w:numId w:val="124"/>
        </w:numPr>
        <w:contextualSpacing w:val="0"/>
        <w:rPr>
          <w:rFonts w:cs="Arial"/>
        </w:rPr>
      </w:pPr>
      <w:r w:rsidRPr="00B20A5D">
        <w:rPr>
          <w:rFonts w:cs="Arial"/>
          <w:b/>
          <w:bCs/>
        </w:rPr>
        <w:t>Complainant</w:t>
      </w:r>
      <w:r w:rsidRPr="00DD0461">
        <w:rPr>
          <w:rFonts w:cs="Arial"/>
        </w:rPr>
        <w:t>:  Any Tenant (as defined above) whose grievance is presented to the HHA (at the central office or the property management office) in accordance with the requirements presented in this policy.</w:t>
      </w:r>
    </w:p>
    <w:p w14:paraId="08CD1755" w14:textId="77777777" w:rsidR="00732D73" w:rsidRPr="00DD0461" w:rsidRDefault="00732D73" w:rsidP="007F177E">
      <w:pPr>
        <w:pStyle w:val="ListParagraph"/>
        <w:numPr>
          <w:ilvl w:val="0"/>
          <w:numId w:val="124"/>
        </w:numPr>
        <w:contextualSpacing w:val="0"/>
        <w:rPr>
          <w:rFonts w:cs="Arial"/>
        </w:rPr>
      </w:pPr>
      <w:r w:rsidRPr="00F6777C">
        <w:rPr>
          <w:rFonts w:cs="Arial"/>
          <w:b/>
          <w:bCs/>
        </w:rPr>
        <w:t xml:space="preserve">Elements of </w:t>
      </w:r>
      <w:r w:rsidR="00F6777C" w:rsidRPr="00F6777C">
        <w:rPr>
          <w:rFonts w:cs="Arial"/>
          <w:b/>
          <w:bCs/>
        </w:rPr>
        <w:t>D</w:t>
      </w:r>
      <w:r w:rsidRPr="00F6777C">
        <w:rPr>
          <w:rFonts w:cs="Arial"/>
          <w:b/>
          <w:bCs/>
        </w:rPr>
        <w:t xml:space="preserve">ue </w:t>
      </w:r>
      <w:r w:rsidR="00F6777C" w:rsidRPr="00F6777C">
        <w:rPr>
          <w:rFonts w:cs="Arial"/>
          <w:b/>
          <w:bCs/>
        </w:rPr>
        <w:t>P</w:t>
      </w:r>
      <w:r w:rsidRPr="00F6777C">
        <w:rPr>
          <w:rFonts w:cs="Arial"/>
          <w:b/>
          <w:bCs/>
        </w:rPr>
        <w:t>rocess</w:t>
      </w:r>
      <w:r w:rsidRPr="00DD0461">
        <w:rPr>
          <w:rFonts w:cs="Arial"/>
        </w:rPr>
        <w:t>:  An eviction action or termination of tenancy in a State or local court in which the following procedural safeguards are required:</w:t>
      </w:r>
    </w:p>
    <w:p w14:paraId="3F04C583" w14:textId="77777777" w:rsidR="00732D73" w:rsidRPr="00DD0461" w:rsidRDefault="00732D73" w:rsidP="007F177E">
      <w:pPr>
        <w:pStyle w:val="ListParagraph"/>
        <w:numPr>
          <w:ilvl w:val="0"/>
          <w:numId w:val="125"/>
        </w:numPr>
        <w:contextualSpacing w:val="0"/>
        <w:rPr>
          <w:rFonts w:cs="Arial"/>
        </w:rPr>
      </w:pPr>
      <w:r w:rsidRPr="00DD0461">
        <w:rPr>
          <w:rFonts w:cs="Arial"/>
        </w:rPr>
        <w:t>Adequate notice to the Tenant of the grounds for terminating the tenancy and for eviction;</w:t>
      </w:r>
    </w:p>
    <w:p w14:paraId="3519FDD2" w14:textId="77777777" w:rsidR="00732D73" w:rsidRPr="00DD0461" w:rsidRDefault="00732D73" w:rsidP="007F177E">
      <w:pPr>
        <w:pStyle w:val="ListParagraph"/>
        <w:numPr>
          <w:ilvl w:val="0"/>
          <w:numId w:val="125"/>
        </w:numPr>
        <w:contextualSpacing w:val="0"/>
        <w:rPr>
          <w:rFonts w:cs="Arial"/>
        </w:rPr>
      </w:pPr>
      <w:r w:rsidRPr="00DD0461">
        <w:rPr>
          <w:rFonts w:cs="Arial"/>
        </w:rPr>
        <w:t>Right of the Tenant to be represented by counsel;</w:t>
      </w:r>
    </w:p>
    <w:p w14:paraId="412B22DA" w14:textId="77777777" w:rsidR="00732D73" w:rsidRPr="00DD0461" w:rsidRDefault="00732D73" w:rsidP="007F177E">
      <w:pPr>
        <w:pStyle w:val="ListParagraph"/>
        <w:numPr>
          <w:ilvl w:val="0"/>
          <w:numId w:val="125"/>
        </w:numPr>
        <w:contextualSpacing w:val="0"/>
        <w:rPr>
          <w:rFonts w:cs="Arial"/>
        </w:rPr>
      </w:pPr>
      <w:r w:rsidRPr="00DD0461">
        <w:rPr>
          <w:rFonts w:cs="Arial"/>
        </w:rPr>
        <w:t>Opportunity for the Tenant to refute the evidence presented by the HHA, including the right to confront and cross examine witnesses and to present any affirmative legal or equitable defense which the Tenant may have;</w:t>
      </w:r>
    </w:p>
    <w:p w14:paraId="2EE4DC90" w14:textId="77777777" w:rsidR="00732D73" w:rsidRPr="008934B0" w:rsidRDefault="00732D73" w:rsidP="007F177E">
      <w:pPr>
        <w:pStyle w:val="ListParagraph"/>
        <w:numPr>
          <w:ilvl w:val="0"/>
          <w:numId w:val="125"/>
        </w:numPr>
        <w:contextualSpacing w:val="0"/>
        <w:rPr>
          <w:rFonts w:cs="Arial"/>
        </w:rPr>
      </w:pPr>
      <w:r w:rsidRPr="008934B0">
        <w:rPr>
          <w:rFonts w:cs="Arial"/>
        </w:rPr>
        <w:t>A decision on the merits of the case.</w:t>
      </w:r>
    </w:p>
    <w:p w14:paraId="1CEE5236" w14:textId="77777777" w:rsidR="00732D73" w:rsidRPr="008934B0" w:rsidRDefault="00732D73" w:rsidP="007F177E">
      <w:pPr>
        <w:pStyle w:val="ListParagraph"/>
        <w:numPr>
          <w:ilvl w:val="0"/>
          <w:numId w:val="124"/>
        </w:numPr>
        <w:contextualSpacing w:val="0"/>
        <w:rPr>
          <w:rFonts w:cs="Arial"/>
        </w:rPr>
      </w:pPr>
      <w:r w:rsidRPr="008934B0">
        <w:rPr>
          <w:rFonts w:cs="Arial"/>
          <w:b/>
          <w:bCs/>
        </w:rPr>
        <w:t>Hearing Officer</w:t>
      </w:r>
      <w:r w:rsidRPr="008934B0">
        <w:rPr>
          <w:rFonts w:cs="Arial"/>
        </w:rPr>
        <w:t xml:space="preserve">: An impartial person or persons selected by the HHA, other than the person who made or approved the decision under review, or a subordinate of that person.  </w:t>
      </w:r>
    </w:p>
    <w:p w14:paraId="7DD4A98B" w14:textId="77777777" w:rsidR="00732D73" w:rsidRPr="00750931" w:rsidRDefault="00882C22" w:rsidP="007F177E">
      <w:pPr>
        <w:pStyle w:val="ListParagraph"/>
        <w:numPr>
          <w:ilvl w:val="0"/>
          <w:numId w:val="123"/>
        </w:numPr>
        <w:spacing w:after="200" w:line="276" w:lineRule="auto"/>
        <w:ind w:left="360"/>
        <w:contextualSpacing w:val="0"/>
        <w:jc w:val="left"/>
        <w:rPr>
          <w:rFonts w:cs="Arial"/>
          <w:b/>
          <w:sz w:val="28"/>
          <w:szCs w:val="28"/>
        </w:rPr>
      </w:pPr>
      <w:bookmarkStart w:id="4162" w:name="GrievanceApplicability"/>
      <w:r w:rsidRPr="008934B0">
        <w:rPr>
          <w:rFonts w:cs="Arial"/>
          <w:b/>
          <w:sz w:val="28"/>
          <w:szCs w:val="28"/>
        </w:rPr>
        <w:t>Applicability</w:t>
      </w:r>
      <w:bookmarkEnd w:id="4162"/>
      <w:r w:rsidRPr="00750931">
        <w:rPr>
          <w:rFonts w:cs="Arial"/>
          <w:b/>
          <w:sz w:val="28"/>
          <w:szCs w:val="28"/>
        </w:rPr>
        <w:t xml:space="preserve"> </w:t>
      </w:r>
    </w:p>
    <w:p w14:paraId="62794815" w14:textId="77777777" w:rsidR="00732D73" w:rsidRPr="00B94E24" w:rsidRDefault="00732D73" w:rsidP="007F177E">
      <w:pPr>
        <w:pStyle w:val="ListParagraph"/>
        <w:widowControl w:val="0"/>
        <w:numPr>
          <w:ilvl w:val="0"/>
          <w:numId w:val="126"/>
        </w:numPr>
        <w:autoSpaceDE w:val="0"/>
        <w:autoSpaceDN w:val="0"/>
        <w:ind w:left="720"/>
        <w:contextualSpacing w:val="0"/>
        <w:rPr>
          <w:rFonts w:cs="Arial"/>
        </w:rPr>
      </w:pPr>
      <w:r w:rsidRPr="00B94E24">
        <w:rPr>
          <w:rFonts w:cs="Arial"/>
        </w:rPr>
        <w:t>In accordance with the applicable Federal regulations, this grievance policy shall be applicable to all individual grievances (as defined in Section 1 above) between Tenant and the HHA with the following exceptions:</w:t>
      </w:r>
    </w:p>
    <w:p w14:paraId="61CF40F1" w14:textId="77777777" w:rsidR="00732D73" w:rsidRPr="00B94E24" w:rsidRDefault="00732D73" w:rsidP="007F177E">
      <w:pPr>
        <w:pStyle w:val="ListParagraph"/>
        <w:numPr>
          <w:ilvl w:val="0"/>
          <w:numId w:val="132"/>
        </w:numPr>
        <w:ind w:left="1440"/>
        <w:contextualSpacing w:val="0"/>
        <w:rPr>
          <w:rFonts w:cs="Arial"/>
        </w:rPr>
      </w:pPr>
      <w:r w:rsidRPr="00B94E24">
        <w:rPr>
          <w:rFonts w:cs="Arial"/>
        </w:rPr>
        <w:t>Because HUD has issued a due process determination that the law of the State of Texas requires that a Tenant be given the opportunity for a hearing in court which provides the basic elements of due process (as defined above) before eviction from the dwelling unit, the grievance policy shall not be applicable to any termination of tenancy or eviction that involves:</w:t>
      </w:r>
    </w:p>
    <w:p w14:paraId="66FB4C4B" w14:textId="77777777" w:rsidR="00544785" w:rsidRDefault="00732D73" w:rsidP="007F177E">
      <w:pPr>
        <w:pStyle w:val="ListParagraph"/>
        <w:numPr>
          <w:ilvl w:val="0"/>
          <w:numId w:val="133"/>
        </w:numPr>
        <w:ind w:left="2160"/>
        <w:contextualSpacing w:val="0"/>
        <w:rPr>
          <w:rFonts w:cs="Arial"/>
        </w:rPr>
      </w:pPr>
      <w:r w:rsidRPr="00B94E24">
        <w:rPr>
          <w:rFonts w:cs="Arial"/>
        </w:rPr>
        <w:t xml:space="preserve">Any criminal activity that threatens the health, safety, or right to peaceful enjoyment of the premises of other residents or employees of the HHA; </w:t>
      </w:r>
    </w:p>
    <w:p w14:paraId="51AAC4EB" w14:textId="77777777" w:rsidR="00544785" w:rsidRDefault="00732D73" w:rsidP="007F177E">
      <w:pPr>
        <w:pStyle w:val="ListParagraph"/>
        <w:numPr>
          <w:ilvl w:val="0"/>
          <w:numId w:val="133"/>
        </w:numPr>
        <w:ind w:left="2160"/>
        <w:contextualSpacing w:val="0"/>
        <w:rPr>
          <w:rFonts w:cs="Arial"/>
        </w:rPr>
      </w:pPr>
      <w:r w:rsidRPr="00544785">
        <w:rPr>
          <w:rFonts w:cs="Arial"/>
        </w:rPr>
        <w:t>Any violent or drug-related criminal activity on or off such premises; or</w:t>
      </w:r>
    </w:p>
    <w:p w14:paraId="1F5145E3" w14:textId="77777777" w:rsidR="00732D73" w:rsidRPr="00544785" w:rsidRDefault="00732D73" w:rsidP="007F177E">
      <w:pPr>
        <w:pStyle w:val="ListParagraph"/>
        <w:numPr>
          <w:ilvl w:val="0"/>
          <w:numId w:val="133"/>
        </w:numPr>
        <w:ind w:left="2160"/>
        <w:contextualSpacing w:val="0"/>
        <w:rPr>
          <w:rFonts w:cs="Arial"/>
        </w:rPr>
      </w:pPr>
      <w:r w:rsidRPr="00544785">
        <w:rPr>
          <w:rFonts w:cs="Arial"/>
        </w:rPr>
        <w:t>Any criminal activity that resulted in felony conviction of a household member.</w:t>
      </w:r>
    </w:p>
    <w:p w14:paraId="0BF2D921" w14:textId="77777777" w:rsidR="00732D73" w:rsidRPr="00B94E24" w:rsidRDefault="00732D73" w:rsidP="007F177E">
      <w:pPr>
        <w:pStyle w:val="ListParagraph"/>
        <w:numPr>
          <w:ilvl w:val="0"/>
          <w:numId w:val="132"/>
        </w:numPr>
        <w:ind w:left="1440"/>
        <w:contextualSpacing w:val="0"/>
        <w:rPr>
          <w:rFonts w:cs="Arial"/>
        </w:rPr>
      </w:pPr>
      <w:r w:rsidRPr="00B94E24">
        <w:rPr>
          <w:rFonts w:cs="Arial"/>
        </w:rPr>
        <w:t>The HHA grievance policy shall not be applicable to disputes between Tenants not involving the HHA or to class grievances. The grievance policy is not intended as a forum for initiating or negotiating policy changes between a group or groups of Tenants and the HHA’s Board of Commissioners.</w:t>
      </w:r>
    </w:p>
    <w:p w14:paraId="7E807B49" w14:textId="77777777" w:rsidR="00732D73" w:rsidRPr="00B94E24" w:rsidRDefault="00732D73" w:rsidP="007F177E">
      <w:pPr>
        <w:pStyle w:val="ListParagraph"/>
        <w:numPr>
          <w:ilvl w:val="0"/>
          <w:numId w:val="132"/>
        </w:numPr>
        <w:ind w:left="1440"/>
        <w:contextualSpacing w:val="0"/>
        <w:rPr>
          <w:rFonts w:cs="Arial"/>
        </w:rPr>
      </w:pPr>
      <w:r w:rsidRPr="00B94E24">
        <w:rPr>
          <w:rFonts w:cs="Arial"/>
        </w:rPr>
        <w:t>The HHA grievance policy is not applicable to Tenants at Section 8 New Construction properties (Long Drive and Telephone Road).</w:t>
      </w:r>
    </w:p>
    <w:p w14:paraId="2206977B" w14:textId="77777777" w:rsidR="00732D73" w:rsidRPr="00B94E24" w:rsidRDefault="00732D73" w:rsidP="007F177E">
      <w:pPr>
        <w:pStyle w:val="ListParagraph"/>
        <w:numPr>
          <w:ilvl w:val="0"/>
          <w:numId w:val="132"/>
        </w:numPr>
        <w:ind w:left="1440"/>
        <w:contextualSpacing w:val="0"/>
        <w:rPr>
          <w:rFonts w:cs="Arial"/>
        </w:rPr>
      </w:pPr>
      <w:r w:rsidRPr="00B94E24">
        <w:rPr>
          <w:rFonts w:cs="Arial"/>
        </w:rPr>
        <w:t>The HHA grievance policy is not applicable to Non-Public Housing Over-Income (NPHOI) families.</w:t>
      </w:r>
    </w:p>
    <w:p w14:paraId="71EE1C2D" w14:textId="77777777" w:rsidR="00732D73" w:rsidRPr="00B94E24" w:rsidRDefault="00732D73" w:rsidP="007F177E">
      <w:pPr>
        <w:pStyle w:val="ListParagraph"/>
        <w:widowControl w:val="0"/>
        <w:numPr>
          <w:ilvl w:val="0"/>
          <w:numId w:val="126"/>
        </w:numPr>
        <w:autoSpaceDE w:val="0"/>
        <w:autoSpaceDN w:val="0"/>
        <w:ind w:left="720"/>
        <w:contextualSpacing w:val="0"/>
        <w:rPr>
          <w:rFonts w:cs="Arial"/>
        </w:rPr>
      </w:pPr>
      <w:r w:rsidRPr="00B94E24">
        <w:rPr>
          <w:rFonts w:cs="Arial"/>
        </w:rPr>
        <w:t>This grievance policy is incorporated by reference in all Tenant dwelling leases and will be furnished to each Tenant and all resident organizations.</w:t>
      </w:r>
    </w:p>
    <w:p w14:paraId="56BBEA06" w14:textId="77777777" w:rsidR="00732D73" w:rsidRPr="00B94E24" w:rsidRDefault="00732D73" w:rsidP="007F177E">
      <w:pPr>
        <w:pStyle w:val="ListParagraph"/>
        <w:widowControl w:val="0"/>
        <w:numPr>
          <w:ilvl w:val="0"/>
          <w:numId w:val="126"/>
        </w:numPr>
        <w:autoSpaceDE w:val="0"/>
        <w:autoSpaceDN w:val="0"/>
        <w:ind w:left="720"/>
        <w:contextualSpacing w:val="0"/>
        <w:rPr>
          <w:rFonts w:cs="Arial"/>
        </w:rPr>
      </w:pPr>
      <w:r w:rsidRPr="00B94E24">
        <w:rPr>
          <w:rFonts w:cs="Arial"/>
        </w:rPr>
        <w:t>Any changes proposed in this grievance policy must provide for at least thirty (30) day notice to Tenants and Resident Organizations, setting forth the proposed changes and providing an opportunity to present written comments. Comments submitted shall be considered by HHA before any revisions are made to the grievance policy.</w:t>
      </w:r>
    </w:p>
    <w:p w14:paraId="020DD5CE" w14:textId="77777777" w:rsidR="00732D73" w:rsidRPr="00882C22" w:rsidRDefault="00882C22" w:rsidP="007F177E">
      <w:pPr>
        <w:pStyle w:val="ListParagraph"/>
        <w:numPr>
          <w:ilvl w:val="0"/>
          <w:numId w:val="123"/>
        </w:numPr>
        <w:spacing w:after="200" w:line="276" w:lineRule="auto"/>
        <w:ind w:left="360"/>
        <w:contextualSpacing w:val="0"/>
        <w:jc w:val="left"/>
        <w:rPr>
          <w:rFonts w:cs="Arial"/>
          <w:b/>
          <w:sz w:val="28"/>
          <w:szCs w:val="28"/>
        </w:rPr>
      </w:pPr>
      <w:r w:rsidRPr="00882C22">
        <w:rPr>
          <w:rFonts w:cs="Arial"/>
          <w:b/>
          <w:sz w:val="28"/>
          <w:szCs w:val="28"/>
        </w:rPr>
        <w:t>Grievance Process</w:t>
      </w:r>
    </w:p>
    <w:p w14:paraId="67CFE958" w14:textId="77777777" w:rsidR="00732D73" w:rsidRPr="00882C22" w:rsidRDefault="00732D73" w:rsidP="007F177E">
      <w:pPr>
        <w:pStyle w:val="ListParagraph"/>
        <w:numPr>
          <w:ilvl w:val="1"/>
          <w:numId w:val="123"/>
        </w:numPr>
        <w:ind w:left="1080"/>
        <w:contextualSpacing w:val="0"/>
        <w:rPr>
          <w:rFonts w:cs="Arial"/>
          <w:b/>
        </w:rPr>
      </w:pPr>
      <w:r w:rsidRPr="00097B1A">
        <w:rPr>
          <w:rFonts w:cs="Arial"/>
          <w:b/>
          <w:bCs/>
        </w:rPr>
        <w:t>Informal Settlement Conference</w:t>
      </w:r>
      <w:r w:rsidRPr="00882C22">
        <w:rPr>
          <w:rFonts w:cs="Arial"/>
        </w:rPr>
        <w:t>:</w:t>
      </w:r>
      <w:r w:rsidRPr="00882C22">
        <w:rPr>
          <w:rFonts w:cs="Arial"/>
          <w:b/>
        </w:rPr>
        <w:t xml:space="preserve"> </w:t>
      </w:r>
      <w:r w:rsidRPr="00882C22">
        <w:rPr>
          <w:rFonts w:cs="Arial"/>
        </w:rPr>
        <w:t>conference between the Tenant and the property manager to have an informal discussion and attempt to settle the grievance without a formal hearing.</w:t>
      </w:r>
    </w:p>
    <w:p w14:paraId="2E37C6F0" w14:textId="77777777" w:rsidR="00732D73" w:rsidRPr="00882C22" w:rsidRDefault="00732D73" w:rsidP="007F177E">
      <w:pPr>
        <w:pStyle w:val="ListParagraph"/>
        <w:numPr>
          <w:ilvl w:val="1"/>
          <w:numId w:val="123"/>
        </w:numPr>
        <w:ind w:left="1080"/>
        <w:contextualSpacing w:val="0"/>
        <w:rPr>
          <w:rFonts w:cs="Arial"/>
          <w:b/>
        </w:rPr>
      </w:pPr>
      <w:r w:rsidRPr="00097B1A">
        <w:rPr>
          <w:rFonts w:cs="Arial"/>
          <w:b/>
          <w:bCs/>
        </w:rPr>
        <w:t>Formal Hearing</w:t>
      </w:r>
      <w:r w:rsidRPr="00882C22">
        <w:rPr>
          <w:rFonts w:cs="Arial"/>
        </w:rPr>
        <w:t xml:space="preserve">:  if the decision issued by the property manager is not satisfactory to the Tenant, a formal hearing can be requested. A formal hearing is held before an independent hearing officer.  </w:t>
      </w:r>
    </w:p>
    <w:p w14:paraId="2CD7BA3C" w14:textId="77777777" w:rsidR="00732D73" w:rsidRPr="00882C22" w:rsidRDefault="00882C22" w:rsidP="007F177E">
      <w:pPr>
        <w:pStyle w:val="ListParagraph"/>
        <w:numPr>
          <w:ilvl w:val="0"/>
          <w:numId w:val="123"/>
        </w:numPr>
        <w:spacing w:after="200" w:line="276" w:lineRule="auto"/>
        <w:ind w:left="360"/>
        <w:contextualSpacing w:val="0"/>
        <w:jc w:val="left"/>
        <w:rPr>
          <w:rFonts w:cs="Arial"/>
          <w:b/>
          <w:sz w:val="28"/>
          <w:szCs w:val="28"/>
        </w:rPr>
      </w:pPr>
      <w:r w:rsidRPr="00882C22">
        <w:rPr>
          <w:rFonts w:cs="Arial"/>
          <w:b/>
          <w:sz w:val="28"/>
          <w:szCs w:val="28"/>
        </w:rPr>
        <w:t>Informal Settlement Conference</w:t>
      </w:r>
    </w:p>
    <w:p w14:paraId="6B10497D" w14:textId="77777777" w:rsidR="00732D73" w:rsidRPr="00097B1A" w:rsidRDefault="00732D73" w:rsidP="007F177E">
      <w:pPr>
        <w:pStyle w:val="ListParagraph"/>
        <w:numPr>
          <w:ilvl w:val="0"/>
          <w:numId w:val="128"/>
        </w:numPr>
        <w:ind w:left="1080"/>
        <w:contextualSpacing w:val="0"/>
        <w:rPr>
          <w:rFonts w:cs="Arial"/>
        </w:rPr>
      </w:pPr>
      <w:r w:rsidRPr="00097B1A">
        <w:rPr>
          <w:rFonts w:cs="Arial"/>
        </w:rPr>
        <w:t xml:space="preserve">Any grievance must be presented in writing to the management office of the development in which the complainant resides </w:t>
      </w:r>
      <w:r w:rsidRPr="00097B1A">
        <w:rPr>
          <w:rFonts w:cs="Arial"/>
          <w:b/>
        </w:rPr>
        <w:t xml:space="preserve">within </w:t>
      </w:r>
      <w:r w:rsidR="006476BC">
        <w:rPr>
          <w:rFonts w:cs="Arial"/>
          <w:b/>
        </w:rPr>
        <w:t>fifteen (15) calendar</w:t>
      </w:r>
      <w:r w:rsidRPr="00097B1A">
        <w:rPr>
          <w:rFonts w:cs="Arial"/>
          <w:b/>
        </w:rPr>
        <w:t xml:space="preserve"> </w:t>
      </w:r>
      <w:r w:rsidR="006476BC">
        <w:rPr>
          <w:rFonts w:cs="Arial"/>
          <w:b/>
        </w:rPr>
        <w:t>d</w:t>
      </w:r>
      <w:r w:rsidRPr="00097B1A">
        <w:rPr>
          <w:rFonts w:cs="Arial"/>
          <w:b/>
        </w:rPr>
        <w:t>ays after the grievable event</w:t>
      </w:r>
      <w:r w:rsidRPr="00097B1A">
        <w:rPr>
          <w:rFonts w:cs="Arial"/>
        </w:rPr>
        <w:t>.</w:t>
      </w:r>
    </w:p>
    <w:p w14:paraId="6AE03B5D" w14:textId="77777777" w:rsidR="00732D73" w:rsidRPr="00097B1A" w:rsidRDefault="00732D73" w:rsidP="007F177E">
      <w:pPr>
        <w:pStyle w:val="ListParagraph"/>
        <w:numPr>
          <w:ilvl w:val="0"/>
          <w:numId w:val="128"/>
        </w:numPr>
        <w:ind w:left="1080"/>
        <w:contextualSpacing w:val="0"/>
        <w:rPr>
          <w:rFonts w:cs="Arial"/>
        </w:rPr>
      </w:pPr>
      <w:r w:rsidRPr="00097B1A">
        <w:rPr>
          <w:rFonts w:cs="Arial"/>
        </w:rPr>
        <w:t>Grievances related to complaints about operational matters that are received by the HHA’s central office will be referred to the management of the development in which the complainant resides.</w:t>
      </w:r>
    </w:p>
    <w:p w14:paraId="375261D6" w14:textId="77777777" w:rsidR="00732D73" w:rsidRPr="00097B1A" w:rsidRDefault="00732D73" w:rsidP="007F177E">
      <w:pPr>
        <w:pStyle w:val="ListParagraph"/>
        <w:numPr>
          <w:ilvl w:val="0"/>
          <w:numId w:val="128"/>
        </w:numPr>
        <w:ind w:left="1080"/>
        <w:contextualSpacing w:val="0"/>
        <w:rPr>
          <w:rFonts w:cs="Arial"/>
        </w:rPr>
      </w:pPr>
      <w:r w:rsidRPr="00097B1A">
        <w:rPr>
          <w:rFonts w:cs="Arial"/>
        </w:rPr>
        <w:t>As soon as the grievance is received, it will be reviewed by the management office of the development to be certain that none of the exclusions in paragraph 2 above applies to the grievance.  Should one of the exclusions apply, the complainant will be notified in writing that the matter raised is not subject to the HHA’s grievance policy, with the reason therefor.</w:t>
      </w:r>
    </w:p>
    <w:p w14:paraId="6E801CBD" w14:textId="77777777" w:rsidR="00732D73" w:rsidRPr="00097B1A" w:rsidRDefault="00732D73" w:rsidP="007F177E">
      <w:pPr>
        <w:pStyle w:val="ListParagraph"/>
        <w:numPr>
          <w:ilvl w:val="0"/>
          <w:numId w:val="128"/>
        </w:numPr>
        <w:ind w:left="1080"/>
        <w:contextualSpacing w:val="0"/>
        <w:rPr>
          <w:rFonts w:cs="Arial"/>
        </w:rPr>
      </w:pPr>
      <w:r w:rsidRPr="00097B1A">
        <w:rPr>
          <w:rFonts w:cs="Arial"/>
        </w:rPr>
        <w:t xml:space="preserve">If none of the exclusions cited above apply, the Tenant will be notified of an informal settlement conference appointment to be held </w:t>
      </w:r>
      <w:r w:rsidRPr="00097B1A">
        <w:rPr>
          <w:rFonts w:cs="Arial"/>
          <w:b/>
        </w:rPr>
        <w:t xml:space="preserve">within </w:t>
      </w:r>
      <w:r w:rsidR="006476BC">
        <w:rPr>
          <w:rFonts w:cs="Arial"/>
          <w:b/>
        </w:rPr>
        <w:t>fifteen (15) calendar</w:t>
      </w:r>
      <w:r w:rsidR="006476BC" w:rsidRPr="00097B1A">
        <w:rPr>
          <w:rFonts w:cs="Arial"/>
          <w:b/>
        </w:rPr>
        <w:t xml:space="preserve"> </w:t>
      </w:r>
      <w:r w:rsidR="006476BC">
        <w:rPr>
          <w:rFonts w:cs="Arial"/>
          <w:b/>
        </w:rPr>
        <w:t>d</w:t>
      </w:r>
      <w:r w:rsidR="006476BC" w:rsidRPr="00097B1A">
        <w:rPr>
          <w:rFonts w:cs="Arial"/>
          <w:b/>
        </w:rPr>
        <w:t>ays</w:t>
      </w:r>
      <w:r w:rsidRPr="00097B1A">
        <w:rPr>
          <w:rFonts w:cs="Arial"/>
        </w:rPr>
        <w:t>. At the informal settlement conference, the complainant will present the grievance and the person in charge of the management office will attempt to settle the grievance to the satisfaction of both parties.</w:t>
      </w:r>
    </w:p>
    <w:p w14:paraId="43DB823C" w14:textId="77777777" w:rsidR="00732D73" w:rsidRPr="00097B1A" w:rsidRDefault="00732D73" w:rsidP="007F177E">
      <w:pPr>
        <w:pStyle w:val="ListParagraph"/>
        <w:numPr>
          <w:ilvl w:val="0"/>
          <w:numId w:val="128"/>
        </w:numPr>
        <w:ind w:left="1080"/>
        <w:contextualSpacing w:val="0"/>
        <w:rPr>
          <w:rFonts w:cs="Arial"/>
        </w:rPr>
      </w:pPr>
      <w:r w:rsidRPr="00097B1A">
        <w:rPr>
          <w:rFonts w:cs="Arial"/>
        </w:rPr>
        <w:t>In the event that the Tenant wishes to reschedule an informal settlement conference, a request must be submitted in writing at least 24 hours before the scheduled conference.  The Request to Reschedule Hearing form is attached to this policy.  An informal settlement conference will only be rescheduled one (1) time.  The Tenant’s failure to appear at the rescheduled conference will be considered a waiver of his/her rights to the grievance procedure.</w:t>
      </w:r>
    </w:p>
    <w:p w14:paraId="57201023" w14:textId="77777777" w:rsidR="00732D73" w:rsidRPr="00097B1A" w:rsidRDefault="00732D73" w:rsidP="007F177E">
      <w:pPr>
        <w:pStyle w:val="ListParagraph"/>
        <w:numPr>
          <w:ilvl w:val="0"/>
          <w:numId w:val="128"/>
        </w:numPr>
        <w:ind w:left="1080"/>
        <w:contextualSpacing w:val="0"/>
        <w:rPr>
          <w:rFonts w:cs="Arial"/>
        </w:rPr>
      </w:pPr>
      <w:r w:rsidRPr="00097B1A">
        <w:rPr>
          <w:rFonts w:cs="Arial"/>
        </w:rPr>
        <w:t xml:space="preserve">Within </w:t>
      </w:r>
      <w:r w:rsidRPr="00097B1A">
        <w:rPr>
          <w:rFonts w:cs="Arial"/>
          <w:b/>
        </w:rPr>
        <w:t>five (5) business</w:t>
      </w:r>
      <w:r w:rsidRPr="00097B1A">
        <w:rPr>
          <w:rFonts w:cs="Arial"/>
        </w:rPr>
        <w:t xml:space="preserve"> </w:t>
      </w:r>
      <w:r w:rsidRPr="00097B1A">
        <w:rPr>
          <w:rFonts w:cs="Arial"/>
          <w:b/>
        </w:rPr>
        <w:t xml:space="preserve">days </w:t>
      </w:r>
      <w:r w:rsidRPr="00097B1A">
        <w:rPr>
          <w:rFonts w:cs="Arial"/>
        </w:rPr>
        <w:t xml:space="preserve">following the informal settlement conference, the management office shall prepare and either hand deliver or mail to Tenant a summary of the discussion that must specify the names of the participants, the dates of the meeting, the nature of the proposed disposition of the complaint and the specific reasons therefor, and the procedures by which a formal hearing under this policy may be obtained if the complainant is not satisfied.  A copy of the summary shall also be placed in Tenant’s file.  A receipt signed by the complainant or signed statement by a management staff member that the summary was both delivered to the Tenant’s unit and sent by first class mail, will be sufficient proof of time of delivery for the summary of the informal settlement conference. </w:t>
      </w:r>
    </w:p>
    <w:p w14:paraId="0417EE7A" w14:textId="77777777" w:rsidR="00732D73" w:rsidRPr="00882C22" w:rsidRDefault="00882C22" w:rsidP="007F177E">
      <w:pPr>
        <w:pStyle w:val="ListParagraph"/>
        <w:numPr>
          <w:ilvl w:val="0"/>
          <w:numId w:val="123"/>
        </w:numPr>
        <w:spacing w:after="200" w:line="276" w:lineRule="auto"/>
        <w:ind w:left="360"/>
        <w:contextualSpacing w:val="0"/>
        <w:jc w:val="left"/>
        <w:rPr>
          <w:rFonts w:cs="Arial"/>
          <w:b/>
          <w:sz w:val="28"/>
          <w:szCs w:val="28"/>
        </w:rPr>
      </w:pPr>
      <w:r w:rsidRPr="00882C22">
        <w:rPr>
          <w:rFonts w:cs="Arial"/>
          <w:b/>
          <w:sz w:val="28"/>
          <w:szCs w:val="28"/>
        </w:rPr>
        <w:t>Formal Hearing</w:t>
      </w:r>
    </w:p>
    <w:p w14:paraId="2524770B" w14:textId="77777777" w:rsidR="00732D73" w:rsidRPr="00A97E78" w:rsidRDefault="00732D73" w:rsidP="007F177E">
      <w:pPr>
        <w:pStyle w:val="ListParagraph"/>
        <w:numPr>
          <w:ilvl w:val="0"/>
          <w:numId w:val="127"/>
        </w:numPr>
        <w:contextualSpacing w:val="0"/>
        <w:rPr>
          <w:rFonts w:cs="Arial"/>
        </w:rPr>
      </w:pPr>
      <w:r w:rsidRPr="00A97E78">
        <w:rPr>
          <w:rFonts w:cs="Arial"/>
        </w:rPr>
        <w:t xml:space="preserve">If the complainant is dissatisfied with the outcome of the informal settlement conference, the complainant must submit a written request for a hearing to the management office of the development where Tenant resides </w:t>
      </w:r>
      <w:r w:rsidRPr="00A97E78">
        <w:rPr>
          <w:rFonts w:cs="Arial"/>
          <w:b/>
        </w:rPr>
        <w:t>no later than five (5) business days after the summary of the informal discussion is received</w:t>
      </w:r>
      <w:r w:rsidRPr="00A97E78">
        <w:rPr>
          <w:rFonts w:cs="Arial"/>
        </w:rPr>
        <w:t xml:space="preserve">.  </w:t>
      </w:r>
    </w:p>
    <w:p w14:paraId="02F7A7BC" w14:textId="77777777" w:rsidR="00732D73" w:rsidRPr="00A97E78" w:rsidRDefault="00732D73" w:rsidP="007F177E">
      <w:pPr>
        <w:pStyle w:val="ListParagraph"/>
        <w:numPr>
          <w:ilvl w:val="0"/>
          <w:numId w:val="127"/>
        </w:numPr>
        <w:contextualSpacing w:val="0"/>
        <w:rPr>
          <w:rFonts w:cs="Arial"/>
        </w:rPr>
      </w:pPr>
      <w:r w:rsidRPr="00A97E78">
        <w:rPr>
          <w:rFonts w:cs="Arial"/>
        </w:rPr>
        <w:t>If the complainant fails to request a formal hearing within five (5) business days after receiving the summary of the informal settlement conference, the decision rendered at the informal settlement conference becomes final and the HHA is not obligated to offer the complainant a formal hearing unless the complainant can show good cause why she/he failed to timely request a formal hearing in accordance with this policy. Failure to request a grievance hearing does not affect the complainant’s right to contest the HHA’s decision in a court hearing.</w:t>
      </w:r>
    </w:p>
    <w:p w14:paraId="71EA7664" w14:textId="77777777" w:rsidR="00732D73" w:rsidRPr="00882C22" w:rsidRDefault="00882C22" w:rsidP="007F177E">
      <w:pPr>
        <w:pStyle w:val="ListParagraph"/>
        <w:numPr>
          <w:ilvl w:val="0"/>
          <w:numId w:val="123"/>
        </w:numPr>
        <w:spacing w:after="200" w:line="276" w:lineRule="auto"/>
        <w:ind w:left="360"/>
        <w:contextualSpacing w:val="0"/>
        <w:jc w:val="left"/>
        <w:rPr>
          <w:rFonts w:cs="Arial"/>
          <w:b/>
          <w:sz w:val="28"/>
          <w:szCs w:val="28"/>
        </w:rPr>
      </w:pPr>
      <w:r w:rsidRPr="00882C22">
        <w:rPr>
          <w:rFonts w:cs="Arial"/>
          <w:b/>
          <w:sz w:val="28"/>
          <w:szCs w:val="28"/>
        </w:rPr>
        <w:t xml:space="preserve">Selecting </w:t>
      </w:r>
      <w:r>
        <w:rPr>
          <w:rFonts w:cs="Arial"/>
          <w:b/>
          <w:sz w:val="28"/>
          <w:szCs w:val="28"/>
        </w:rPr>
        <w:t>t</w:t>
      </w:r>
      <w:r w:rsidRPr="00882C22">
        <w:rPr>
          <w:rFonts w:cs="Arial"/>
          <w:b/>
          <w:sz w:val="28"/>
          <w:szCs w:val="28"/>
        </w:rPr>
        <w:t>he Hearing Officer</w:t>
      </w:r>
    </w:p>
    <w:p w14:paraId="4ACCC2C8" w14:textId="77777777" w:rsidR="00732D73" w:rsidRPr="00A97E78" w:rsidRDefault="00732D73" w:rsidP="007F177E">
      <w:pPr>
        <w:pStyle w:val="ListParagraph"/>
        <w:numPr>
          <w:ilvl w:val="0"/>
          <w:numId w:val="129"/>
        </w:numPr>
        <w:ind w:left="1080"/>
        <w:contextualSpacing w:val="0"/>
        <w:rPr>
          <w:rFonts w:cs="Arial"/>
        </w:rPr>
      </w:pPr>
      <w:r w:rsidRPr="00A97E78">
        <w:rPr>
          <w:rFonts w:cs="Arial"/>
        </w:rPr>
        <w:t>A grievance hearing shall be conducted by an impartial person or persons selected by the HHA, other than the person who made or approved the decision under review, or a subordinate of that person. The HHA has full time employees who will hear formal grievances. The hearing officer will not hear grievances in which they may have been involved in any capacity prior to the formal hearing.</w:t>
      </w:r>
    </w:p>
    <w:p w14:paraId="2C594527" w14:textId="77777777" w:rsidR="00732D73" w:rsidRPr="00882C22" w:rsidRDefault="00882C22" w:rsidP="007F177E">
      <w:pPr>
        <w:pStyle w:val="ListParagraph"/>
        <w:numPr>
          <w:ilvl w:val="0"/>
          <w:numId w:val="123"/>
        </w:numPr>
        <w:spacing w:after="200" w:line="276" w:lineRule="auto"/>
        <w:ind w:left="360"/>
        <w:contextualSpacing w:val="0"/>
        <w:jc w:val="left"/>
        <w:rPr>
          <w:rFonts w:cs="Arial"/>
          <w:b/>
          <w:sz w:val="28"/>
          <w:szCs w:val="28"/>
        </w:rPr>
      </w:pPr>
      <w:r w:rsidRPr="00882C22">
        <w:rPr>
          <w:rFonts w:cs="Arial"/>
          <w:b/>
          <w:sz w:val="28"/>
          <w:szCs w:val="28"/>
        </w:rPr>
        <w:t>Scheduling Formal Hearings</w:t>
      </w:r>
    </w:p>
    <w:p w14:paraId="77BEC27B" w14:textId="77777777" w:rsidR="00732D73" w:rsidRPr="00675FF9" w:rsidRDefault="00732D73" w:rsidP="00544785">
      <w:pPr>
        <w:rPr>
          <w:rFonts w:cs="Arial"/>
        </w:rPr>
      </w:pPr>
      <w:r w:rsidRPr="00675FF9">
        <w:rPr>
          <w:rFonts w:cs="Arial"/>
        </w:rPr>
        <w:t xml:space="preserve">When a complainant submits a timely request for a grievance hearing, the manager will submit the formal hearing request, along with a copy of the informal settlement conference written decision to the HHA. The request will be provided to the Hearing Officer, who will schedule the formal hearing.  </w:t>
      </w:r>
    </w:p>
    <w:p w14:paraId="6C37D64D" w14:textId="77777777" w:rsidR="00732D73" w:rsidRPr="00675FF9" w:rsidRDefault="00732D73" w:rsidP="00544785">
      <w:pPr>
        <w:rPr>
          <w:rFonts w:cs="Arial"/>
        </w:rPr>
      </w:pPr>
      <w:r w:rsidRPr="00675FF9">
        <w:rPr>
          <w:rFonts w:cs="Arial"/>
        </w:rPr>
        <w:t>Once the hearing has been scheduled, the complainant and the manager of the development in which the complainant resides shall be notified in writing. Notice to the complainant shall be in writing, either personally delivered to complainant or sent by first-class mail.</w:t>
      </w:r>
    </w:p>
    <w:p w14:paraId="35253E49" w14:textId="77777777" w:rsidR="00732D73" w:rsidRPr="00675FF9" w:rsidRDefault="00732D73" w:rsidP="00544785">
      <w:pPr>
        <w:rPr>
          <w:rFonts w:cs="Arial"/>
        </w:rPr>
      </w:pPr>
      <w:r w:rsidRPr="00675FF9">
        <w:rPr>
          <w:rFonts w:cs="Arial"/>
        </w:rPr>
        <w:t>The written notice will specify the time, place, and procedure governing the hearing, including how the Tenant can submit evidence for consideration.</w:t>
      </w:r>
    </w:p>
    <w:p w14:paraId="70D3492A" w14:textId="77777777" w:rsidR="00732D73" w:rsidRPr="00675FF9" w:rsidRDefault="00732D73" w:rsidP="00544785">
      <w:pPr>
        <w:rPr>
          <w:rFonts w:cs="Arial"/>
        </w:rPr>
      </w:pPr>
      <w:r w:rsidRPr="00675FF9">
        <w:rPr>
          <w:rFonts w:cs="Arial"/>
        </w:rPr>
        <w:t>In the event that the Tenant wishes to reschedule a formal hearing, a request must be submitted in writing at least 48 hours before the scheduled hearing. A formal hearing will only be rescheduled one (1) time. The Tenant’s failure to appear at the rescheduled hearing will be considered a waiver of his/her rights to the grievance procedure.</w:t>
      </w:r>
    </w:p>
    <w:p w14:paraId="74AAB782" w14:textId="77777777" w:rsidR="00732D73" w:rsidRPr="00882C22" w:rsidRDefault="00882C22" w:rsidP="007F177E">
      <w:pPr>
        <w:pStyle w:val="ListParagraph"/>
        <w:numPr>
          <w:ilvl w:val="0"/>
          <w:numId w:val="123"/>
        </w:numPr>
        <w:spacing w:after="200" w:line="276" w:lineRule="auto"/>
        <w:ind w:left="360"/>
        <w:contextualSpacing w:val="0"/>
        <w:jc w:val="left"/>
        <w:rPr>
          <w:rFonts w:cs="Arial"/>
          <w:b/>
          <w:sz w:val="28"/>
          <w:szCs w:val="28"/>
        </w:rPr>
      </w:pPr>
      <w:r w:rsidRPr="00882C22">
        <w:rPr>
          <w:rFonts w:cs="Arial"/>
          <w:b/>
          <w:sz w:val="28"/>
          <w:szCs w:val="28"/>
        </w:rPr>
        <w:t xml:space="preserve">Procedures Governing </w:t>
      </w:r>
      <w:r>
        <w:rPr>
          <w:rFonts w:cs="Arial"/>
          <w:b/>
          <w:sz w:val="28"/>
          <w:szCs w:val="28"/>
        </w:rPr>
        <w:t>t</w:t>
      </w:r>
      <w:r w:rsidRPr="00882C22">
        <w:rPr>
          <w:rFonts w:cs="Arial"/>
          <w:b/>
          <w:sz w:val="28"/>
          <w:szCs w:val="28"/>
        </w:rPr>
        <w:t>he Formal Hearing</w:t>
      </w:r>
    </w:p>
    <w:p w14:paraId="544EDBC1" w14:textId="77777777" w:rsidR="00732D73" w:rsidRPr="00C94D9B" w:rsidRDefault="00732D73" w:rsidP="007F177E">
      <w:pPr>
        <w:pStyle w:val="ListParagraph"/>
        <w:numPr>
          <w:ilvl w:val="0"/>
          <w:numId w:val="134"/>
        </w:numPr>
        <w:contextualSpacing w:val="0"/>
        <w:rPr>
          <w:rFonts w:cs="Arial"/>
        </w:rPr>
      </w:pPr>
      <w:r w:rsidRPr="00C94D9B">
        <w:rPr>
          <w:rFonts w:cs="Arial"/>
        </w:rPr>
        <w:t xml:space="preserve">The formal hearing shall be held before a hearing officer.  </w:t>
      </w:r>
    </w:p>
    <w:p w14:paraId="705159BF" w14:textId="77777777" w:rsidR="00732D73" w:rsidRPr="00B0602D" w:rsidRDefault="00732D73" w:rsidP="007F177E">
      <w:pPr>
        <w:pStyle w:val="ListParagraph"/>
        <w:numPr>
          <w:ilvl w:val="0"/>
          <w:numId w:val="136"/>
        </w:numPr>
        <w:ind w:left="1440"/>
        <w:contextualSpacing w:val="0"/>
        <w:rPr>
          <w:rFonts w:cs="Arial"/>
        </w:rPr>
      </w:pPr>
      <w:r w:rsidRPr="00B0602D">
        <w:rPr>
          <w:rFonts w:cs="Arial"/>
        </w:rPr>
        <w:t>The hearing officer may render a decision without proceeding with the hearing if he/she determines that the issue has been previously decided in another proceeding.</w:t>
      </w:r>
    </w:p>
    <w:p w14:paraId="7BECDE08" w14:textId="77777777" w:rsidR="00732D73" w:rsidRPr="00C94D9B" w:rsidRDefault="00732D73" w:rsidP="007F177E">
      <w:pPr>
        <w:pStyle w:val="ListParagraph"/>
        <w:numPr>
          <w:ilvl w:val="0"/>
          <w:numId w:val="134"/>
        </w:numPr>
        <w:contextualSpacing w:val="0"/>
        <w:rPr>
          <w:rFonts w:cs="Arial"/>
        </w:rPr>
      </w:pPr>
      <w:r w:rsidRPr="00C94D9B">
        <w:rPr>
          <w:rFonts w:cs="Arial"/>
        </w:rPr>
        <w:t>The complainant shall be afforded a fair hearing, which shall include:</w:t>
      </w:r>
    </w:p>
    <w:p w14:paraId="490EDD9B" w14:textId="77777777" w:rsidR="00732D73" w:rsidRPr="00C94D9B" w:rsidRDefault="00732D73" w:rsidP="007F177E">
      <w:pPr>
        <w:pStyle w:val="ListParagraph"/>
        <w:numPr>
          <w:ilvl w:val="0"/>
          <w:numId w:val="137"/>
        </w:numPr>
        <w:contextualSpacing w:val="0"/>
        <w:rPr>
          <w:rFonts w:cs="Arial"/>
        </w:rPr>
      </w:pPr>
      <w:r w:rsidRPr="00C94D9B">
        <w:rPr>
          <w:rFonts w:cs="Arial"/>
        </w:rPr>
        <w:t xml:space="preserve">The opportunity before the hearing, upon written request, to examine any HHA documents, including records and regulations that are directly relevant to the hearing. The Tenant shall be allowed to copy any such document at the Tenant’s expense.  If the HHA does not make the documents available following such written request for examination from the complainant, the HHA may not rely on such documents at the grievance hearing.  Requests to review documentation must be received in writing at least three (3) days prior to the scheduled hearing. The Tenant’s failure to submit a timely request to review documentation will not result in a hearing being rescheduled except as described above. </w:t>
      </w:r>
    </w:p>
    <w:p w14:paraId="5A585128" w14:textId="77777777" w:rsidR="00732D73" w:rsidRPr="00C94D9B" w:rsidRDefault="00732D73" w:rsidP="007F177E">
      <w:pPr>
        <w:pStyle w:val="ListParagraph"/>
        <w:numPr>
          <w:ilvl w:val="0"/>
          <w:numId w:val="137"/>
        </w:numPr>
        <w:contextualSpacing w:val="0"/>
        <w:rPr>
          <w:rFonts w:cs="Arial"/>
        </w:rPr>
      </w:pPr>
      <w:r w:rsidRPr="00C94D9B">
        <w:rPr>
          <w:rFonts w:cs="Arial"/>
        </w:rPr>
        <w:t>The right to be represented by counsel or other person chosen as the Tenant’s representative and to have such representative make statements on the Tenant’s behalf.</w:t>
      </w:r>
    </w:p>
    <w:p w14:paraId="092E612C" w14:textId="77777777" w:rsidR="00732D73" w:rsidRPr="00C94D9B" w:rsidRDefault="00732D73" w:rsidP="007F177E">
      <w:pPr>
        <w:pStyle w:val="ListParagraph"/>
        <w:numPr>
          <w:ilvl w:val="0"/>
          <w:numId w:val="137"/>
        </w:numPr>
        <w:contextualSpacing w:val="0"/>
        <w:rPr>
          <w:rFonts w:cs="Arial"/>
        </w:rPr>
      </w:pPr>
      <w:r w:rsidRPr="00C94D9B">
        <w:rPr>
          <w:rFonts w:cs="Arial"/>
        </w:rPr>
        <w:t xml:space="preserve">The right to a private hearing unless the complainant requests a public hearing. </w:t>
      </w:r>
    </w:p>
    <w:p w14:paraId="53528F34" w14:textId="77777777" w:rsidR="00732D73" w:rsidRPr="00C94D9B" w:rsidRDefault="00732D73" w:rsidP="007F177E">
      <w:pPr>
        <w:pStyle w:val="ListParagraph"/>
        <w:numPr>
          <w:ilvl w:val="0"/>
          <w:numId w:val="137"/>
        </w:numPr>
        <w:contextualSpacing w:val="0"/>
        <w:rPr>
          <w:rFonts w:cs="Arial"/>
        </w:rPr>
      </w:pPr>
      <w:r w:rsidRPr="00C94D9B">
        <w:rPr>
          <w:rFonts w:cs="Arial"/>
        </w:rPr>
        <w:t>The right to present evidence and arguments in support of the Tenant’s complaint or to controvert evidence relied on by the HHA or management, and to confront and cross examine all witnesses upon whose testimony or information the HHA or management relies; and</w:t>
      </w:r>
    </w:p>
    <w:p w14:paraId="214C9CE7" w14:textId="77777777" w:rsidR="00732D73" w:rsidRPr="00C94D9B" w:rsidRDefault="00732D73" w:rsidP="007F177E">
      <w:pPr>
        <w:pStyle w:val="ListParagraph"/>
        <w:numPr>
          <w:ilvl w:val="0"/>
          <w:numId w:val="137"/>
        </w:numPr>
        <w:contextualSpacing w:val="0"/>
        <w:rPr>
          <w:rFonts w:cs="Arial"/>
        </w:rPr>
      </w:pPr>
      <w:r w:rsidRPr="00C94D9B">
        <w:rPr>
          <w:rFonts w:cs="Arial"/>
        </w:rPr>
        <w:t>A decision based solely and exclusively upon the facts presented at the hearing.</w:t>
      </w:r>
    </w:p>
    <w:p w14:paraId="132C09AF" w14:textId="77777777" w:rsidR="00732D73" w:rsidRPr="00C94D9B" w:rsidRDefault="00732D73" w:rsidP="007F177E">
      <w:pPr>
        <w:pStyle w:val="ListParagraph"/>
        <w:numPr>
          <w:ilvl w:val="0"/>
          <w:numId w:val="134"/>
        </w:numPr>
        <w:contextualSpacing w:val="0"/>
        <w:rPr>
          <w:rFonts w:cs="Arial"/>
        </w:rPr>
      </w:pPr>
      <w:r w:rsidRPr="00C94D9B">
        <w:rPr>
          <w:rFonts w:cs="Arial"/>
        </w:rPr>
        <w:t>Hearing Format</w:t>
      </w:r>
    </w:p>
    <w:p w14:paraId="1B7C4828" w14:textId="77777777" w:rsidR="00732D73" w:rsidRPr="00C94D9B" w:rsidRDefault="00732D73" w:rsidP="007F177E">
      <w:pPr>
        <w:pStyle w:val="ListParagraph"/>
        <w:numPr>
          <w:ilvl w:val="2"/>
          <w:numId w:val="138"/>
        </w:numPr>
        <w:contextualSpacing w:val="0"/>
        <w:rPr>
          <w:rFonts w:cs="Arial"/>
          <w:bCs/>
        </w:rPr>
      </w:pPr>
      <w:r w:rsidRPr="00C94D9B">
        <w:rPr>
          <w:rFonts w:cs="Arial"/>
          <w:bCs/>
        </w:rPr>
        <w:t>Virtual Hearings: Formal hearings are primarily held virtually through Zoom. Tenants can choose to participate either by video or phone.</w:t>
      </w:r>
    </w:p>
    <w:p w14:paraId="09E8E83F" w14:textId="77777777" w:rsidR="00732D73" w:rsidRPr="00C94D9B" w:rsidRDefault="00732D73" w:rsidP="007F177E">
      <w:pPr>
        <w:pStyle w:val="ListParagraph"/>
        <w:numPr>
          <w:ilvl w:val="3"/>
          <w:numId w:val="139"/>
        </w:numPr>
        <w:ind w:left="2160"/>
        <w:contextualSpacing w:val="0"/>
        <w:rPr>
          <w:rFonts w:cs="Arial"/>
          <w:bCs/>
        </w:rPr>
      </w:pPr>
      <w:r w:rsidRPr="00C94D9B">
        <w:rPr>
          <w:rFonts w:cs="Arial"/>
          <w:bCs/>
        </w:rPr>
        <w:t xml:space="preserve">The hearing officer will open the Zoom waiting room to allow the participant and the HHA representative to enter to begin the hearing. Both the HHA and the participant will be allowed fifteen (15) minutes to enter the Zoom waiting room to begin the hearing. If either party fails to enter the waiting room within fifteen (15) minutes of the scheduled hearing time, the absent party will have waived their right to a hearing. </w:t>
      </w:r>
    </w:p>
    <w:p w14:paraId="472277D4" w14:textId="77777777" w:rsidR="00732D73" w:rsidRPr="00B0602D" w:rsidRDefault="00732D73" w:rsidP="007F177E">
      <w:pPr>
        <w:pStyle w:val="ListParagraph"/>
        <w:numPr>
          <w:ilvl w:val="2"/>
          <w:numId w:val="138"/>
        </w:numPr>
        <w:contextualSpacing w:val="0"/>
        <w:rPr>
          <w:rFonts w:cs="Arial"/>
          <w:bCs/>
        </w:rPr>
      </w:pPr>
      <w:r w:rsidRPr="00C94D9B">
        <w:rPr>
          <w:rFonts w:cs="Arial"/>
          <w:bCs/>
        </w:rPr>
        <w:t xml:space="preserve">If the participant experiences difficulties entering the videoconference waiting room at the time of their scheduled hearing, the participant may call the property management office to advise of their issue. </w:t>
      </w:r>
    </w:p>
    <w:p w14:paraId="105BC9AC" w14:textId="77777777" w:rsidR="00732D73" w:rsidRPr="00C94D9B" w:rsidRDefault="00732D73" w:rsidP="007F177E">
      <w:pPr>
        <w:pStyle w:val="ListParagraph"/>
        <w:numPr>
          <w:ilvl w:val="2"/>
          <w:numId w:val="138"/>
        </w:numPr>
        <w:contextualSpacing w:val="0"/>
        <w:rPr>
          <w:rFonts w:cs="Arial"/>
          <w:bCs/>
        </w:rPr>
      </w:pPr>
      <w:r w:rsidRPr="00C94D9B">
        <w:rPr>
          <w:rFonts w:cs="Arial"/>
          <w:bCs/>
        </w:rPr>
        <w:t>In-Person Hearings: Tenants who are unable to participate in a virtual hearing can request that an in-person hearing be scheduled. In-person hearings will be conducted at the HHA’s office at 2640 Fountain View.</w:t>
      </w:r>
    </w:p>
    <w:p w14:paraId="2C54942B" w14:textId="77777777" w:rsidR="00732D73" w:rsidRPr="00C94D9B" w:rsidRDefault="00732D73" w:rsidP="007F177E">
      <w:pPr>
        <w:pStyle w:val="ListParagraph"/>
        <w:numPr>
          <w:ilvl w:val="2"/>
          <w:numId w:val="138"/>
        </w:numPr>
        <w:contextualSpacing w:val="0"/>
        <w:rPr>
          <w:rFonts w:cs="Arial"/>
          <w:bCs/>
        </w:rPr>
      </w:pPr>
      <w:r w:rsidRPr="00C94D9B">
        <w:rPr>
          <w:rFonts w:cs="Arial"/>
          <w:bCs/>
        </w:rPr>
        <w:t>The HHA will ensure equal opportunity and nondiscrimination for individuals with disabilities and limited English proficient (LEP) persons under Section 504 of the Rehabilitation Act of 1973 (Section 504), the Americans with Disabilities Act of 1990 (ADA), Title VI of the Civil Rights Act of 1964, and the Fair Housing Act. HHA will make reasonable accommodations in policies, practices, and procedures to ensure persons with disabilities have equal opportunity to participate in all HHA’s privileges, benefits, and services, including informal hearings.</w:t>
      </w:r>
    </w:p>
    <w:p w14:paraId="43C4F071" w14:textId="77777777" w:rsidR="00732D73" w:rsidRPr="00D55436" w:rsidRDefault="00732D73" w:rsidP="007F177E">
      <w:pPr>
        <w:pStyle w:val="ListParagraph"/>
        <w:numPr>
          <w:ilvl w:val="0"/>
          <w:numId w:val="134"/>
        </w:numPr>
        <w:contextualSpacing w:val="0"/>
        <w:rPr>
          <w:rFonts w:cs="Arial"/>
        </w:rPr>
      </w:pPr>
      <w:r w:rsidRPr="00C94D9B">
        <w:rPr>
          <w:rFonts w:cs="Arial"/>
        </w:rPr>
        <w:t>At the hearing, the complainant must first make a showing of an entitlement to the relief sought, and, thereafter, the HHA must sustain the burden of justifying the HHA action or failure to act against which the complaint is directed.</w:t>
      </w:r>
    </w:p>
    <w:p w14:paraId="7548E914" w14:textId="77777777" w:rsidR="00732D73" w:rsidRPr="00D55436" w:rsidRDefault="00732D73" w:rsidP="007F177E">
      <w:pPr>
        <w:pStyle w:val="ListParagraph"/>
        <w:numPr>
          <w:ilvl w:val="0"/>
          <w:numId w:val="134"/>
        </w:numPr>
        <w:contextualSpacing w:val="0"/>
        <w:rPr>
          <w:rFonts w:cs="Arial"/>
        </w:rPr>
      </w:pPr>
      <w:r w:rsidRPr="00C94D9B">
        <w:rPr>
          <w:rFonts w:cs="Arial"/>
        </w:rPr>
        <w:t>The hearing shall be conducted informally by the hearing officer. Oral or documentary evidence pertinent to the facts and issues raised by the complaint may be received without regard to admissibility under the rules of evidence applicable to judicial proceedings.</w:t>
      </w:r>
    </w:p>
    <w:p w14:paraId="09228FCB" w14:textId="77777777" w:rsidR="00732D73" w:rsidRPr="00D55436" w:rsidRDefault="00732D73" w:rsidP="007F177E">
      <w:pPr>
        <w:pStyle w:val="ListParagraph"/>
        <w:numPr>
          <w:ilvl w:val="0"/>
          <w:numId w:val="134"/>
        </w:numPr>
        <w:contextualSpacing w:val="0"/>
        <w:rPr>
          <w:rFonts w:cs="Arial"/>
        </w:rPr>
      </w:pPr>
      <w:r w:rsidRPr="00C94D9B">
        <w:rPr>
          <w:rFonts w:cs="Arial"/>
        </w:rPr>
        <w:t>The hearing officer shall require the HHA, the complainant, counsel, and other participants or spectators to conduct themselves in an orderly fashion. Failure to comply with the directions of the hearing officer to maintain order may result in exclusion from the proceedings or in a decision adverse to the interests of the disorderly party and granting or denial of the relief sought, as appropriate.</w:t>
      </w:r>
    </w:p>
    <w:p w14:paraId="0DF3050A" w14:textId="77777777" w:rsidR="00732D73" w:rsidRPr="00D55436" w:rsidRDefault="00732D73" w:rsidP="007F177E">
      <w:pPr>
        <w:pStyle w:val="ListParagraph"/>
        <w:numPr>
          <w:ilvl w:val="0"/>
          <w:numId w:val="134"/>
        </w:numPr>
        <w:contextualSpacing w:val="0"/>
        <w:rPr>
          <w:rFonts w:cs="Arial"/>
        </w:rPr>
      </w:pPr>
      <w:r w:rsidRPr="00C94D9B">
        <w:rPr>
          <w:rFonts w:cs="Arial"/>
        </w:rPr>
        <w:t>The complainant or the HHA may arrange, in advance and at the expense of the party making the arrangement, for a transcript of the hearing.  Any interested party may purchase a copy of such transcript.</w:t>
      </w:r>
    </w:p>
    <w:p w14:paraId="3F14FD24" w14:textId="77777777" w:rsidR="00732D73" w:rsidRPr="00D55436" w:rsidRDefault="00732D73" w:rsidP="007F177E">
      <w:pPr>
        <w:pStyle w:val="ListParagraph"/>
        <w:numPr>
          <w:ilvl w:val="0"/>
          <w:numId w:val="134"/>
        </w:numPr>
        <w:contextualSpacing w:val="0"/>
        <w:rPr>
          <w:rFonts w:cs="Arial"/>
        </w:rPr>
      </w:pPr>
      <w:r w:rsidRPr="00C94D9B">
        <w:rPr>
          <w:rFonts w:cs="Arial"/>
        </w:rPr>
        <w:t>The HHA must provide reasonable accommodation for persons with disabilities to participate in the hearing.  Reasonable accommodation may include qualified sign language interpreters, readers, accessible locations, or attendants.  If the Tenant is visually impaired, any notice to the Tenant that is required under this policy must be in an accessible format.  It is the Tenant’s responsibility to advise the HHA at least 48 hours in advance of any reasonable accommodations needed for the hearing.</w:t>
      </w:r>
    </w:p>
    <w:p w14:paraId="234023E0" w14:textId="77777777" w:rsidR="00732D73" w:rsidRPr="00882C22" w:rsidRDefault="00882C22" w:rsidP="007F177E">
      <w:pPr>
        <w:pStyle w:val="ListParagraph"/>
        <w:numPr>
          <w:ilvl w:val="0"/>
          <w:numId w:val="123"/>
        </w:numPr>
        <w:spacing w:after="200" w:line="276" w:lineRule="auto"/>
        <w:ind w:left="360"/>
        <w:contextualSpacing w:val="0"/>
        <w:jc w:val="left"/>
        <w:rPr>
          <w:rFonts w:cs="Arial"/>
          <w:b/>
          <w:sz w:val="28"/>
          <w:szCs w:val="28"/>
        </w:rPr>
      </w:pPr>
      <w:r w:rsidRPr="00882C22">
        <w:rPr>
          <w:rFonts w:cs="Arial"/>
          <w:b/>
          <w:sz w:val="28"/>
          <w:szCs w:val="28"/>
        </w:rPr>
        <w:t xml:space="preserve">Failure </w:t>
      </w:r>
      <w:r>
        <w:rPr>
          <w:rFonts w:cs="Arial"/>
          <w:b/>
          <w:sz w:val="28"/>
          <w:szCs w:val="28"/>
        </w:rPr>
        <w:t>t</w:t>
      </w:r>
      <w:r w:rsidRPr="00882C22">
        <w:rPr>
          <w:rFonts w:cs="Arial"/>
          <w:b/>
          <w:sz w:val="28"/>
          <w:szCs w:val="28"/>
        </w:rPr>
        <w:t xml:space="preserve">o Appear </w:t>
      </w:r>
      <w:r>
        <w:rPr>
          <w:rFonts w:cs="Arial"/>
          <w:b/>
          <w:sz w:val="28"/>
          <w:szCs w:val="28"/>
        </w:rPr>
        <w:t>a</w:t>
      </w:r>
      <w:r w:rsidRPr="00882C22">
        <w:rPr>
          <w:rFonts w:cs="Arial"/>
          <w:b/>
          <w:sz w:val="28"/>
          <w:szCs w:val="28"/>
        </w:rPr>
        <w:t xml:space="preserve">t </w:t>
      </w:r>
      <w:r>
        <w:rPr>
          <w:rFonts w:cs="Arial"/>
          <w:b/>
          <w:sz w:val="28"/>
          <w:szCs w:val="28"/>
        </w:rPr>
        <w:t>t</w:t>
      </w:r>
      <w:r w:rsidRPr="00882C22">
        <w:rPr>
          <w:rFonts w:cs="Arial"/>
          <w:b/>
          <w:sz w:val="28"/>
          <w:szCs w:val="28"/>
        </w:rPr>
        <w:t>he Hearing</w:t>
      </w:r>
    </w:p>
    <w:p w14:paraId="6EACFB06" w14:textId="77777777" w:rsidR="00732D73" w:rsidRPr="00B0602D" w:rsidRDefault="00732D73" w:rsidP="007F177E">
      <w:pPr>
        <w:pStyle w:val="ListParagraph"/>
        <w:numPr>
          <w:ilvl w:val="0"/>
          <w:numId w:val="130"/>
        </w:numPr>
        <w:ind w:left="1080"/>
        <w:contextualSpacing w:val="0"/>
        <w:rPr>
          <w:rFonts w:cs="Arial"/>
        </w:rPr>
      </w:pPr>
      <w:r w:rsidRPr="00B0602D">
        <w:rPr>
          <w:rFonts w:cs="Arial"/>
        </w:rPr>
        <w:t>If the complainant or the HHA fails to check in (either to the Zoom waiting room for a virtual hearing or the HHA lobby, for in-person hearings) for their hearing within fifteen (15) minutes of their scheduled start time, they are considered to have failed to appear.</w:t>
      </w:r>
    </w:p>
    <w:p w14:paraId="7D270D49" w14:textId="77777777" w:rsidR="00732D73" w:rsidRPr="00B0602D" w:rsidRDefault="00732D73" w:rsidP="007F177E">
      <w:pPr>
        <w:pStyle w:val="ListParagraph"/>
        <w:numPr>
          <w:ilvl w:val="0"/>
          <w:numId w:val="130"/>
        </w:numPr>
        <w:ind w:left="1080"/>
        <w:contextualSpacing w:val="0"/>
        <w:rPr>
          <w:rFonts w:cs="Arial"/>
        </w:rPr>
      </w:pPr>
      <w:r w:rsidRPr="00B0602D">
        <w:rPr>
          <w:rFonts w:cs="Arial"/>
        </w:rPr>
        <w:t xml:space="preserve">If the complainant or the HHA fails to appear at the scheduled hearing, the hearing officer may make a determination to postpone the hearing for no more than </w:t>
      </w:r>
      <w:r w:rsidRPr="00B0602D">
        <w:rPr>
          <w:rFonts w:cs="Arial"/>
          <w:b/>
        </w:rPr>
        <w:t>five (5) business days</w:t>
      </w:r>
      <w:r w:rsidRPr="00B0602D">
        <w:rPr>
          <w:rFonts w:cs="Arial"/>
        </w:rPr>
        <w:t xml:space="preserve"> or may make a determination that the party has waived the right to a hearing.</w:t>
      </w:r>
    </w:p>
    <w:p w14:paraId="5E35B050" w14:textId="77777777" w:rsidR="00732D73" w:rsidRPr="00B0602D" w:rsidRDefault="00732D73" w:rsidP="007F177E">
      <w:pPr>
        <w:pStyle w:val="ListParagraph"/>
        <w:numPr>
          <w:ilvl w:val="0"/>
          <w:numId w:val="130"/>
        </w:numPr>
        <w:ind w:left="1080"/>
        <w:contextualSpacing w:val="0"/>
        <w:rPr>
          <w:rFonts w:cs="Arial"/>
        </w:rPr>
      </w:pPr>
      <w:r w:rsidRPr="00B0602D">
        <w:rPr>
          <w:rFonts w:cs="Arial"/>
        </w:rPr>
        <w:t>Both the complainant and the HHA shall be notified of the determination by the hearing officer. A determination that the complainant has waived his/her right to a hearing shall not constitute a waiver of any right the complainant may have to contest the HHA’s disposition of the grievance in court.</w:t>
      </w:r>
    </w:p>
    <w:p w14:paraId="4CB9E493" w14:textId="77777777" w:rsidR="00732D73" w:rsidRPr="00B0602D" w:rsidRDefault="00732D73" w:rsidP="007F177E">
      <w:pPr>
        <w:pStyle w:val="ListParagraph"/>
        <w:numPr>
          <w:ilvl w:val="0"/>
          <w:numId w:val="130"/>
        </w:numPr>
        <w:ind w:left="1080"/>
        <w:contextualSpacing w:val="0"/>
        <w:rPr>
          <w:rFonts w:cs="Arial"/>
        </w:rPr>
      </w:pPr>
      <w:r w:rsidRPr="00B0602D">
        <w:rPr>
          <w:rFonts w:cs="Arial"/>
        </w:rPr>
        <w:t xml:space="preserve">If the complainant failed to appear at the scheduled time and was unable to reschedule the hearing in advance due to the nature of the conflict, the complainant must contact property management or the HHA in writing within 24 hours of the missed hearing, excluding holidays and weekends. </w:t>
      </w:r>
    </w:p>
    <w:p w14:paraId="1282AA61" w14:textId="77777777" w:rsidR="00732D73" w:rsidRPr="00B0602D" w:rsidRDefault="00732D73" w:rsidP="007F177E">
      <w:pPr>
        <w:pStyle w:val="ListParagraph"/>
        <w:numPr>
          <w:ilvl w:val="0"/>
          <w:numId w:val="130"/>
        </w:numPr>
        <w:ind w:left="1080"/>
        <w:contextualSpacing w:val="0"/>
        <w:rPr>
          <w:rFonts w:cs="Arial"/>
        </w:rPr>
      </w:pPr>
      <w:r w:rsidRPr="00B0602D">
        <w:rPr>
          <w:rFonts w:cs="Arial"/>
        </w:rPr>
        <w:t>HHA will reschedule the hearing only if the complainant can show good cause for failure to appear. Good cause is defined as an unavoidable conflict which seriously affects the health, safety, or welfare of the participant.</w:t>
      </w:r>
    </w:p>
    <w:p w14:paraId="39CF0FF3" w14:textId="77777777" w:rsidR="00732D73" w:rsidRPr="00B0602D" w:rsidRDefault="00882C22" w:rsidP="007F177E">
      <w:pPr>
        <w:pStyle w:val="ListParagraph"/>
        <w:numPr>
          <w:ilvl w:val="0"/>
          <w:numId w:val="123"/>
        </w:numPr>
        <w:spacing w:after="200" w:line="276" w:lineRule="auto"/>
        <w:ind w:left="360"/>
        <w:contextualSpacing w:val="0"/>
        <w:jc w:val="left"/>
        <w:rPr>
          <w:rFonts w:cs="Arial"/>
          <w:b/>
          <w:sz w:val="28"/>
          <w:szCs w:val="28"/>
        </w:rPr>
      </w:pPr>
      <w:r w:rsidRPr="00882C22">
        <w:rPr>
          <w:rFonts w:cs="Arial"/>
          <w:b/>
          <w:sz w:val="28"/>
          <w:szCs w:val="28"/>
        </w:rPr>
        <w:t xml:space="preserve">Decision </w:t>
      </w:r>
      <w:r>
        <w:rPr>
          <w:rFonts w:cs="Arial"/>
          <w:b/>
          <w:sz w:val="28"/>
          <w:szCs w:val="28"/>
        </w:rPr>
        <w:t>o</w:t>
      </w:r>
      <w:r w:rsidRPr="00882C22">
        <w:rPr>
          <w:rFonts w:cs="Arial"/>
          <w:b/>
          <w:sz w:val="28"/>
          <w:szCs w:val="28"/>
        </w:rPr>
        <w:t xml:space="preserve">f </w:t>
      </w:r>
      <w:r>
        <w:rPr>
          <w:rFonts w:cs="Arial"/>
          <w:b/>
          <w:sz w:val="28"/>
          <w:szCs w:val="28"/>
        </w:rPr>
        <w:t>t</w:t>
      </w:r>
      <w:r w:rsidRPr="00882C22">
        <w:rPr>
          <w:rFonts w:cs="Arial"/>
          <w:b/>
          <w:sz w:val="28"/>
          <w:szCs w:val="28"/>
        </w:rPr>
        <w:t>he Hearing Officer</w:t>
      </w:r>
    </w:p>
    <w:p w14:paraId="57A3A668" w14:textId="77777777" w:rsidR="00732D73" w:rsidRPr="00B0602D" w:rsidRDefault="00732D73" w:rsidP="007F177E">
      <w:pPr>
        <w:pStyle w:val="ListParagraph"/>
        <w:numPr>
          <w:ilvl w:val="0"/>
          <w:numId w:val="131"/>
        </w:numPr>
        <w:ind w:left="1080"/>
        <w:contextualSpacing w:val="0"/>
        <w:rPr>
          <w:rFonts w:cs="Arial"/>
        </w:rPr>
      </w:pPr>
      <w:r w:rsidRPr="00B0602D">
        <w:rPr>
          <w:rFonts w:cs="Arial"/>
        </w:rPr>
        <w:t xml:space="preserve">The hearing officer shall prepare a written decision with the reasons for the decision </w:t>
      </w:r>
      <w:r w:rsidRPr="00B0602D">
        <w:rPr>
          <w:rFonts w:cs="Arial"/>
          <w:b/>
        </w:rPr>
        <w:t>within fifteen (15) calendar days</w:t>
      </w:r>
      <w:r w:rsidRPr="00B0602D">
        <w:rPr>
          <w:rFonts w:cs="Arial"/>
        </w:rPr>
        <w:t xml:space="preserve"> after the hearing.  A copy of the decision shall be sent to the complainant and the HHA.</w:t>
      </w:r>
    </w:p>
    <w:p w14:paraId="3C33C869" w14:textId="77777777" w:rsidR="00732D73" w:rsidRPr="00B0602D" w:rsidRDefault="00732D73" w:rsidP="007F177E">
      <w:pPr>
        <w:pStyle w:val="ListParagraph"/>
        <w:numPr>
          <w:ilvl w:val="0"/>
          <w:numId w:val="131"/>
        </w:numPr>
        <w:ind w:left="1080"/>
        <w:contextualSpacing w:val="0"/>
        <w:rPr>
          <w:rFonts w:cs="Arial"/>
        </w:rPr>
      </w:pPr>
      <w:r w:rsidRPr="00B0602D">
        <w:rPr>
          <w:rFonts w:cs="Arial"/>
        </w:rPr>
        <w:t>The HHA shall retain a copy of the decision in the Tenant’s file.  A copy of the decision shall also be maintained on file by the HHA and made available for inspection by a prospective complainant, their representative, or the hearing officer.</w:t>
      </w:r>
    </w:p>
    <w:p w14:paraId="299C3BD0" w14:textId="77777777" w:rsidR="00732D73" w:rsidRPr="00B0602D" w:rsidRDefault="00732D73" w:rsidP="007F177E">
      <w:pPr>
        <w:pStyle w:val="ListParagraph"/>
        <w:numPr>
          <w:ilvl w:val="0"/>
          <w:numId w:val="131"/>
        </w:numPr>
        <w:ind w:left="1080"/>
        <w:contextualSpacing w:val="0"/>
        <w:rPr>
          <w:rFonts w:cs="Arial"/>
        </w:rPr>
      </w:pPr>
      <w:r w:rsidRPr="00B0602D">
        <w:rPr>
          <w:rFonts w:cs="Arial"/>
        </w:rPr>
        <w:t>The decision of the hearing officer shall be binding on the HHA, which shall take all actions, or refrain from any actions, necessary to carry out the decision unless the HHA’s Board of Commissioners determines within ten (10) business days, and promptly notifies the complainant of its determination, that:</w:t>
      </w:r>
    </w:p>
    <w:p w14:paraId="69AF61F8" w14:textId="77777777" w:rsidR="00732D73" w:rsidRPr="00B0602D" w:rsidRDefault="00732D73" w:rsidP="007F177E">
      <w:pPr>
        <w:pStyle w:val="ListParagraph"/>
        <w:numPr>
          <w:ilvl w:val="2"/>
          <w:numId w:val="140"/>
        </w:numPr>
        <w:contextualSpacing w:val="0"/>
        <w:rPr>
          <w:rFonts w:cs="Arial"/>
        </w:rPr>
      </w:pPr>
      <w:r w:rsidRPr="00B0602D">
        <w:rPr>
          <w:rFonts w:cs="Arial"/>
        </w:rPr>
        <w:t>The grievance does not concern HHA’s action or failure to act in accordance with or involving the complainant’s lease or HHA regulations, which adversely affect the complainant’s rights, duties, welfare, or status.</w:t>
      </w:r>
    </w:p>
    <w:p w14:paraId="084E44E8" w14:textId="77777777" w:rsidR="00732D73" w:rsidRPr="00B0602D" w:rsidRDefault="00732D73" w:rsidP="007F177E">
      <w:pPr>
        <w:pStyle w:val="ListParagraph"/>
        <w:numPr>
          <w:ilvl w:val="2"/>
          <w:numId w:val="140"/>
        </w:numPr>
        <w:contextualSpacing w:val="0"/>
        <w:rPr>
          <w:rFonts w:cs="Arial"/>
        </w:rPr>
      </w:pPr>
      <w:r w:rsidRPr="00B0602D">
        <w:rPr>
          <w:rFonts w:cs="Arial"/>
        </w:rPr>
        <w:t>The decision of the hearing officer is contrary to applicable Federal, State or local law, HUD regulations, or requirements of the annual contributions contract between HUD and the HHA.</w:t>
      </w:r>
    </w:p>
    <w:p w14:paraId="3DB63BA4" w14:textId="77777777" w:rsidR="00732D73" w:rsidRPr="00B0602D" w:rsidRDefault="00732D73" w:rsidP="007F177E">
      <w:pPr>
        <w:pStyle w:val="ListParagraph"/>
        <w:numPr>
          <w:ilvl w:val="0"/>
          <w:numId w:val="131"/>
        </w:numPr>
        <w:ind w:left="1080"/>
        <w:contextualSpacing w:val="0"/>
        <w:rPr>
          <w:rFonts w:cs="Arial"/>
        </w:rPr>
      </w:pPr>
      <w:r w:rsidRPr="00B0602D">
        <w:rPr>
          <w:rFonts w:cs="Arial"/>
        </w:rPr>
        <w:t>A decision by the hearing officer or Board of Commissioners in favor of the HHA or which denied the relief requested by the complainant in whole or in part shall not constitute a waiver of, nor affect in any way, the rights of the complainant to a trial or judicial review in any court proceedings which may be brought in the matter later.</w:t>
      </w:r>
    </w:p>
    <w:p w14:paraId="131AE7BC" w14:textId="77777777" w:rsidR="00732D73" w:rsidRDefault="00732D73" w:rsidP="00B46CB5"/>
    <w:p w14:paraId="0A38D305" w14:textId="77777777" w:rsidR="003543E0" w:rsidRDefault="003543E0" w:rsidP="00C75DCD">
      <w:pPr>
        <w:pStyle w:val="BodyText"/>
        <w:spacing w:before="120" w:after="120" w:line="259" w:lineRule="auto"/>
        <w:jc w:val="both"/>
        <w:sectPr w:rsidR="003543E0" w:rsidSect="00EE2233">
          <w:pgSz w:w="12240" w:h="15840"/>
          <w:pgMar w:top="1440" w:right="1440" w:bottom="1440" w:left="1440" w:header="720" w:footer="720" w:gutter="0"/>
          <w:cols w:space="720"/>
          <w:docGrid w:linePitch="360"/>
        </w:sectPr>
      </w:pPr>
    </w:p>
    <w:p w14:paraId="41041160" w14:textId="77777777" w:rsidR="003543E0" w:rsidRDefault="003543E0" w:rsidP="003543E0">
      <w:pPr>
        <w:pStyle w:val="Heading1"/>
        <w:numPr>
          <w:ilvl w:val="0"/>
          <w:numId w:val="0"/>
        </w:numPr>
      </w:pPr>
      <w:bookmarkStart w:id="4163" w:name="_Ref148701954"/>
      <w:bookmarkStart w:id="4164" w:name="_Toc173222809"/>
      <w:bookmarkStart w:id="4165" w:name="_Toc200375915"/>
      <w:bookmarkStart w:id="4166" w:name="_Toc200377076"/>
      <w:r>
        <w:t xml:space="preserve">APPENDIX </w:t>
      </w:r>
      <w:r w:rsidR="0047669E">
        <w:t>E</w:t>
      </w:r>
      <w:r>
        <w:t>: TIERED RENT TABLE</w:t>
      </w:r>
      <w:bookmarkEnd w:id="4163"/>
      <w:bookmarkEnd w:id="4164"/>
      <w:bookmarkEnd w:id="4165"/>
      <w:bookmarkEnd w:id="4166"/>
    </w:p>
    <w:p w14:paraId="541B704F" w14:textId="77777777" w:rsidR="00590F19" w:rsidRDefault="00590F19" w:rsidP="00590F19">
      <w:r w:rsidRPr="00A2158C">
        <w:t xml:space="preserve">The tiered rent table for the </w:t>
      </w:r>
      <w:r w:rsidR="00DF5143">
        <w:t>p</w:t>
      </w:r>
      <w:r w:rsidRPr="00A2158C">
        <w:t xml:space="preserve">ublic </w:t>
      </w:r>
      <w:r w:rsidR="00DF5143">
        <w:t>h</w:t>
      </w:r>
      <w:r w:rsidRPr="00A2158C">
        <w:t xml:space="preserve">ousing program is shown below. Additional tiered </w:t>
      </w:r>
      <w:r w:rsidR="00DF5143">
        <w:t>r</w:t>
      </w:r>
      <w:r w:rsidRPr="00A2158C">
        <w:t xml:space="preserve">ent tables, where applicable, will reflect applicable flat rents and maximum tax credit rents. </w:t>
      </w:r>
    </w:p>
    <w:tbl>
      <w:tblPr>
        <w:tblW w:w="93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5"/>
        <w:gridCol w:w="5310"/>
        <w:gridCol w:w="3150"/>
      </w:tblGrid>
      <w:tr w:rsidR="00590F19" w:rsidRPr="00E71D7A" w14:paraId="53E84692" w14:textId="77777777" w:rsidTr="00DF5143">
        <w:trPr>
          <w:trHeight w:val="301"/>
          <w:tblHeader/>
          <w:jc w:val="center"/>
        </w:trPr>
        <w:tc>
          <w:tcPr>
            <w:tcW w:w="895" w:type="dxa"/>
            <w:vAlign w:val="center"/>
          </w:tcPr>
          <w:p w14:paraId="3BB057C6" w14:textId="77777777" w:rsidR="00590F19" w:rsidRPr="00DF5143" w:rsidRDefault="00590F19" w:rsidP="00D50903">
            <w:pPr>
              <w:pStyle w:val="TableParagraph"/>
              <w:ind w:left="110" w:right="132"/>
              <w:jc w:val="center"/>
              <w:rPr>
                <w:rFonts w:ascii="Arial" w:hAnsi="Arial" w:cs="Arial"/>
                <w:b/>
              </w:rPr>
            </w:pPr>
            <w:r w:rsidRPr="00DF5143">
              <w:rPr>
                <w:rFonts w:ascii="Arial" w:hAnsi="Arial" w:cs="Arial"/>
                <w:b/>
              </w:rPr>
              <w:t>Tier #</w:t>
            </w:r>
          </w:p>
        </w:tc>
        <w:tc>
          <w:tcPr>
            <w:tcW w:w="5310" w:type="dxa"/>
            <w:vAlign w:val="center"/>
          </w:tcPr>
          <w:p w14:paraId="77240EEF" w14:textId="77777777" w:rsidR="00590F19" w:rsidRPr="00DF5143" w:rsidRDefault="00590F19" w:rsidP="00D50903">
            <w:pPr>
              <w:pStyle w:val="TableParagraph"/>
              <w:ind w:left="107" w:right="90"/>
              <w:jc w:val="center"/>
              <w:rPr>
                <w:rFonts w:ascii="Arial" w:hAnsi="Arial" w:cs="Arial"/>
                <w:b/>
              </w:rPr>
            </w:pPr>
            <w:r w:rsidRPr="00DF5143">
              <w:rPr>
                <w:rFonts w:ascii="Arial" w:hAnsi="Arial" w:cs="Arial"/>
                <w:b/>
              </w:rPr>
              <w:t>Income Tier Based on Gross Household Income</w:t>
            </w:r>
          </w:p>
        </w:tc>
        <w:tc>
          <w:tcPr>
            <w:tcW w:w="3150" w:type="dxa"/>
            <w:vAlign w:val="center"/>
          </w:tcPr>
          <w:p w14:paraId="3D5DD605" w14:textId="77777777" w:rsidR="00590F19" w:rsidRPr="00DF5143" w:rsidRDefault="00590F19" w:rsidP="00D50903">
            <w:pPr>
              <w:pStyle w:val="TableParagraph"/>
              <w:ind w:left="107"/>
              <w:jc w:val="center"/>
              <w:rPr>
                <w:rFonts w:ascii="Arial" w:hAnsi="Arial" w:cs="Arial"/>
                <w:b/>
              </w:rPr>
            </w:pPr>
            <w:r w:rsidRPr="00DF5143">
              <w:rPr>
                <w:rFonts w:ascii="Arial" w:hAnsi="Arial" w:cs="Arial"/>
                <w:b/>
              </w:rPr>
              <w:t>Rent (Total Tenant Payment)</w:t>
            </w:r>
          </w:p>
        </w:tc>
      </w:tr>
      <w:tr w:rsidR="00590F19" w:rsidRPr="00E71D7A" w14:paraId="3E08A6B9" w14:textId="77777777" w:rsidTr="00DF5143">
        <w:trPr>
          <w:trHeight w:val="299"/>
          <w:jc w:val="center"/>
        </w:trPr>
        <w:tc>
          <w:tcPr>
            <w:tcW w:w="895" w:type="dxa"/>
            <w:vAlign w:val="center"/>
          </w:tcPr>
          <w:p w14:paraId="10E83731" w14:textId="77777777" w:rsidR="00590F19" w:rsidRPr="00DF5143" w:rsidRDefault="00590F19" w:rsidP="00D50903">
            <w:pPr>
              <w:pStyle w:val="TableParagraph"/>
              <w:spacing w:before="34"/>
              <w:ind w:left="110" w:right="132"/>
              <w:jc w:val="center"/>
              <w:rPr>
                <w:rFonts w:ascii="Arial" w:hAnsi="Arial" w:cs="Arial"/>
              </w:rPr>
            </w:pPr>
            <w:r w:rsidRPr="00DF5143">
              <w:rPr>
                <w:rFonts w:ascii="Arial" w:hAnsi="Arial" w:cs="Arial"/>
              </w:rPr>
              <w:t>1.</w:t>
            </w:r>
          </w:p>
        </w:tc>
        <w:tc>
          <w:tcPr>
            <w:tcW w:w="5310" w:type="dxa"/>
            <w:vAlign w:val="center"/>
          </w:tcPr>
          <w:p w14:paraId="379A18B6" w14:textId="77777777" w:rsidR="00590F19" w:rsidRPr="00DF5143" w:rsidRDefault="00590F19" w:rsidP="00D50903">
            <w:pPr>
              <w:pStyle w:val="TableParagraph"/>
              <w:spacing w:before="34"/>
              <w:ind w:left="828" w:right="90"/>
              <w:rPr>
                <w:rFonts w:ascii="Arial" w:hAnsi="Arial" w:cs="Arial"/>
              </w:rPr>
            </w:pPr>
            <w:r w:rsidRPr="00DF5143">
              <w:rPr>
                <w:rFonts w:ascii="Arial" w:hAnsi="Arial" w:cs="Arial"/>
              </w:rPr>
              <w:t>$0 to $1,999</w:t>
            </w:r>
          </w:p>
        </w:tc>
        <w:tc>
          <w:tcPr>
            <w:tcW w:w="3150" w:type="dxa"/>
            <w:vAlign w:val="center"/>
          </w:tcPr>
          <w:p w14:paraId="2DB2C3A7" w14:textId="77777777" w:rsidR="00590F19" w:rsidRPr="00DF5143" w:rsidRDefault="00590F19" w:rsidP="00D50903">
            <w:pPr>
              <w:pStyle w:val="TableParagraph"/>
              <w:spacing w:before="34"/>
              <w:ind w:left="827"/>
              <w:rPr>
                <w:rFonts w:ascii="Arial" w:hAnsi="Arial" w:cs="Arial"/>
              </w:rPr>
            </w:pPr>
            <w:r w:rsidRPr="00DF5143">
              <w:rPr>
                <w:rFonts w:ascii="Arial" w:hAnsi="Arial" w:cs="Arial"/>
              </w:rPr>
              <w:t>$50</w:t>
            </w:r>
          </w:p>
        </w:tc>
      </w:tr>
      <w:tr w:rsidR="00590F19" w:rsidRPr="00E71D7A" w14:paraId="5BCDDB1F" w14:textId="77777777" w:rsidTr="00DF5143">
        <w:trPr>
          <w:trHeight w:val="300"/>
          <w:jc w:val="center"/>
        </w:trPr>
        <w:tc>
          <w:tcPr>
            <w:tcW w:w="895" w:type="dxa"/>
            <w:vAlign w:val="center"/>
          </w:tcPr>
          <w:p w14:paraId="6CF0E4DD" w14:textId="77777777" w:rsidR="00590F19" w:rsidRPr="00DF5143" w:rsidRDefault="00590F19" w:rsidP="00D50903">
            <w:pPr>
              <w:pStyle w:val="TableParagraph"/>
              <w:spacing w:before="34"/>
              <w:ind w:left="110" w:right="132"/>
              <w:jc w:val="center"/>
              <w:rPr>
                <w:rFonts w:ascii="Arial" w:hAnsi="Arial" w:cs="Arial"/>
              </w:rPr>
            </w:pPr>
            <w:r w:rsidRPr="00DF5143">
              <w:rPr>
                <w:rFonts w:ascii="Arial" w:hAnsi="Arial" w:cs="Arial"/>
              </w:rPr>
              <w:t>2.</w:t>
            </w:r>
          </w:p>
        </w:tc>
        <w:tc>
          <w:tcPr>
            <w:tcW w:w="5310" w:type="dxa"/>
            <w:vAlign w:val="center"/>
          </w:tcPr>
          <w:p w14:paraId="7088F46F" w14:textId="77777777" w:rsidR="00590F19" w:rsidRPr="00DF5143" w:rsidRDefault="00590F19" w:rsidP="00D50903">
            <w:pPr>
              <w:pStyle w:val="TableParagraph"/>
              <w:spacing w:before="34"/>
              <w:ind w:left="828" w:right="90"/>
              <w:rPr>
                <w:rFonts w:ascii="Arial" w:hAnsi="Arial" w:cs="Arial"/>
              </w:rPr>
            </w:pPr>
            <w:r w:rsidRPr="00DF5143">
              <w:rPr>
                <w:rFonts w:ascii="Arial" w:hAnsi="Arial" w:cs="Arial"/>
              </w:rPr>
              <w:t>$2,000 to $3,999</w:t>
            </w:r>
          </w:p>
        </w:tc>
        <w:tc>
          <w:tcPr>
            <w:tcW w:w="3150" w:type="dxa"/>
            <w:vAlign w:val="center"/>
          </w:tcPr>
          <w:p w14:paraId="511633CB" w14:textId="77777777" w:rsidR="00590F19" w:rsidRPr="00DF5143" w:rsidRDefault="00590F19" w:rsidP="00D50903">
            <w:pPr>
              <w:pStyle w:val="TableParagraph"/>
              <w:spacing w:before="34"/>
              <w:ind w:left="827"/>
              <w:rPr>
                <w:rFonts w:ascii="Arial" w:hAnsi="Arial" w:cs="Arial"/>
              </w:rPr>
            </w:pPr>
            <w:r w:rsidRPr="00DF5143">
              <w:rPr>
                <w:rFonts w:ascii="Arial" w:hAnsi="Arial" w:cs="Arial"/>
              </w:rPr>
              <w:t>$50</w:t>
            </w:r>
          </w:p>
        </w:tc>
      </w:tr>
      <w:tr w:rsidR="00590F19" w:rsidRPr="00E71D7A" w14:paraId="544BE4E5" w14:textId="77777777" w:rsidTr="00DF5143">
        <w:trPr>
          <w:trHeight w:val="299"/>
          <w:jc w:val="center"/>
        </w:trPr>
        <w:tc>
          <w:tcPr>
            <w:tcW w:w="895" w:type="dxa"/>
            <w:vAlign w:val="center"/>
          </w:tcPr>
          <w:p w14:paraId="035C0F14" w14:textId="77777777" w:rsidR="00590F19" w:rsidRPr="00DF5143" w:rsidRDefault="00590F19" w:rsidP="00D50903">
            <w:pPr>
              <w:pStyle w:val="TableParagraph"/>
              <w:spacing w:before="34"/>
              <w:ind w:left="110" w:right="132"/>
              <w:jc w:val="center"/>
              <w:rPr>
                <w:rFonts w:ascii="Arial" w:hAnsi="Arial" w:cs="Arial"/>
              </w:rPr>
            </w:pPr>
            <w:r w:rsidRPr="00DF5143">
              <w:rPr>
                <w:rFonts w:ascii="Arial" w:hAnsi="Arial" w:cs="Arial"/>
              </w:rPr>
              <w:t>3.</w:t>
            </w:r>
          </w:p>
        </w:tc>
        <w:tc>
          <w:tcPr>
            <w:tcW w:w="5310" w:type="dxa"/>
            <w:vAlign w:val="center"/>
          </w:tcPr>
          <w:p w14:paraId="7DBB2B6F" w14:textId="77777777" w:rsidR="00590F19" w:rsidRPr="00DF5143" w:rsidRDefault="00590F19" w:rsidP="00D50903">
            <w:pPr>
              <w:pStyle w:val="TableParagraph"/>
              <w:spacing w:before="34"/>
              <w:ind w:left="828" w:right="90"/>
              <w:rPr>
                <w:rFonts w:ascii="Arial" w:hAnsi="Arial" w:cs="Arial"/>
              </w:rPr>
            </w:pPr>
            <w:r w:rsidRPr="00DF5143">
              <w:rPr>
                <w:rFonts w:ascii="Arial" w:hAnsi="Arial" w:cs="Arial"/>
              </w:rPr>
              <w:t>$4,000 to $5,999</w:t>
            </w:r>
          </w:p>
        </w:tc>
        <w:tc>
          <w:tcPr>
            <w:tcW w:w="3150" w:type="dxa"/>
            <w:vAlign w:val="center"/>
          </w:tcPr>
          <w:p w14:paraId="107E31DF" w14:textId="77777777" w:rsidR="00590F19" w:rsidRPr="00DF5143" w:rsidRDefault="00590F19" w:rsidP="00D50903">
            <w:pPr>
              <w:pStyle w:val="TableParagraph"/>
              <w:spacing w:before="34"/>
              <w:ind w:left="827"/>
              <w:rPr>
                <w:rFonts w:ascii="Arial" w:hAnsi="Arial" w:cs="Arial"/>
              </w:rPr>
            </w:pPr>
            <w:r w:rsidRPr="00DF5143">
              <w:rPr>
                <w:rFonts w:ascii="Arial" w:hAnsi="Arial" w:cs="Arial"/>
              </w:rPr>
              <w:t>$93</w:t>
            </w:r>
          </w:p>
        </w:tc>
      </w:tr>
      <w:tr w:rsidR="00590F19" w:rsidRPr="00E71D7A" w14:paraId="1CE7B226" w14:textId="77777777" w:rsidTr="00DF5143">
        <w:trPr>
          <w:trHeight w:val="299"/>
          <w:jc w:val="center"/>
        </w:trPr>
        <w:tc>
          <w:tcPr>
            <w:tcW w:w="895" w:type="dxa"/>
            <w:vAlign w:val="center"/>
          </w:tcPr>
          <w:p w14:paraId="7E98F776" w14:textId="77777777" w:rsidR="00590F19" w:rsidRPr="00DF5143" w:rsidRDefault="00590F19" w:rsidP="00D50903">
            <w:pPr>
              <w:pStyle w:val="TableParagraph"/>
              <w:ind w:left="110" w:right="132"/>
              <w:jc w:val="center"/>
              <w:rPr>
                <w:rFonts w:ascii="Arial" w:hAnsi="Arial" w:cs="Arial"/>
              </w:rPr>
            </w:pPr>
            <w:r w:rsidRPr="00DF5143">
              <w:rPr>
                <w:rFonts w:ascii="Arial" w:hAnsi="Arial" w:cs="Arial"/>
              </w:rPr>
              <w:t>4.</w:t>
            </w:r>
          </w:p>
        </w:tc>
        <w:tc>
          <w:tcPr>
            <w:tcW w:w="5310" w:type="dxa"/>
            <w:vAlign w:val="center"/>
          </w:tcPr>
          <w:p w14:paraId="4D5A54A4" w14:textId="77777777" w:rsidR="00590F19" w:rsidRPr="00DF5143" w:rsidRDefault="00590F19" w:rsidP="00D50903">
            <w:pPr>
              <w:pStyle w:val="TableParagraph"/>
              <w:ind w:left="828" w:right="90"/>
              <w:rPr>
                <w:rFonts w:ascii="Arial" w:hAnsi="Arial" w:cs="Arial"/>
              </w:rPr>
            </w:pPr>
            <w:r w:rsidRPr="00DF5143">
              <w:rPr>
                <w:rFonts w:ascii="Arial" w:hAnsi="Arial" w:cs="Arial"/>
              </w:rPr>
              <w:t>$6,000 to $7,999</w:t>
            </w:r>
          </w:p>
        </w:tc>
        <w:tc>
          <w:tcPr>
            <w:tcW w:w="3150" w:type="dxa"/>
            <w:vAlign w:val="center"/>
          </w:tcPr>
          <w:p w14:paraId="1D6DEB47" w14:textId="77777777" w:rsidR="00590F19" w:rsidRPr="00DF5143" w:rsidRDefault="00590F19" w:rsidP="00D50903">
            <w:pPr>
              <w:pStyle w:val="TableParagraph"/>
              <w:ind w:left="827"/>
              <w:rPr>
                <w:rFonts w:ascii="Arial" w:hAnsi="Arial" w:cs="Arial"/>
              </w:rPr>
            </w:pPr>
            <w:r w:rsidRPr="00DF5143">
              <w:rPr>
                <w:rFonts w:ascii="Arial" w:hAnsi="Arial" w:cs="Arial"/>
              </w:rPr>
              <w:t>$140</w:t>
            </w:r>
          </w:p>
        </w:tc>
      </w:tr>
      <w:tr w:rsidR="00590F19" w:rsidRPr="00E71D7A" w14:paraId="6A6D5A79" w14:textId="77777777" w:rsidTr="00DF5143">
        <w:trPr>
          <w:trHeight w:val="299"/>
          <w:jc w:val="center"/>
        </w:trPr>
        <w:tc>
          <w:tcPr>
            <w:tcW w:w="895" w:type="dxa"/>
            <w:vAlign w:val="center"/>
          </w:tcPr>
          <w:p w14:paraId="7FAA2DD9" w14:textId="77777777" w:rsidR="00590F19" w:rsidRPr="00DF5143" w:rsidRDefault="00590F19" w:rsidP="00D50903">
            <w:pPr>
              <w:pStyle w:val="TableParagraph"/>
              <w:ind w:left="110" w:right="132"/>
              <w:jc w:val="center"/>
              <w:rPr>
                <w:rFonts w:ascii="Arial" w:hAnsi="Arial" w:cs="Arial"/>
              </w:rPr>
            </w:pPr>
            <w:r w:rsidRPr="00DF5143">
              <w:rPr>
                <w:rFonts w:ascii="Arial" w:hAnsi="Arial" w:cs="Arial"/>
              </w:rPr>
              <w:t>5.</w:t>
            </w:r>
          </w:p>
        </w:tc>
        <w:tc>
          <w:tcPr>
            <w:tcW w:w="5310" w:type="dxa"/>
            <w:vAlign w:val="center"/>
          </w:tcPr>
          <w:p w14:paraId="3EADDA10" w14:textId="77777777" w:rsidR="00590F19" w:rsidRPr="00DF5143" w:rsidRDefault="00590F19" w:rsidP="00D50903">
            <w:pPr>
              <w:pStyle w:val="TableParagraph"/>
              <w:ind w:left="828" w:right="90"/>
              <w:rPr>
                <w:rFonts w:ascii="Arial" w:hAnsi="Arial" w:cs="Arial"/>
              </w:rPr>
            </w:pPr>
            <w:r w:rsidRPr="00DF5143">
              <w:rPr>
                <w:rFonts w:ascii="Arial" w:hAnsi="Arial" w:cs="Arial"/>
              </w:rPr>
              <w:t>$8,000 to $9,999</w:t>
            </w:r>
          </w:p>
        </w:tc>
        <w:tc>
          <w:tcPr>
            <w:tcW w:w="3150" w:type="dxa"/>
            <w:vAlign w:val="center"/>
          </w:tcPr>
          <w:p w14:paraId="2E9377F2" w14:textId="77777777" w:rsidR="00590F19" w:rsidRPr="00DF5143" w:rsidRDefault="00590F19" w:rsidP="00D50903">
            <w:pPr>
              <w:pStyle w:val="TableParagraph"/>
              <w:ind w:left="827"/>
              <w:rPr>
                <w:rFonts w:ascii="Arial" w:hAnsi="Arial" w:cs="Arial"/>
              </w:rPr>
            </w:pPr>
            <w:r w:rsidRPr="00DF5143">
              <w:rPr>
                <w:rFonts w:ascii="Arial" w:hAnsi="Arial" w:cs="Arial"/>
              </w:rPr>
              <w:t>$187</w:t>
            </w:r>
          </w:p>
        </w:tc>
      </w:tr>
      <w:tr w:rsidR="00590F19" w:rsidRPr="00E71D7A" w14:paraId="2B62D320" w14:textId="77777777" w:rsidTr="00DF5143">
        <w:trPr>
          <w:trHeight w:val="301"/>
          <w:jc w:val="center"/>
        </w:trPr>
        <w:tc>
          <w:tcPr>
            <w:tcW w:w="895" w:type="dxa"/>
            <w:vAlign w:val="center"/>
          </w:tcPr>
          <w:p w14:paraId="0034D2D1" w14:textId="77777777" w:rsidR="00590F19" w:rsidRPr="00DF5143" w:rsidRDefault="00590F19" w:rsidP="00D50903">
            <w:pPr>
              <w:pStyle w:val="TableParagraph"/>
              <w:ind w:left="110" w:right="132"/>
              <w:jc w:val="center"/>
              <w:rPr>
                <w:rFonts w:ascii="Arial" w:hAnsi="Arial" w:cs="Arial"/>
              </w:rPr>
            </w:pPr>
            <w:r w:rsidRPr="00DF5143">
              <w:rPr>
                <w:rFonts w:ascii="Arial" w:hAnsi="Arial" w:cs="Arial"/>
              </w:rPr>
              <w:t>6.</w:t>
            </w:r>
          </w:p>
        </w:tc>
        <w:tc>
          <w:tcPr>
            <w:tcW w:w="5310" w:type="dxa"/>
            <w:vAlign w:val="center"/>
          </w:tcPr>
          <w:p w14:paraId="05883CE6" w14:textId="77777777" w:rsidR="00590F19" w:rsidRPr="00DF5143" w:rsidRDefault="00590F19" w:rsidP="00D50903">
            <w:pPr>
              <w:pStyle w:val="TableParagraph"/>
              <w:ind w:left="828" w:right="90"/>
              <w:rPr>
                <w:rFonts w:ascii="Arial" w:hAnsi="Arial" w:cs="Arial"/>
              </w:rPr>
            </w:pPr>
            <w:r w:rsidRPr="00DF5143">
              <w:rPr>
                <w:rFonts w:ascii="Arial" w:hAnsi="Arial" w:cs="Arial"/>
              </w:rPr>
              <w:t>$10,000 to $11,999</w:t>
            </w:r>
          </w:p>
        </w:tc>
        <w:tc>
          <w:tcPr>
            <w:tcW w:w="3150" w:type="dxa"/>
            <w:vAlign w:val="center"/>
          </w:tcPr>
          <w:p w14:paraId="5694F409" w14:textId="77777777" w:rsidR="00590F19" w:rsidRPr="00DF5143" w:rsidRDefault="00590F19" w:rsidP="00D50903">
            <w:pPr>
              <w:pStyle w:val="TableParagraph"/>
              <w:ind w:left="827"/>
              <w:rPr>
                <w:rFonts w:ascii="Arial" w:hAnsi="Arial" w:cs="Arial"/>
              </w:rPr>
            </w:pPr>
            <w:r w:rsidRPr="00DF5143">
              <w:rPr>
                <w:rFonts w:ascii="Arial" w:hAnsi="Arial" w:cs="Arial"/>
              </w:rPr>
              <w:t>$233</w:t>
            </w:r>
          </w:p>
        </w:tc>
      </w:tr>
      <w:tr w:rsidR="00590F19" w:rsidRPr="00E71D7A" w14:paraId="4AF8D4DB" w14:textId="77777777" w:rsidTr="00DF5143">
        <w:trPr>
          <w:trHeight w:val="299"/>
          <w:jc w:val="center"/>
        </w:trPr>
        <w:tc>
          <w:tcPr>
            <w:tcW w:w="895" w:type="dxa"/>
            <w:vAlign w:val="center"/>
          </w:tcPr>
          <w:p w14:paraId="094A3BC2" w14:textId="77777777" w:rsidR="00590F19" w:rsidRPr="00DF5143" w:rsidRDefault="00590F19" w:rsidP="00D50903">
            <w:pPr>
              <w:pStyle w:val="TableParagraph"/>
              <w:spacing w:before="34"/>
              <w:ind w:left="110" w:right="132"/>
              <w:jc w:val="center"/>
              <w:rPr>
                <w:rFonts w:ascii="Arial" w:hAnsi="Arial" w:cs="Arial"/>
              </w:rPr>
            </w:pPr>
            <w:r w:rsidRPr="00DF5143">
              <w:rPr>
                <w:rFonts w:ascii="Arial" w:hAnsi="Arial" w:cs="Arial"/>
              </w:rPr>
              <w:t>7.</w:t>
            </w:r>
          </w:p>
        </w:tc>
        <w:tc>
          <w:tcPr>
            <w:tcW w:w="5310" w:type="dxa"/>
            <w:vAlign w:val="center"/>
          </w:tcPr>
          <w:p w14:paraId="7FE33FBD" w14:textId="77777777" w:rsidR="00590F19" w:rsidRPr="00DF5143" w:rsidRDefault="00590F19" w:rsidP="00D50903">
            <w:pPr>
              <w:pStyle w:val="TableParagraph"/>
              <w:spacing w:before="34"/>
              <w:ind w:left="828" w:right="90"/>
              <w:rPr>
                <w:rFonts w:ascii="Arial" w:hAnsi="Arial" w:cs="Arial"/>
              </w:rPr>
            </w:pPr>
            <w:r w:rsidRPr="00DF5143">
              <w:rPr>
                <w:rFonts w:ascii="Arial" w:hAnsi="Arial" w:cs="Arial"/>
              </w:rPr>
              <w:t>$12,000 to $13,999</w:t>
            </w:r>
          </w:p>
        </w:tc>
        <w:tc>
          <w:tcPr>
            <w:tcW w:w="3150" w:type="dxa"/>
            <w:vAlign w:val="center"/>
          </w:tcPr>
          <w:p w14:paraId="4C1133B0" w14:textId="77777777" w:rsidR="00590F19" w:rsidRPr="00DF5143" w:rsidRDefault="00590F19" w:rsidP="00D50903">
            <w:pPr>
              <w:pStyle w:val="TableParagraph"/>
              <w:spacing w:before="34"/>
              <w:ind w:left="827"/>
              <w:rPr>
                <w:rFonts w:ascii="Arial" w:hAnsi="Arial" w:cs="Arial"/>
              </w:rPr>
            </w:pPr>
            <w:r w:rsidRPr="00DF5143">
              <w:rPr>
                <w:rFonts w:ascii="Arial" w:hAnsi="Arial" w:cs="Arial"/>
              </w:rPr>
              <w:t>$280</w:t>
            </w:r>
          </w:p>
        </w:tc>
      </w:tr>
      <w:tr w:rsidR="00590F19" w:rsidRPr="00E71D7A" w14:paraId="7FBB390D" w14:textId="77777777" w:rsidTr="00DF5143">
        <w:trPr>
          <w:trHeight w:val="299"/>
          <w:jc w:val="center"/>
        </w:trPr>
        <w:tc>
          <w:tcPr>
            <w:tcW w:w="895" w:type="dxa"/>
            <w:vAlign w:val="center"/>
          </w:tcPr>
          <w:p w14:paraId="470AC14E" w14:textId="77777777" w:rsidR="00590F19" w:rsidRPr="00DF5143" w:rsidRDefault="00590F19" w:rsidP="00D50903">
            <w:pPr>
              <w:pStyle w:val="TableParagraph"/>
              <w:spacing w:before="34"/>
              <w:ind w:left="110" w:right="132"/>
              <w:jc w:val="center"/>
              <w:rPr>
                <w:rFonts w:ascii="Arial" w:hAnsi="Arial" w:cs="Arial"/>
              </w:rPr>
            </w:pPr>
            <w:r w:rsidRPr="00DF5143">
              <w:rPr>
                <w:rFonts w:ascii="Arial" w:hAnsi="Arial" w:cs="Arial"/>
              </w:rPr>
              <w:t>8.</w:t>
            </w:r>
          </w:p>
        </w:tc>
        <w:tc>
          <w:tcPr>
            <w:tcW w:w="5310" w:type="dxa"/>
            <w:vAlign w:val="center"/>
          </w:tcPr>
          <w:p w14:paraId="02A6AED2" w14:textId="77777777" w:rsidR="00590F19" w:rsidRPr="00DF5143" w:rsidRDefault="00590F19" w:rsidP="00D50903">
            <w:pPr>
              <w:pStyle w:val="TableParagraph"/>
              <w:spacing w:before="34"/>
              <w:ind w:left="828" w:right="90"/>
              <w:rPr>
                <w:rFonts w:ascii="Arial" w:hAnsi="Arial" w:cs="Arial"/>
              </w:rPr>
            </w:pPr>
            <w:r w:rsidRPr="00DF5143">
              <w:rPr>
                <w:rFonts w:ascii="Arial" w:hAnsi="Arial" w:cs="Arial"/>
              </w:rPr>
              <w:t>$14,000 to $15,999</w:t>
            </w:r>
          </w:p>
        </w:tc>
        <w:tc>
          <w:tcPr>
            <w:tcW w:w="3150" w:type="dxa"/>
            <w:vAlign w:val="center"/>
          </w:tcPr>
          <w:p w14:paraId="4F8D6DD4" w14:textId="77777777" w:rsidR="00590F19" w:rsidRPr="00DF5143" w:rsidRDefault="00590F19" w:rsidP="00D50903">
            <w:pPr>
              <w:pStyle w:val="TableParagraph"/>
              <w:spacing w:before="34"/>
              <w:ind w:left="827"/>
              <w:rPr>
                <w:rFonts w:ascii="Arial" w:hAnsi="Arial" w:cs="Arial"/>
              </w:rPr>
            </w:pPr>
            <w:r w:rsidRPr="00DF5143">
              <w:rPr>
                <w:rFonts w:ascii="Arial" w:hAnsi="Arial" w:cs="Arial"/>
              </w:rPr>
              <w:t>$327</w:t>
            </w:r>
          </w:p>
        </w:tc>
      </w:tr>
      <w:tr w:rsidR="00590F19" w:rsidRPr="00E71D7A" w14:paraId="795E1388" w14:textId="77777777" w:rsidTr="00DF5143">
        <w:trPr>
          <w:trHeight w:val="299"/>
          <w:jc w:val="center"/>
        </w:trPr>
        <w:tc>
          <w:tcPr>
            <w:tcW w:w="895" w:type="dxa"/>
            <w:vAlign w:val="center"/>
          </w:tcPr>
          <w:p w14:paraId="4C88B32A" w14:textId="77777777" w:rsidR="00590F19" w:rsidRPr="00DF5143" w:rsidRDefault="00590F19" w:rsidP="00D50903">
            <w:pPr>
              <w:pStyle w:val="TableParagraph"/>
              <w:spacing w:before="34"/>
              <w:ind w:left="110" w:right="132"/>
              <w:jc w:val="center"/>
              <w:rPr>
                <w:rFonts w:ascii="Arial" w:hAnsi="Arial" w:cs="Arial"/>
              </w:rPr>
            </w:pPr>
            <w:r w:rsidRPr="00DF5143">
              <w:rPr>
                <w:rFonts w:ascii="Arial" w:hAnsi="Arial" w:cs="Arial"/>
              </w:rPr>
              <w:t>9.</w:t>
            </w:r>
          </w:p>
        </w:tc>
        <w:tc>
          <w:tcPr>
            <w:tcW w:w="5310" w:type="dxa"/>
            <w:vAlign w:val="center"/>
          </w:tcPr>
          <w:p w14:paraId="334E2D72" w14:textId="77777777" w:rsidR="00590F19" w:rsidRPr="00DF5143" w:rsidRDefault="00590F19" w:rsidP="00D50903">
            <w:pPr>
              <w:pStyle w:val="TableParagraph"/>
              <w:spacing w:before="34"/>
              <w:ind w:left="828" w:right="90"/>
              <w:rPr>
                <w:rFonts w:ascii="Arial" w:hAnsi="Arial" w:cs="Arial"/>
              </w:rPr>
            </w:pPr>
            <w:r w:rsidRPr="00DF5143">
              <w:rPr>
                <w:rFonts w:ascii="Arial" w:hAnsi="Arial" w:cs="Arial"/>
              </w:rPr>
              <w:t>$16,000 to $17,999</w:t>
            </w:r>
          </w:p>
        </w:tc>
        <w:tc>
          <w:tcPr>
            <w:tcW w:w="3150" w:type="dxa"/>
            <w:vAlign w:val="center"/>
          </w:tcPr>
          <w:p w14:paraId="59324A6D" w14:textId="77777777" w:rsidR="00590F19" w:rsidRPr="00DF5143" w:rsidRDefault="00590F19" w:rsidP="00D50903">
            <w:pPr>
              <w:pStyle w:val="TableParagraph"/>
              <w:spacing w:before="34"/>
              <w:ind w:left="827"/>
              <w:rPr>
                <w:rFonts w:ascii="Arial" w:hAnsi="Arial" w:cs="Arial"/>
              </w:rPr>
            </w:pPr>
            <w:r w:rsidRPr="00DF5143">
              <w:rPr>
                <w:rFonts w:ascii="Arial" w:hAnsi="Arial" w:cs="Arial"/>
              </w:rPr>
              <w:t>$373</w:t>
            </w:r>
          </w:p>
        </w:tc>
      </w:tr>
      <w:tr w:rsidR="00590F19" w:rsidRPr="00E71D7A" w14:paraId="0B48FD41" w14:textId="77777777" w:rsidTr="00DF5143">
        <w:trPr>
          <w:trHeight w:val="299"/>
          <w:jc w:val="center"/>
        </w:trPr>
        <w:tc>
          <w:tcPr>
            <w:tcW w:w="895" w:type="dxa"/>
            <w:vAlign w:val="center"/>
          </w:tcPr>
          <w:p w14:paraId="292043BD" w14:textId="77777777" w:rsidR="00590F19" w:rsidRPr="00DF5143" w:rsidRDefault="00590F19" w:rsidP="00D50903">
            <w:pPr>
              <w:pStyle w:val="TableParagraph"/>
              <w:ind w:left="110" w:right="132"/>
              <w:jc w:val="center"/>
              <w:rPr>
                <w:rFonts w:ascii="Arial" w:hAnsi="Arial" w:cs="Arial"/>
              </w:rPr>
            </w:pPr>
            <w:r w:rsidRPr="00DF5143">
              <w:rPr>
                <w:rFonts w:ascii="Arial" w:hAnsi="Arial" w:cs="Arial"/>
              </w:rPr>
              <w:t>10.</w:t>
            </w:r>
          </w:p>
        </w:tc>
        <w:tc>
          <w:tcPr>
            <w:tcW w:w="5310" w:type="dxa"/>
            <w:vAlign w:val="center"/>
          </w:tcPr>
          <w:p w14:paraId="55D382E6" w14:textId="77777777" w:rsidR="00590F19" w:rsidRPr="00DF5143" w:rsidRDefault="00590F19" w:rsidP="00D50903">
            <w:pPr>
              <w:pStyle w:val="TableParagraph"/>
              <w:ind w:left="828" w:right="90"/>
              <w:rPr>
                <w:rFonts w:ascii="Arial" w:hAnsi="Arial" w:cs="Arial"/>
              </w:rPr>
            </w:pPr>
            <w:r w:rsidRPr="00DF5143">
              <w:rPr>
                <w:rFonts w:ascii="Arial" w:hAnsi="Arial" w:cs="Arial"/>
              </w:rPr>
              <w:t>$18,000 to $19,999</w:t>
            </w:r>
          </w:p>
        </w:tc>
        <w:tc>
          <w:tcPr>
            <w:tcW w:w="3150" w:type="dxa"/>
            <w:vAlign w:val="center"/>
          </w:tcPr>
          <w:p w14:paraId="2E519835" w14:textId="77777777" w:rsidR="00590F19" w:rsidRPr="00DF5143" w:rsidRDefault="00590F19" w:rsidP="00D50903">
            <w:pPr>
              <w:pStyle w:val="TableParagraph"/>
              <w:ind w:left="827"/>
              <w:rPr>
                <w:rFonts w:ascii="Arial" w:hAnsi="Arial" w:cs="Arial"/>
              </w:rPr>
            </w:pPr>
            <w:r w:rsidRPr="00DF5143">
              <w:rPr>
                <w:rFonts w:ascii="Arial" w:hAnsi="Arial" w:cs="Arial"/>
              </w:rPr>
              <w:t>$420</w:t>
            </w:r>
          </w:p>
        </w:tc>
      </w:tr>
      <w:tr w:rsidR="00590F19" w:rsidRPr="00E71D7A" w14:paraId="612CDE82" w14:textId="77777777" w:rsidTr="00DF5143">
        <w:trPr>
          <w:trHeight w:val="299"/>
          <w:jc w:val="center"/>
        </w:trPr>
        <w:tc>
          <w:tcPr>
            <w:tcW w:w="895" w:type="dxa"/>
            <w:tcBorders>
              <w:top w:val="single" w:sz="4" w:space="0" w:color="000000"/>
              <w:left w:val="single" w:sz="4" w:space="0" w:color="000000"/>
              <w:bottom w:val="single" w:sz="4" w:space="0" w:color="000000"/>
              <w:right w:val="single" w:sz="4" w:space="0" w:color="000000"/>
            </w:tcBorders>
            <w:vAlign w:val="center"/>
          </w:tcPr>
          <w:p w14:paraId="0A284B7B" w14:textId="77777777" w:rsidR="00590F19" w:rsidRPr="00DF5143" w:rsidRDefault="00590F19" w:rsidP="00D50903">
            <w:pPr>
              <w:pStyle w:val="TableParagraph"/>
              <w:ind w:left="110" w:right="132"/>
              <w:jc w:val="center"/>
              <w:rPr>
                <w:rFonts w:ascii="Arial" w:hAnsi="Arial" w:cs="Arial"/>
              </w:rPr>
            </w:pPr>
            <w:r w:rsidRPr="00DF5143">
              <w:rPr>
                <w:rFonts w:ascii="Arial" w:hAnsi="Arial" w:cs="Arial"/>
              </w:rPr>
              <w:t>11.</w:t>
            </w:r>
          </w:p>
        </w:tc>
        <w:tc>
          <w:tcPr>
            <w:tcW w:w="5310" w:type="dxa"/>
            <w:tcBorders>
              <w:top w:val="single" w:sz="4" w:space="0" w:color="000000"/>
              <w:left w:val="single" w:sz="4" w:space="0" w:color="000000"/>
              <w:bottom w:val="single" w:sz="4" w:space="0" w:color="000000"/>
              <w:right w:val="single" w:sz="4" w:space="0" w:color="000000"/>
            </w:tcBorders>
            <w:vAlign w:val="center"/>
          </w:tcPr>
          <w:p w14:paraId="46E46F3F" w14:textId="77777777" w:rsidR="00590F19" w:rsidRPr="00DF5143" w:rsidRDefault="00590F19" w:rsidP="00D50903">
            <w:pPr>
              <w:pStyle w:val="TableParagraph"/>
              <w:ind w:left="828" w:right="90"/>
              <w:rPr>
                <w:rFonts w:ascii="Arial" w:hAnsi="Arial" w:cs="Arial"/>
              </w:rPr>
            </w:pPr>
            <w:r w:rsidRPr="00DF5143">
              <w:rPr>
                <w:rFonts w:ascii="Arial" w:hAnsi="Arial" w:cs="Arial"/>
              </w:rPr>
              <w:t>$20,000 to $21,999</w:t>
            </w:r>
          </w:p>
        </w:tc>
        <w:tc>
          <w:tcPr>
            <w:tcW w:w="3150" w:type="dxa"/>
            <w:tcBorders>
              <w:top w:val="single" w:sz="4" w:space="0" w:color="000000"/>
              <w:left w:val="single" w:sz="4" w:space="0" w:color="000000"/>
              <w:bottom w:val="single" w:sz="4" w:space="0" w:color="000000"/>
              <w:right w:val="single" w:sz="4" w:space="0" w:color="000000"/>
            </w:tcBorders>
            <w:vAlign w:val="center"/>
          </w:tcPr>
          <w:p w14:paraId="448C9B41" w14:textId="77777777" w:rsidR="00590F19" w:rsidRPr="00DF5143" w:rsidRDefault="00590F19" w:rsidP="00D50903">
            <w:pPr>
              <w:pStyle w:val="TableParagraph"/>
              <w:ind w:left="827"/>
              <w:rPr>
                <w:rFonts w:ascii="Arial" w:hAnsi="Arial" w:cs="Arial"/>
              </w:rPr>
            </w:pPr>
            <w:r w:rsidRPr="00DF5143">
              <w:rPr>
                <w:rFonts w:ascii="Arial" w:hAnsi="Arial" w:cs="Arial"/>
              </w:rPr>
              <w:t>$467</w:t>
            </w:r>
          </w:p>
        </w:tc>
      </w:tr>
      <w:tr w:rsidR="00590F19" w:rsidRPr="00E71D7A" w14:paraId="309BF24A" w14:textId="77777777" w:rsidTr="00DF5143">
        <w:trPr>
          <w:trHeight w:val="299"/>
          <w:jc w:val="center"/>
        </w:trPr>
        <w:tc>
          <w:tcPr>
            <w:tcW w:w="895" w:type="dxa"/>
            <w:tcBorders>
              <w:top w:val="single" w:sz="4" w:space="0" w:color="000000"/>
              <w:left w:val="single" w:sz="4" w:space="0" w:color="000000"/>
              <w:bottom w:val="single" w:sz="4" w:space="0" w:color="000000"/>
              <w:right w:val="single" w:sz="4" w:space="0" w:color="000000"/>
            </w:tcBorders>
            <w:vAlign w:val="center"/>
          </w:tcPr>
          <w:p w14:paraId="11610F86" w14:textId="77777777" w:rsidR="00590F19" w:rsidRPr="00DF5143" w:rsidRDefault="00590F19" w:rsidP="00D50903">
            <w:pPr>
              <w:pStyle w:val="TableParagraph"/>
              <w:ind w:left="110" w:right="132"/>
              <w:jc w:val="center"/>
              <w:rPr>
                <w:rFonts w:ascii="Arial" w:hAnsi="Arial" w:cs="Arial"/>
              </w:rPr>
            </w:pPr>
            <w:r w:rsidRPr="00DF5143">
              <w:rPr>
                <w:rFonts w:ascii="Arial" w:hAnsi="Arial" w:cs="Arial"/>
              </w:rPr>
              <w:t>12.</w:t>
            </w:r>
          </w:p>
        </w:tc>
        <w:tc>
          <w:tcPr>
            <w:tcW w:w="5310" w:type="dxa"/>
            <w:tcBorders>
              <w:top w:val="single" w:sz="4" w:space="0" w:color="000000"/>
              <w:left w:val="single" w:sz="4" w:space="0" w:color="000000"/>
              <w:bottom w:val="single" w:sz="4" w:space="0" w:color="000000"/>
              <w:right w:val="single" w:sz="4" w:space="0" w:color="000000"/>
            </w:tcBorders>
            <w:vAlign w:val="center"/>
          </w:tcPr>
          <w:p w14:paraId="539D498A" w14:textId="77777777" w:rsidR="00590F19" w:rsidRPr="00DF5143" w:rsidRDefault="00590F19" w:rsidP="00D50903">
            <w:pPr>
              <w:pStyle w:val="TableParagraph"/>
              <w:ind w:left="828" w:right="90"/>
              <w:rPr>
                <w:rFonts w:ascii="Arial" w:hAnsi="Arial" w:cs="Arial"/>
              </w:rPr>
            </w:pPr>
            <w:r w:rsidRPr="00DF5143">
              <w:rPr>
                <w:rFonts w:ascii="Arial" w:hAnsi="Arial" w:cs="Arial"/>
              </w:rPr>
              <w:t>$22,000 to $23,999</w:t>
            </w:r>
          </w:p>
        </w:tc>
        <w:tc>
          <w:tcPr>
            <w:tcW w:w="3150" w:type="dxa"/>
            <w:tcBorders>
              <w:top w:val="single" w:sz="4" w:space="0" w:color="000000"/>
              <w:left w:val="single" w:sz="4" w:space="0" w:color="000000"/>
              <w:bottom w:val="single" w:sz="4" w:space="0" w:color="000000"/>
              <w:right w:val="single" w:sz="4" w:space="0" w:color="000000"/>
            </w:tcBorders>
            <w:vAlign w:val="center"/>
          </w:tcPr>
          <w:p w14:paraId="541B265F" w14:textId="77777777" w:rsidR="00590F19" w:rsidRPr="00DF5143" w:rsidRDefault="00590F19" w:rsidP="00D50903">
            <w:pPr>
              <w:pStyle w:val="TableParagraph"/>
              <w:ind w:left="827"/>
              <w:rPr>
                <w:rFonts w:ascii="Arial" w:hAnsi="Arial" w:cs="Arial"/>
              </w:rPr>
            </w:pPr>
            <w:r w:rsidRPr="00DF5143">
              <w:rPr>
                <w:rFonts w:ascii="Arial" w:hAnsi="Arial" w:cs="Arial"/>
              </w:rPr>
              <w:t>$513</w:t>
            </w:r>
          </w:p>
        </w:tc>
      </w:tr>
      <w:tr w:rsidR="00590F19" w:rsidRPr="00E71D7A" w14:paraId="01966CD0" w14:textId="77777777" w:rsidTr="00DF5143">
        <w:trPr>
          <w:trHeight w:val="299"/>
          <w:jc w:val="center"/>
        </w:trPr>
        <w:tc>
          <w:tcPr>
            <w:tcW w:w="895" w:type="dxa"/>
            <w:tcBorders>
              <w:top w:val="single" w:sz="4" w:space="0" w:color="000000"/>
              <w:left w:val="single" w:sz="4" w:space="0" w:color="000000"/>
              <w:bottom w:val="single" w:sz="4" w:space="0" w:color="000000"/>
              <w:right w:val="single" w:sz="4" w:space="0" w:color="000000"/>
            </w:tcBorders>
            <w:vAlign w:val="center"/>
          </w:tcPr>
          <w:p w14:paraId="69AACA4F" w14:textId="77777777" w:rsidR="00590F19" w:rsidRPr="00DF5143" w:rsidRDefault="00590F19" w:rsidP="00D50903">
            <w:pPr>
              <w:pStyle w:val="TableParagraph"/>
              <w:spacing w:before="36"/>
              <w:ind w:left="110" w:right="132"/>
              <w:jc w:val="center"/>
              <w:rPr>
                <w:rFonts w:ascii="Arial" w:hAnsi="Arial" w:cs="Arial"/>
              </w:rPr>
            </w:pPr>
            <w:r w:rsidRPr="00DF5143">
              <w:rPr>
                <w:rFonts w:ascii="Arial" w:hAnsi="Arial" w:cs="Arial"/>
              </w:rPr>
              <w:t>13.</w:t>
            </w:r>
          </w:p>
        </w:tc>
        <w:tc>
          <w:tcPr>
            <w:tcW w:w="5310" w:type="dxa"/>
            <w:tcBorders>
              <w:top w:val="single" w:sz="4" w:space="0" w:color="000000"/>
              <w:left w:val="single" w:sz="4" w:space="0" w:color="000000"/>
              <w:bottom w:val="single" w:sz="4" w:space="0" w:color="000000"/>
              <w:right w:val="single" w:sz="4" w:space="0" w:color="000000"/>
            </w:tcBorders>
            <w:vAlign w:val="center"/>
          </w:tcPr>
          <w:p w14:paraId="58203933" w14:textId="77777777" w:rsidR="00590F19" w:rsidRPr="00DF5143" w:rsidRDefault="00590F19" w:rsidP="00D50903">
            <w:pPr>
              <w:pStyle w:val="TableParagraph"/>
              <w:spacing w:before="36"/>
              <w:ind w:left="828" w:right="90"/>
              <w:rPr>
                <w:rFonts w:ascii="Arial" w:hAnsi="Arial" w:cs="Arial"/>
              </w:rPr>
            </w:pPr>
            <w:r w:rsidRPr="00DF5143">
              <w:rPr>
                <w:rFonts w:ascii="Arial" w:hAnsi="Arial" w:cs="Arial"/>
              </w:rPr>
              <w:t>$24,000 to $25,999</w:t>
            </w:r>
          </w:p>
        </w:tc>
        <w:tc>
          <w:tcPr>
            <w:tcW w:w="3150" w:type="dxa"/>
            <w:tcBorders>
              <w:top w:val="single" w:sz="4" w:space="0" w:color="000000"/>
              <w:left w:val="single" w:sz="4" w:space="0" w:color="000000"/>
              <w:bottom w:val="single" w:sz="4" w:space="0" w:color="000000"/>
              <w:right w:val="single" w:sz="4" w:space="0" w:color="000000"/>
            </w:tcBorders>
            <w:vAlign w:val="center"/>
          </w:tcPr>
          <w:p w14:paraId="673F4712" w14:textId="77777777" w:rsidR="00590F19" w:rsidRPr="00DF5143" w:rsidRDefault="00590F19" w:rsidP="00D50903">
            <w:pPr>
              <w:pStyle w:val="TableParagraph"/>
              <w:spacing w:before="36"/>
              <w:ind w:left="827"/>
              <w:rPr>
                <w:rFonts w:ascii="Arial" w:hAnsi="Arial" w:cs="Arial"/>
              </w:rPr>
            </w:pPr>
            <w:r w:rsidRPr="00DF5143">
              <w:rPr>
                <w:rFonts w:ascii="Arial" w:hAnsi="Arial" w:cs="Arial"/>
              </w:rPr>
              <w:t>$560</w:t>
            </w:r>
          </w:p>
        </w:tc>
      </w:tr>
      <w:tr w:rsidR="00590F19" w:rsidRPr="00E71D7A" w14:paraId="07436C9C" w14:textId="77777777" w:rsidTr="00DF5143">
        <w:trPr>
          <w:trHeight w:val="299"/>
          <w:jc w:val="center"/>
        </w:trPr>
        <w:tc>
          <w:tcPr>
            <w:tcW w:w="895" w:type="dxa"/>
            <w:tcBorders>
              <w:top w:val="single" w:sz="4" w:space="0" w:color="000000"/>
              <w:left w:val="single" w:sz="4" w:space="0" w:color="000000"/>
              <w:bottom w:val="single" w:sz="4" w:space="0" w:color="000000"/>
              <w:right w:val="single" w:sz="4" w:space="0" w:color="000000"/>
            </w:tcBorders>
            <w:vAlign w:val="center"/>
          </w:tcPr>
          <w:p w14:paraId="02D910ED" w14:textId="77777777" w:rsidR="00590F19" w:rsidRPr="00DF5143" w:rsidRDefault="00590F19" w:rsidP="00D50903">
            <w:pPr>
              <w:pStyle w:val="TableParagraph"/>
              <w:spacing w:before="36"/>
              <w:ind w:left="110" w:right="132"/>
              <w:jc w:val="center"/>
              <w:rPr>
                <w:rFonts w:ascii="Arial" w:hAnsi="Arial" w:cs="Arial"/>
              </w:rPr>
            </w:pPr>
            <w:r w:rsidRPr="00DF5143">
              <w:rPr>
                <w:rFonts w:ascii="Arial" w:hAnsi="Arial" w:cs="Arial"/>
              </w:rPr>
              <w:t>14.</w:t>
            </w:r>
          </w:p>
        </w:tc>
        <w:tc>
          <w:tcPr>
            <w:tcW w:w="5310" w:type="dxa"/>
            <w:tcBorders>
              <w:top w:val="single" w:sz="4" w:space="0" w:color="000000"/>
              <w:left w:val="single" w:sz="4" w:space="0" w:color="000000"/>
              <w:bottom w:val="single" w:sz="4" w:space="0" w:color="000000"/>
              <w:right w:val="single" w:sz="4" w:space="0" w:color="000000"/>
            </w:tcBorders>
            <w:vAlign w:val="center"/>
          </w:tcPr>
          <w:p w14:paraId="5C6B11C3" w14:textId="77777777" w:rsidR="00590F19" w:rsidRPr="00DF5143" w:rsidRDefault="00590F19" w:rsidP="00D50903">
            <w:pPr>
              <w:pStyle w:val="TableParagraph"/>
              <w:spacing w:before="36"/>
              <w:ind w:left="828" w:right="90"/>
              <w:rPr>
                <w:rFonts w:ascii="Arial" w:hAnsi="Arial" w:cs="Arial"/>
              </w:rPr>
            </w:pPr>
            <w:r w:rsidRPr="00DF5143">
              <w:rPr>
                <w:rFonts w:ascii="Arial" w:hAnsi="Arial" w:cs="Arial"/>
              </w:rPr>
              <w:t>$26,000 to $27,999</w:t>
            </w:r>
          </w:p>
        </w:tc>
        <w:tc>
          <w:tcPr>
            <w:tcW w:w="3150" w:type="dxa"/>
            <w:tcBorders>
              <w:top w:val="single" w:sz="4" w:space="0" w:color="000000"/>
              <w:left w:val="single" w:sz="4" w:space="0" w:color="000000"/>
              <w:bottom w:val="single" w:sz="4" w:space="0" w:color="000000"/>
              <w:right w:val="single" w:sz="4" w:space="0" w:color="000000"/>
            </w:tcBorders>
            <w:vAlign w:val="center"/>
          </w:tcPr>
          <w:p w14:paraId="12955DFD" w14:textId="77777777" w:rsidR="00590F19" w:rsidRPr="00DF5143" w:rsidRDefault="00590F19" w:rsidP="00D50903">
            <w:pPr>
              <w:pStyle w:val="TableParagraph"/>
              <w:spacing w:before="36"/>
              <w:ind w:left="827"/>
              <w:rPr>
                <w:rFonts w:ascii="Arial" w:hAnsi="Arial" w:cs="Arial"/>
              </w:rPr>
            </w:pPr>
            <w:r w:rsidRPr="00DF5143">
              <w:rPr>
                <w:rFonts w:ascii="Arial" w:hAnsi="Arial" w:cs="Arial"/>
              </w:rPr>
              <w:t>$607</w:t>
            </w:r>
          </w:p>
        </w:tc>
      </w:tr>
      <w:tr w:rsidR="00590F19" w:rsidRPr="00E71D7A" w14:paraId="18928E27" w14:textId="77777777" w:rsidTr="00DF5143">
        <w:trPr>
          <w:trHeight w:val="299"/>
          <w:jc w:val="center"/>
        </w:trPr>
        <w:tc>
          <w:tcPr>
            <w:tcW w:w="895" w:type="dxa"/>
            <w:tcBorders>
              <w:top w:val="single" w:sz="4" w:space="0" w:color="000000"/>
              <w:left w:val="single" w:sz="4" w:space="0" w:color="000000"/>
              <w:bottom w:val="single" w:sz="4" w:space="0" w:color="000000"/>
              <w:right w:val="single" w:sz="4" w:space="0" w:color="000000"/>
            </w:tcBorders>
            <w:vAlign w:val="center"/>
          </w:tcPr>
          <w:p w14:paraId="40AA4AE7" w14:textId="77777777" w:rsidR="00590F19" w:rsidRPr="00DF5143" w:rsidRDefault="00590F19" w:rsidP="00D50903">
            <w:pPr>
              <w:pStyle w:val="TableParagraph"/>
              <w:spacing w:before="36"/>
              <w:ind w:left="110" w:right="132"/>
              <w:jc w:val="center"/>
              <w:rPr>
                <w:rFonts w:ascii="Arial" w:hAnsi="Arial" w:cs="Arial"/>
              </w:rPr>
            </w:pPr>
            <w:r w:rsidRPr="00DF5143">
              <w:rPr>
                <w:rFonts w:ascii="Arial" w:hAnsi="Arial" w:cs="Arial"/>
              </w:rPr>
              <w:t>15.</w:t>
            </w:r>
          </w:p>
        </w:tc>
        <w:tc>
          <w:tcPr>
            <w:tcW w:w="5310" w:type="dxa"/>
            <w:tcBorders>
              <w:top w:val="single" w:sz="4" w:space="0" w:color="000000"/>
              <w:left w:val="single" w:sz="4" w:space="0" w:color="000000"/>
              <w:bottom w:val="single" w:sz="4" w:space="0" w:color="000000"/>
              <w:right w:val="single" w:sz="4" w:space="0" w:color="000000"/>
            </w:tcBorders>
            <w:vAlign w:val="center"/>
          </w:tcPr>
          <w:p w14:paraId="60085C87" w14:textId="77777777" w:rsidR="00590F19" w:rsidRPr="00DF5143" w:rsidRDefault="00590F19" w:rsidP="00D50903">
            <w:pPr>
              <w:pStyle w:val="TableParagraph"/>
              <w:spacing w:before="36"/>
              <w:ind w:left="828" w:right="90"/>
              <w:rPr>
                <w:rFonts w:ascii="Arial" w:hAnsi="Arial" w:cs="Arial"/>
              </w:rPr>
            </w:pPr>
            <w:r w:rsidRPr="00DF5143">
              <w:rPr>
                <w:rFonts w:ascii="Arial" w:hAnsi="Arial" w:cs="Arial"/>
              </w:rPr>
              <w:t>$28,000 to $29,999</w:t>
            </w:r>
          </w:p>
        </w:tc>
        <w:tc>
          <w:tcPr>
            <w:tcW w:w="3150" w:type="dxa"/>
            <w:tcBorders>
              <w:top w:val="single" w:sz="4" w:space="0" w:color="000000"/>
              <w:left w:val="single" w:sz="4" w:space="0" w:color="000000"/>
              <w:bottom w:val="single" w:sz="4" w:space="0" w:color="000000"/>
              <w:right w:val="single" w:sz="4" w:space="0" w:color="000000"/>
            </w:tcBorders>
            <w:vAlign w:val="center"/>
          </w:tcPr>
          <w:p w14:paraId="3BD2945D" w14:textId="77777777" w:rsidR="00590F19" w:rsidRPr="00DF5143" w:rsidRDefault="00590F19" w:rsidP="00D50903">
            <w:pPr>
              <w:pStyle w:val="TableParagraph"/>
              <w:spacing w:before="36"/>
              <w:ind w:left="827"/>
              <w:rPr>
                <w:rFonts w:ascii="Arial" w:hAnsi="Arial" w:cs="Arial"/>
              </w:rPr>
            </w:pPr>
            <w:r w:rsidRPr="00DF5143">
              <w:rPr>
                <w:rFonts w:ascii="Arial" w:hAnsi="Arial" w:cs="Arial"/>
              </w:rPr>
              <w:t>$653</w:t>
            </w:r>
          </w:p>
        </w:tc>
      </w:tr>
      <w:tr w:rsidR="00590F19" w:rsidRPr="00E71D7A" w14:paraId="595B31E8" w14:textId="77777777" w:rsidTr="00DF5143">
        <w:trPr>
          <w:trHeight w:val="299"/>
          <w:jc w:val="center"/>
        </w:trPr>
        <w:tc>
          <w:tcPr>
            <w:tcW w:w="895" w:type="dxa"/>
            <w:tcBorders>
              <w:top w:val="single" w:sz="4" w:space="0" w:color="000000"/>
              <w:left w:val="single" w:sz="4" w:space="0" w:color="000000"/>
              <w:bottom w:val="single" w:sz="4" w:space="0" w:color="000000"/>
              <w:right w:val="single" w:sz="4" w:space="0" w:color="000000"/>
            </w:tcBorders>
            <w:vAlign w:val="center"/>
          </w:tcPr>
          <w:p w14:paraId="496423E4" w14:textId="77777777" w:rsidR="00590F19" w:rsidRPr="00DF5143" w:rsidRDefault="00590F19" w:rsidP="00D50903">
            <w:pPr>
              <w:pStyle w:val="TableParagraph"/>
              <w:ind w:left="110" w:right="132"/>
              <w:jc w:val="center"/>
              <w:rPr>
                <w:rFonts w:ascii="Arial" w:hAnsi="Arial" w:cs="Arial"/>
              </w:rPr>
            </w:pPr>
            <w:r w:rsidRPr="00DF5143">
              <w:rPr>
                <w:rFonts w:ascii="Arial" w:hAnsi="Arial" w:cs="Arial"/>
              </w:rPr>
              <w:t>16.</w:t>
            </w:r>
          </w:p>
        </w:tc>
        <w:tc>
          <w:tcPr>
            <w:tcW w:w="5310" w:type="dxa"/>
            <w:tcBorders>
              <w:top w:val="single" w:sz="4" w:space="0" w:color="000000"/>
              <w:left w:val="single" w:sz="4" w:space="0" w:color="000000"/>
              <w:bottom w:val="single" w:sz="4" w:space="0" w:color="000000"/>
              <w:right w:val="single" w:sz="4" w:space="0" w:color="000000"/>
            </w:tcBorders>
            <w:vAlign w:val="center"/>
          </w:tcPr>
          <w:p w14:paraId="21C1C4BC" w14:textId="77777777" w:rsidR="00590F19" w:rsidRPr="00DF5143" w:rsidRDefault="00590F19" w:rsidP="00D50903">
            <w:pPr>
              <w:pStyle w:val="TableParagraph"/>
              <w:ind w:left="828" w:right="90"/>
              <w:rPr>
                <w:rFonts w:ascii="Arial" w:hAnsi="Arial" w:cs="Arial"/>
              </w:rPr>
            </w:pPr>
            <w:r w:rsidRPr="00DF5143">
              <w:rPr>
                <w:rFonts w:ascii="Arial" w:hAnsi="Arial" w:cs="Arial"/>
              </w:rPr>
              <w:t>$30,000 to $31,999</w:t>
            </w:r>
          </w:p>
        </w:tc>
        <w:tc>
          <w:tcPr>
            <w:tcW w:w="3150" w:type="dxa"/>
            <w:tcBorders>
              <w:top w:val="single" w:sz="4" w:space="0" w:color="000000"/>
              <w:left w:val="single" w:sz="4" w:space="0" w:color="000000"/>
              <w:bottom w:val="single" w:sz="4" w:space="0" w:color="000000"/>
              <w:right w:val="single" w:sz="4" w:space="0" w:color="000000"/>
            </w:tcBorders>
            <w:vAlign w:val="center"/>
          </w:tcPr>
          <w:p w14:paraId="21A53126" w14:textId="77777777" w:rsidR="00590F19" w:rsidRPr="00DF5143" w:rsidRDefault="00590F19" w:rsidP="00D50903">
            <w:pPr>
              <w:pStyle w:val="TableParagraph"/>
              <w:ind w:left="827"/>
              <w:rPr>
                <w:rFonts w:ascii="Arial" w:hAnsi="Arial" w:cs="Arial"/>
              </w:rPr>
            </w:pPr>
            <w:r w:rsidRPr="00DF5143">
              <w:rPr>
                <w:rFonts w:ascii="Arial" w:hAnsi="Arial" w:cs="Arial"/>
              </w:rPr>
              <w:t>$700</w:t>
            </w:r>
          </w:p>
        </w:tc>
      </w:tr>
      <w:tr w:rsidR="00590F19" w:rsidRPr="00E71D7A" w14:paraId="50DF1EA2" w14:textId="77777777" w:rsidTr="00DF5143">
        <w:trPr>
          <w:trHeight w:val="299"/>
          <w:jc w:val="center"/>
        </w:trPr>
        <w:tc>
          <w:tcPr>
            <w:tcW w:w="895" w:type="dxa"/>
            <w:tcBorders>
              <w:top w:val="single" w:sz="4" w:space="0" w:color="000000"/>
              <w:left w:val="single" w:sz="4" w:space="0" w:color="000000"/>
              <w:bottom w:val="single" w:sz="4" w:space="0" w:color="000000"/>
              <w:right w:val="single" w:sz="4" w:space="0" w:color="000000"/>
            </w:tcBorders>
            <w:vAlign w:val="center"/>
          </w:tcPr>
          <w:p w14:paraId="1A96667A" w14:textId="77777777" w:rsidR="00590F19" w:rsidRPr="00DF5143" w:rsidRDefault="00590F19" w:rsidP="00D50903">
            <w:pPr>
              <w:pStyle w:val="TableParagraph"/>
              <w:ind w:left="110" w:right="132"/>
              <w:jc w:val="center"/>
              <w:rPr>
                <w:rFonts w:ascii="Arial" w:hAnsi="Arial" w:cs="Arial"/>
              </w:rPr>
            </w:pPr>
            <w:r w:rsidRPr="00DF5143">
              <w:rPr>
                <w:rFonts w:ascii="Arial" w:hAnsi="Arial" w:cs="Arial"/>
              </w:rPr>
              <w:t>17.</w:t>
            </w:r>
          </w:p>
        </w:tc>
        <w:tc>
          <w:tcPr>
            <w:tcW w:w="5310" w:type="dxa"/>
            <w:tcBorders>
              <w:top w:val="single" w:sz="4" w:space="0" w:color="000000"/>
              <w:left w:val="single" w:sz="4" w:space="0" w:color="000000"/>
              <w:bottom w:val="single" w:sz="4" w:space="0" w:color="000000"/>
              <w:right w:val="single" w:sz="4" w:space="0" w:color="000000"/>
            </w:tcBorders>
            <w:vAlign w:val="center"/>
          </w:tcPr>
          <w:p w14:paraId="16E61DF4" w14:textId="77777777" w:rsidR="00590F19" w:rsidRPr="00DF5143" w:rsidRDefault="00590F19" w:rsidP="00D50903">
            <w:pPr>
              <w:pStyle w:val="TableParagraph"/>
              <w:ind w:left="828" w:right="90"/>
              <w:rPr>
                <w:rFonts w:ascii="Arial" w:hAnsi="Arial" w:cs="Arial"/>
              </w:rPr>
            </w:pPr>
            <w:r w:rsidRPr="00DF5143">
              <w:rPr>
                <w:rFonts w:ascii="Arial" w:hAnsi="Arial" w:cs="Arial"/>
              </w:rPr>
              <w:t>$32,000 to $33,999</w:t>
            </w:r>
          </w:p>
        </w:tc>
        <w:tc>
          <w:tcPr>
            <w:tcW w:w="3150" w:type="dxa"/>
            <w:tcBorders>
              <w:top w:val="single" w:sz="4" w:space="0" w:color="000000"/>
              <w:left w:val="single" w:sz="4" w:space="0" w:color="000000"/>
              <w:bottom w:val="single" w:sz="4" w:space="0" w:color="000000"/>
              <w:right w:val="single" w:sz="4" w:space="0" w:color="000000"/>
            </w:tcBorders>
            <w:vAlign w:val="center"/>
          </w:tcPr>
          <w:p w14:paraId="1517E5FF" w14:textId="77777777" w:rsidR="00590F19" w:rsidRPr="00DF5143" w:rsidRDefault="00590F19" w:rsidP="00D50903">
            <w:pPr>
              <w:pStyle w:val="TableParagraph"/>
              <w:ind w:left="827"/>
              <w:rPr>
                <w:rFonts w:ascii="Arial" w:hAnsi="Arial" w:cs="Arial"/>
              </w:rPr>
            </w:pPr>
            <w:r w:rsidRPr="00DF5143">
              <w:rPr>
                <w:rFonts w:ascii="Arial" w:hAnsi="Arial" w:cs="Arial"/>
              </w:rPr>
              <w:t>$747</w:t>
            </w:r>
          </w:p>
        </w:tc>
      </w:tr>
      <w:tr w:rsidR="00590F19" w:rsidRPr="00E71D7A" w14:paraId="4C09A6B7" w14:textId="77777777" w:rsidTr="00DF5143">
        <w:trPr>
          <w:trHeight w:val="299"/>
          <w:jc w:val="center"/>
        </w:trPr>
        <w:tc>
          <w:tcPr>
            <w:tcW w:w="895" w:type="dxa"/>
            <w:tcBorders>
              <w:top w:val="single" w:sz="4" w:space="0" w:color="000000"/>
              <w:left w:val="single" w:sz="4" w:space="0" w:color="000000"/>
              <w:bottom w:val="single" w:sz="4" w:space="0" w:color="000000"/>
              <w:right w:val="single" w:sz="4" w:space="0" w:color="000000"/>
            </w:tcBorders>
            <w:vAlign w:val="center"/>
          </w:tcPr>
          <w:p w14:paraId="1AA71322" w14:textId="77777777" w:rsidR="00590F19" w:rsidRPr="00DF5143" w:rsidRDefault="00590F19" w:rsidP="00D50903">
            <w:pPr>
              <w:pStyle w:val="TableParagraph"/>
              <w:ind w:left="110" w:right="132"/>
              <w:jc w:val="center"/>
              <w:rPr>
                <w:rFonts w:ascii="Arial" w:hAnsi="Arial" w:cs="Arial"/>
              </w:rPr>
            </w:pPr>
            <w:r w:rsidRPr="00DF5143">
              <w:rPr>
                <w:rFonts w:ascii="Arial" w:hAnsi="Arial" w:cs="Arial"/>
              </w:rPr>
              <w:t>18.</w:t>
            </w:r>
          </w:p>
        </w:tc>
        <w:tc>
          <w:tcPr>
            <w:tcW w:w="5310" w:type="dxa"/>
            <w:tcBorders>
              <w:top w:val="single" w:sz="4" w:space="0" w:color="000000"/>
              <w:left w:val="single" w:sz="4" w:space="0" w:color="000000"/>
              <w:bottom w:val="single" w:sz="4" w:space="0" w:color="000000"/>
              <w:right w:val="single" w:sz="4" w:space="0" w:color="000000"/>
            </w:tcBorders>
            <w:vAlign w:val="center"/>
          </w:tcPr>
          <w:p w14:paraId="1695B082" w14:textId="77777777" w:rsidR="00590F19" w:rsidRPr="00DF5143" w:rsidRDefault="00590F19" w:rsidP="00D50903">
            <w:pPr>
              <w:pStyle w:val="TableParagraph"/>
              <w:ind w:left="828" w:right="90"/>
              <w:rPr>
                <w:rFonts w:ascii="Arial" w:hAnsi="Arial" w:cs="Arial"/>
              </w:rPr>
            </w:pPr>
            <w:r w:rsidRPr="00DF5143">
              <w:rPr>
                <w:rFonts w:ascii="Arial" w:hAnsi="Arial" w:cs="Arial"/>
              </w:rPr>
              <w:t>$34,000 to $35,999</w:t>
            </w:r>
          </w:p>
        </w:tc>
        <w:tc>
          <w:tcPr>
            <w:tcW w:w="3150" w:type="dxa"/>
            <w:tcBorders>
              <w:top w:val="single" w:sz="4" w:space="0" w:color="000000"/>
              <w:left w:val="single" w:sz="4" w:space="0" w:color="000000"/>
              <w:bottom w:val="single" w:sz="4" w:space="0" w:color="000000"/>
              <w:right w:val="single" w:sz="4" w:space="0" w:color="000000"/>
            </w:tcBorders>
            <w:vAlign w:val="center"/>
          </w:tcPr>
          <w:p w14:paraId="07A124B3" w14:textId="77777777" w:rsidR="00590F19" w:rsidRPr="00DF5143" w:rsidRDefault="00590F19" w:rsidP="00D50903">
            <w:pPr>
              <w:pStyle w:val="TableParagraph"/>
              <w:ind w:left="827"/>
              <w:rPr>
                <w:rFonts w:ascii="Arial" w:hAnsi="Arial" w:cs="Arial"/>
              </w:rPr>
            </w:pPr>
            <w:r w:rsidRPr="00DF5143">
              <w:rPr>
                <w:rFonts w:ascii="Arial" w:hAnsi="Arial" w:cs="Arial"/>
              </w:rPr>
              <w:t>$793</w:t>
            </w:r>
          </w:p>
        </w:tc>
      </w:tr>
      <w:tr w:rsidR="00590F19" w:rsidRPr="00E71D7A" w14:paraId="725E7A28" w14:textId="77777777" w:rsidTr="00DF5143">
        <w:trPr>
          <w:trHeight w:val="299"/>
          <w:jc w:val="center"/>
        </w:trPr>
        <w:tc>
          <w:tcPr>
            <w:tcW w:w="895" w:type="dxa"/>
            <w:tcBorders>
              <w:top w:val="single" w:sz="4" w:space="0" w:color="000000"/>
              <w:left w:val="single" w:sz="4" w:space="0" w:color="000000"/>
              <w:bottom w:val="single" w:sz="4" w:space="0" w:color="000000"/>
              <w:right w:val="single" w:sz="4" w:space="0" w:color="000000"/>
            </w:tcBorders>
            <w:vAlign w:val="center"/>
          </w:tcPr>
          <w:p w14:paraId="294DA375" w14:textId="77777777" w:rsidR="00590F19" w:rsidRPr="00DF5143" w:rsidRDefault="00590F19" w:rsidP="00D50903">
            <w:pPr>
              <w:pStyle w:val="TableParagraph"/>
              <w:spacing w:before="36"/>
              <w:ind w:left="110" w:right="132"/>
              <w:jc w:val="center"/>
              <w:rPr>
                <w:rFonts w:ascii="Arial" w:hAnsi="Arial" w:cs="Arial"/>
              </w:rPr>
            </w:pPr>
            <w:r w:rsidRPr="00DF5143">
              <w:rPr>
                <w:rFonts w:ascii="Arial" w:hAnsi="Arial" w:cs="Arial"/>
              </w:rPr>
              <w:t>19.</w:t>
            </w:r>
          </w:p>
        </w:tc>
        <w:tc>
          <w:tcPr>
            <w:tcW w:w="5310" w:type="dxa"/>
            <w:tcBorders>
              <w:top w:val="single" w:sz="4" w:space="0" w:color="000000"/>
              <w:left w:val="single" w:sz="4" w:space="0" w:color="000000"/>
              <w:bottom w:val="single" w:sz="4" w:space="0" w:color="000000"/>
              <w:right w:val="single" w:sz="4" w:space="0" w:color="000000"/>
            </w:tcBorders>
            <w:vAlign w:val="center"/>
          </w:tcPr>
          <w:p w14:paraId="22848557" w14:textId="77777777" w:rsidR="00590F19" w:rsidRPr="00DF5143" w:rsidRDefault="00590F19" w:rsidP="00D50903">
            <w:pPr>
              <w:pStyle w:val="TableParagraph"/>
              <w:spacing w:before="36"/>
              <w:ind w:left="828" w:right="90"/>
              <w:rPr>
                <w:rFonts w:ascii="Arial" w:hAnsi="Arial" w:cs="Arial"/>
              </w:rPr>
            </w:pPr>
            <w:r w:rsidRPr="00DF5143">
              <w:rPr>
                <w:rFonts w:ascii="Arial" w:hAnsi="Arial" w:cs="Arial"/>
              </w:rPr>
              <w:t>$36,000 to $37,999</w:t>
            </w:r>
          </w:p>
        </w:tc>
        <w:tc>
          <w:tcPr>
            <w:tcW w:w="3150" w:type="dxa"/>
            <w:tcBorders>
              <w:top w:val="single" w:sz="4" w:space="0" w:color="000000"/>
              <w:left w:val="single" w:sz="4" w:space="0" w:color="000000"/>
              <w:bottom w:val="single" w:sz="4" w:space="0" w:color="000000"/>
              <w:right w:val="single" w:sz="4" w:space="0" w:color="000000"/>
            </w:tcBorders>
            <w:vAlign w:val="center"/>
          </w:tcPr>
          <w:p w14:paraId="50FC192B" w14:textId="77777777" w:rsidR="00590F19" w:rsidRPr="00DF5143" w:rsidRDefault="00590F19" w:rsidP="00D50903">
            <w:pPr>
              <w:pStyle w:val="TableParagraph"/>
              <w:spacing w:before="36"/>
              <w:ind w:left="827"/>
              <w:rPr>
                <w:rFonts w:ascii="Arial" w:hAnsi="Arial" w:cs="Arial"/>
              </w:rPr>
            </w:pPr>
            <w:r w:rsidRPr="00DF5143">
              <w:rPr>
                <w:rFonts w:ascii="Arial" w:hAnsi="Arial" w:cs="Arial"/>
              </w:rPr>
              <w:t>$840</w:t>
            </w:r>
          </w:p>
        </w:tc>
      </w:tr>
      <w:tr w:rsidR="00590F19" w:rsidRPr="00E71D7A" w14:paraId="21B7827E" w14:textId="77777777" w:rsidTr="00DF5143">
        <w:trPr>
          <w:trHeight w:val="299"/>
          <w:jc w:val="center"/>
        </w:trPr>
        <w:tc>
          <w:tcPr>
            <w:tcW w:w="895" w:type="dxa"/>
            <w:tcBorders>
              <w:top w:val="single" w:sz="4" w:space="0" w:color="000000"/>
              <w:left w:val="single" w:sz="4" w:space="0" w:color="000000"/>
              <w:bottom w:val="single" w:sz="4" w:space="0" w:color="000000"/>
              <w:right w:val="single" w:sz="4" w:space="0" w:color="000000"/>
            </w:tcBorders>
            <w:vAlign w:val="center"/>
          </w:tcPr>
          <w:p w14:paraId="2D81542F" w14:textId="77777777" w:rsidR="00590F19" w:rsidRPr="00DF5143" w:rsidRDefault="00590F19" w:rsidP="00D50903">
            <w:pPr>
              <w:pStyle w:val="TableParagraph"/>
              <w:spacing w:before="36"/>
              <w:ind w:left="110" w:right="132"/>
              <w:jc w:val="center"/>
              <w:rPr>
                <w:rFonts w:ascii="Arial" w:hAnsi="Arial" w:cs="Arial"/>
              </w:rPr>
            </w:pPr>
            <w:r w:rsidRPr="00DF5143">
              <w:rPr>
                <w:rFonts w:ascii="Arial" w:hAnsi="Arial" w:cs="Arial"/>
              </w:rPr>
              <w:t>20.</w:t>
            </w:r>
          </w:p>
        </w:tc>
        <w:tc>
          <w:tcPr>
            <w:tcW w:w="5310" w:type="dxa"/>
            <w:tcBorders>
              <w:top w:val="single" w:sz="4" w:space="0" w:color="000000"/>
              <w:left w:val="single" w:sz="4" w:space="0" w:color="000000"/>
              <w:bottom w:val="single" w:sz="4" w:space="0" w:color="000000"/>
              <w:right w:val="single" w:sz="4" w:space="0" w:color="000000"/>
            </w:tcBorders>
            <w:vAlign w:val="center"/>
          </w:tcPr>
          <w:p w14:paraId="55874818" w14:textId="77777777" w:rsidR="00590F19" w:rsidRPr="00DF5143" w:rsidRDefault="00590F19" w:rsidP="00D50903">
            <w:pPr>
              <w:pStyle w:val="TableParagraph"/>
              <w:spacing w:before="36"/>
              <w:ind w:left="828" w:right="90"/>
              <w:rPr>
                <w:rFonts w:ascii="Arial" w:hAnsi="Arial" w:cs="Arial"/>
              </w:rPr>
            </w:pPr>
            <w:r w:rsidRPr="00DF5143">
              <w:rPr>
                <w:rFonts w:ascii="Arial" w:hAnsi="Arial" w:cs="Arial"/>
              </w:rPr>
              <w:t>$38,000 to $39,999</w:t>
            </w:r>
          </w:p>
        </w:tc>
        <w:tc>
          <w:tcPr>
            <w:tcW w:w="3150" w:type="dxa"/>
            <w:tcBorders>
              <w:top w:val="single" w:sz="4" w:space="0" w:color="000000"/>
              <w:left w:val="single" w:sz="4" w:space="0" w:color="000000"/>
              <w:bottom w:val="single" w:sz="4" w:space="0" w:color="000000"/>
              <w:right w:val="single" w:sz="4" w:space="0" w:color="000000"/>
            </w:tcBorders>
            <w:vAlign w:val="center"/>
          </w:tcPr>
          <w:p w14:paraId="41E5A353" w14:textId="77777777" w:rsidR="00590F19" w:rsidRPr="00DF5143" w:rsidRDefault="00590F19" w:rsidP="00D50903">
            <w:pPr>
              <w:pStyle w:val="TableParagraph"/>
              <w:spacing w:before="36"/>
              <w:ind w:left="827"/>
              <w:rPr>
                <w:rFonts w:ascii="Arial" w:hAnsi="Arial" w:cs="Arial"/>
              </w:rPr>
            </w:pPr>
            <w:r w:rsidRPr="00DF5143">
              <w:rPr>
                <w:rFonts w:ascii="Arial" w:hAnsi="Arial" w:cs="Arial"/>
              </w:rPr>
              <w:t>$887</w:t>
            </w:r>
          </w:p>
        </w:tc>
      </w:tr>
      <w:tr w:rsidR="00590F19" w:rsidRPr="00E71D7A" w14:paraId="6F5BA371" w14:textId="77777777" w:rsidTr="00DF5143">
        <w:trPr>
          <w:trHeight w:val="299"/>
          <w:jc w:val="center"/>
        </w:trPr>
        <w:tc>
          <w:tcPr>
            <w:tcW w:w="895" w:type="dxa"/>
            <w:tcBorders>
              <w:top w:val="single" w:sz="4" w:space="0" w:color="000000"/>
              <w:left w:val="single" w:sz="4" w:space="0" w:color="000000"/>
              <w:bottom w:val="single" w:sz="4" w:space="0" w:color="000000"/>
              <w:right w:val="single" w:sz="4" w:space="0" w:color="000000"/>
            </w:tcBorders>
            <w:vAlign w:val="center"/>
          </w:tcPr>
          <w:p w14:paraId="1815DF5D" w14:textId="77777777" w:rsidR="00590F19" w:rsidRPr="00DF5143" w:rsidRDefault="00590F19" w:rsidP="00D50903">
            <w:pPr>
              <w:pStyle w:val="TableParagraph"/>
              <w:spacing w:before="36"/>
              <w:ind w:left="110" w:right="132"/>
              <w:jc w:val="center"/>
              <w:rPr>
                <w:rFonts w:ascii="Arial" w:hAnsi="Arial" w:cs="Arial"/>
              </w:rPr>
            </w:pPr>
            <w:r w:rsidRPr="00DF5143">
              <w:rPr>
                <w:rFonts w:ascii="Arial" w:hAnsi="Arial" w:cs="Arial"/>
              </w:rPr>
              <w:t>21.</w:t>
            </w:r>
          </w:p>
        </w:tc>
        <w:tc>
          <w:tcPr>
            <w:tcW w:w="5310" w:type="dxa"/>
            <w:tcBorders>
              <w:top w:val="single" w:sz="4" w:space="0" w:color="000000"/>
              <w:left w:val="single" w:sz="4" w:space="0" w:color="000000"/>
              <w:bottom w:val="single" w:sz="4" w:space="0" w:color="000000"/>
              <w:right w:val="single" w:sz="4" w:space="0" w:color="000000"/>
            </w:tcBorders>
            <w:vAlign w:val="center"/>
          </w:tcPr>
          <w:p w14:paraId="1A26A01F" w14:textId="77777777" w:rsidR="00590F19" w:rsidRPr="00DF5143" w:rsidRDefault="00590F19" w:rsidP="00D50903">
            <w:pPr>
              <w:pStyle w:val="TableParagraph"/>
              <w:spacing w:before="36"/>
              <w:ind w:left="828" w:right="90"/>
              <w:rPr>
                <w:rFonts w:ascii="Arial" w:hAnsi="Arial" w:cs="Arial"/>
              </w:rPr>
            </w:pPr>
            <w:r w:rsidRPr="00DF5143">
              <w:rPr>
                <w:rFonts w:ascii="Arial" w:hAnsi="Arial" w:cs="Arial"/>
              </w:rPr>
              <w:t>$40,000 to $41,999</w:t>
            </w:r>
          </w:p>
        </w:tc>
        <w:tc>
          <w:tcPr>
            <w:tcW w:w="3150" w:type="dxa"/>
            <w:tcBorders>
              <w:top w:val="single" w:sz="4" w:space="0" w:color="000000"/>
              <w:left w:val="single" w:sz="4" w:space="0" w:color="000000"/>
              <w:bottom w:val="single" w:sz="4" w:space="0" w:color="000000"/>
              <w:right w:val="single" w:sz="4" w:space="0" w:color="000000"/>
            </w:tcBorders>
            <w:vAlign w:val="center"/>
          </w:tcPr>
          <w:p w14:paraId="56D9749E" w14:textId="77777777" w:rsidR="00590F19" w:rsidRPr="00DF5143" w:rsidRDefault="00590F19" w:rsidP="00D50903">
            <w:pPr>
              <w:pStyle w:val="TableParagraph"/>
              <w:spacing w:before="36"/>
              <w:ind w:left="827"/>
              <w:rPr>
                <w:rFonts w:ascii="Arial" w:hAnsi="Arial" w:cs="Arial"/>
              </w:rPr>
            </w:pPr>
            <w:r w:rsidRPr="00DF5143">
              <w:rPr>
                <w:rFonts w:ascii="Arial" w:hAnsi="Arial" w:cs="Arial"/>
              </w:rPr>
              <w:t>$933</w:t>
            </w:r>
          </w:p>
        </w:tc>
      </w:tr>
      <w:tr w:rsidR="00590F19" w:rsidRPr="00E71D7A" w14:paraId="5565FBE7" w14:textId="77777777" w:rsidTr="00DF5143">
        <w:trPr>
          <w:trHeight w:val="299"/>
          <w:jc w:val="center"/>
        </w:trPr>
        <w:tc>
          <w:tcPr>
            <w:tcW w:w="895" w:type="dxa"/>
            <w:tcBorders>
              <w:top w:val="single" w:sz="4" w:space="0" w:color="000000"/>
              <w:left w:val="single" w:sz="4" w:space="0" w:color="000000"/>
              <w:bottom w:val="single" w:sz="4" w:space="0" w:color="000000"/>
              <w:right w:val="single" w:sz="4" w:space="0" w:color="000000"/>
            </w:tcBorders>
            <w:vAlign w:val="center"/>
          </w:tcPr>
          <w:p w14:paraId="299A2249" w14:textId="77777777" w:rsidR="00590F19" w:rsidRPr="00DF5143" w:rsidRDefault="00590F19" w:rsidP="00D50903">
            <w:pPr>
              <w:pStyle w:val="TableParagraph"/>
              <w:ind w:left="110" w:right="132"/>
              <w:jc w:val="center"/>
              <w:rPr>
                <w:rFonts w:ascii="Arial" w:hAnsi="Arial" w:cs="Arial"/>
              </w:rPr>
            </w:pPr>
            <w:r w:rsidRPr="00DF5143">
              <w:rPr>
                <w:rFonts w:ascii="Arial" w:hAnsi="Arial" w:cs="Arial"/>
              </w:rPr>
              <w:t>22.</w:t>
            </w:r>
          </w:p>
        </w:tc>
        <w:tc>
          <w:tcPr>
            <w:tcW w:w="5310" w:type="dxa"/>
            <w:tcBorders>
              <w:top w:val="single" w:sz="4" w:space="0" w:color="000000"/>
              <w:left w:val="single" w:sz="4" w:space="0" w:color="000000"/>
              <w:bottom w:val="single" w:sz="4" w:space="0" w:color="000000"/>
              <w:right w:val="single" w:sz="4" w:space="0" w:color="000000"/>
            </w:tcBorders>
            <w:vAlign w:val="center"/>
          </w:tcPr>
          <w:p w14:paraId="1922044B" w14:textId="77777777" w:rsidR="00590F19" w:rsidRPr="00DF5143" w:rsidRDefault="00590F19" w:rsidP="00D50903">
            <w:pPr>
              <w:pStyle w:val="TableParagraph"/>
              <w:ind w:left="828" w:right="90"/>
              <w:rPr>
                <w:rFonts w:ascii="Arial" w:hAnsi="Arial" w:cs="Arial"/>
              </w:rPr>
            </w:pPr>
            <w:r w:rsidRPr="00DF5143">
              <w:rPr>
                <w:rFonts w:ascii="Arial" w:hAnsi="Arial" w:cs="Arial"/>
              </w:rPr>
              <w:t>$42,000 to $43,999</w:t>
            </w:r>
          </w:p>
        </w:tc>
        <w:tc>
          <w:tcPr>
            <w:tcW w:w="3150" w:type="dxa"/>
            <w:tcBorders>
              <w:top w:val="single" w:sz="4" w:space="0" w:color="000000"/>
              <w:left w:val="single" w:sz="4" w:space="0" w:color="000000"/>
              <w:bottom w:val="single" w:sz="4" w:space="0" w:color="000000"/>
              <w:right w:val="single" w:sz="4" w:space="0" w:color="000000"/>
            </w:tcBorders>
            <w:vAlign w:val="center"/>
          </w:tcPr>
          <w:p w14:paraId="490B6672" w14:textId="77777777" w:rsidR="00590F19" w:rsidRPr="00DF5143" w:rsidRDefault="00590F19" w:rsidP="00D50903">
            <w:pPr>
              <w:pStyle w:val="TableParagraph"/>
              <w:ind w:left="827"/>
              <w:rPr>
                <w:rFonts w:ascii="Arial" w:hAnsi="Arial" w:cs="Arial"/>
              </w:rPr>
            </w:pPr>
            <w:r w:rsidRPr="00DF5143">
              <w:rPr>
                <w:rFonts w:ascii="Arial" w:hAnsi="Arial" w:cs="Arial"/>
              </w:rPr>
              <w:t>$980</w:t>
            </w:r>
          </w:p>
        </w:tc>
      </w:tr>
      <w:tr w:rsidR="00590F19" w:rsidRPr="00E71D7A" w14:paraId="4ACE131F" w14:textId="77777777" w:rsidTr="00DF5143">
        <w:trPr>
          <w:trHeight w:val="299"/>
          <w:jc w:val="center"/>
        </w:trPr>
        <w:tc>
          <w:tcPr>
            <w:tcW w:w="895" w:type="dxa"/>
            <w:tcBorders>
              <w:top w:val="single" w:sz="4" w:space="0" w:color="000000"/>
              <w:left w:val="single" w:sz="4" w:space="0" w:color="000000"/>
              <w:bottom w:val="single" w:sz="4" w:space="0" w:color="000000"/>
              <w:right w:val="single" w:sz="4" w:space="0" w:color="000000"/>
            </w:tcBorders>
            <w:vAlign w:val="center"/>
          </w:tcPr>
          <w:p w14:paraId="447DBA9D" w14:textId="77777777" w:rsidR="00590F19" w:rsidRPr="00DF5143" w:rsidRDefault="00590F19" w:rsidP="00D50903">
            <w:pPr>
              <w:pStyle w:val="TableParagraph"/>
              <w:ind w:left="110" w:right="132"/>
              <w:jc w:val="center"/>
              <w:rPr>
                <w:rFonts w:ascii="Arial" w:hAnsi="Arial" w:cs="Arial"/>
              </w:rPr>
            </w:pPr>
            <w:r w:rsidRPr="00DF5143">
              <w:rPr>
                <w:rFonts w:ascii="Arial" w:hAnsi="Arial" w:cs="Arial"/>
              </w:rPr>
              <w:t>23.</w:t>
            </w:r>
          </w:p>
        </w:tc>
        <w:tc>
          <w:tcPr>
            <w:tcW w:w="5310" w:type="dxa"/>
            <w:tcBorders>
              <w:top w:val="single" w:sz="4" w:space="0" w:color="000000"/>
              <w:left w:val="single" w:sz="4" w:space="0" w:color="000000"/>
              <w:bottom w:val="single" w:sz="4" w:space="0" w:color="000000"/>
              <w:right w:val="single" w:sz="4" w:space="0" w:color="000000"/>
            </w:tcBorders>
            <w:vAlign w:val="center"/>
          </w:tcPr>
          <w:p w14:paraId="266CEFE1" w14:textId="77777777" w:rsidR="00590F19" w:rsidRPr="00DF5143" w:rsidRDefault="00590F19" w:rsidP="00D50903">
            <w:pPr>
              <w:pStyle w:val="TableParagraph"/>
              <w:ind w:left="828" w:right="90"/>
              <w:rPr>
                <w:rFonts w:ascii="Arial" w:hAnsi="Arial" w:cs="Arial"/>
              </w:rPr>
            </w:pPr>
            <w:r w:rsidRPr="00DF5143">
              <w:rPr>
                <w:rFonts w:ascii="Arial" w:hAnsi="Arial" w:cs="Arial"/>
              </w:rPr>
              <w:t>$44,000 to $45,999</w:t>
            </w:r>
          </w:p>
        </w:tc>
        <w:tc>
          <w:tcPr>
            <w:tcW w:w="3150" w:type="dxa"/>
            <w:tcBorders>
              <w:top w:val="single" w:sz="4" w:space="0" w:color="000000"/>
              <w:left w:val="single" w:sz="4" w:space="0" w:color="000000"/>
              <w:bottom w:val="single" w:sz="4" w:space="0" w:color="000000"/>
              <w:right w:val="single" w:sz="4" w:space="0" w:color="000000"/>
            </w:tcBorders>
            <w:vAlign w:val="center"/>
          </w:tcPr>
          <w:p w14:paraId="3C3B5238" w14:textId="77777777" w:rsidR="00590F19" w:rsidRPr="00DF5143" w:rsidRDefault="00590F19" w:rsidP="00D50903">
            <w:pPr>
              <w:pStyle w:val="TableParagraph"/>
              <w:ind w:left="827"/>
              <w:rPr>
                <w:rFonts w:ascii="Arial" w:hAnsi="Arial" w:cs="Arial"/>
              </w:rPr>
            </w:pPr>
            <w:r w:rsidRPr="00DF5143">
              <w:rPr>
                <w:rFonts w:ascii="Arial" w:hAnsi="Arial" w:cs="Arial"/>
              </w:rPr>
              <w:t>$1,027</w:t>
            </w:r>
          </w:p>
        </w:tc>
      </w:tr>
      <w:tr w:rsidR="00590F19" w:rsidRPr="00E71D7A" w14:paraId="64EEB9F1" w14:textId="77777777" w:rsidTr="00DF5143">
        <w:trPr>
          <w:trHeight w:val="299"/>
          <w:jc w:val="center"/>
        </w:trPr>
        <w:tc>
          <w:tcPr>
            <w:tcW w:w="895" w:type="dxa"/>
            <w:tcBorders>
              <w:top w:val="single" w:sz="4" w:space="0" w:color="000000"/>
              <w:left w:val="single" w:sz="4" w:space="0" w:color="000000"/>
              <w:bottom w:val="single" w:sz="4" w:space="0" w:color="000000"/>
              <w:right w:val="single" w:sz="4" w:space="0" w:color="000000"/>
            </w:tcBorders>
            <w:vAlign w:val="center"/>
          </w:tcPr>
          <w:p w14:paraId="5EC071DD" w14:textId="77777777" w:rsidR="00590F19" w:rsidRPr="00DF5143" w:rsidRDefault="00590F19" w:rsidP="00D50903">
            <w:pPr>
              <w:pStyle w:val="TableParagraph"/>
              <w:ind w:left="110" w:right="132"/>
              <w:jc w:val="center"/>
              <w:rPr>
                <w:rFonts w:ascii="Arial" w:hAnsi="Arial" w:cs="Arial"/>
              </w:rPr>
            </w:pPr>
            <w:r w:rsidRPr="00DF5143">
              <w:rPr>
                <w:rFonts w:ascii="Arial" w:hAnsi="Arial" w:cs="Arial"/>
              </w:rPr>
              <w:t>24.</w:t>
            </w:r>
          </w:p>
        </w:tc>
        <w:tc>
          <w:tcPr>
            <w:tcW w:w="5310" w:type="dxa"/>
            <w:tcBorders>
              <w:top w:val="single" w:sz="4" w:space="0" w:color="000000"/>
              <w:left w:val="single" w:sz="4" w:space="0" w:color="000000"/>
              <w:bottom w:val="single" w:sz="4" w:space="0" w:color="000000"/>
              <w:right w:val="single" w:sz="4" w:space="0" w:color="000000"/>
            </w:tcBorders>
            <w:vAlign w:val="center"/>
          </w:tcPr>
          <w:p w14:paraId="17DD10D1" w14:textId="77777777" w:rsidR="00590F19" w:rsidRPr="00DF5143" w:rsidRDefault="00590F19" w:rsidP="00D50903">
            <w:pPr>
              <w:pStyle w:val="TableParagraph"/>
              <w:ind w:left="828" w:right="90"/>
              <w:rPr>
                <w:rFonts w:ascii="Arial" w:hAnsi="Arial" w:cs="Arial"/>
              </w:rPr>
            </w:pPr>
            <w:r w:rsidRPr="00DF5143">
              <w:rPr>
                <w:rFonts w:ascii="Arial" w:hAnsi="Arial" w:cs="Arial"/>
              </w:rPr>
              <w:t>$46,000 to $47,999</w:t>
            </w:r>
          </w:p>
        </w:tc>
        <w:tc>
          <w:tcPr>
            <w:tcW w:w="3150" w:type="dxa"/>
            <w:tcBorders>
              <w:top w:val="single" w:sz="4" w:space="0" w:color="000000"/>
              <w:left w:val="single" w:sz="4" w:space="0" w:color="000000"/>
              <w:bottom w:val="single" w:sz="4" w:space="0" w:color="000000"/>
              <w:right w:val="single" w:sz="4" w:space="0" w:color="000000"/>
            </w:tcBorders>
            <w:vAlign w:val="center"/>
          </w:tcPr>
          <w:p w14:paraId="16DADA20" w14:textId="77777777" w:rsidR="00590F19" w:rsidRPr="00DF5143" w:rsidRDefault="00590F19" w:rsidP="00D50903">
            <w:pPr>
              <w:pStyle w:val="TableParagraph"/>
              <w:ind w:left="827"/>
              <w:rPr>
                <w:rFonts w:ascii="Arial" w:hAnsi="Arial" w:cs="Arial"/>
              </w:rPr>
            </w:pPr>
            <w:r w:rsidRPr="00DF5143">
              <w:rPr>
                <w:rFonts w:ascii="Arial" w:hAnsi="Arial" w:cs="Arial"/>
              </w:rPr>
              <w:t>$1,073</w:t>
            </w:r>
          </w:p>
        </w:tc>
      </w:tr>
      <w:tr w:rsidR="00590F19" w:rsidRPr="00E71D7A" w14:paraId="3ED7A077" w14:textId="77777777" w:rsidTr="00DF5143">
        <w:trPr>
          <w:trHeight w:val="299"/>
          <w:jc w:val="center"/>
        </w:trPr>
        <w:tc>
          <w:tcPr>
            <w:tcW w:w="895" w:type="dxa"/>
            <w:tcBorders>
              <w:top w:val="single" w:sz="4" w:space="0" w:color="000000"/>
              <w:left w:val="single" w:sz="4" w:space="0" w:color="000000"/>
              <w:bottom w:val="single" w:sz="4" w:space="0" w:color="000000"/>
              <w:right w:val="single" w:sz="4" w:space="0" w:color="000000"/>
            </w:tcBorders>
            <w:vAlign w:val="center"/>
          </w:tcPr>
          <w:p w14:paraId="356034DC" w14:textId="77777777" w:rsidR="00590F19" w:rsidRPr="00DF5143" w:rsidRDefault="00590F19" w:rsidP="00D50903">
            <w:pPr>
              <w:pStyle w:val="TableParagraph"/>
              <w:spacing w:before="36"/>
              <w:ind w:left="110" w:right="132"/>
              <w:jc w:val="center"/>
              <w:rPr>
                <w:rFonts w:ascii="Arial" w:hAnsi="Arial" w:cs="Arial"/>
              </w:rPr>
            </w:pPr>
            <w:r w:rsidRPr="00DF5143">
              <w:rPr>
                <w:rFonts w:ascii="Arial" w:hAnsi="Arial" w:cs="Arial"/>
              </w:rPr>
              <w:t>25.</w:t>
            </w:r>
          </w:p>
        </w:tc>
        <w:tc>
          <w:tcPr>
            <w:tcW w:w="5310" w:type="dxa"/>
            <w:tcBorders>
              <w:top w:val="single" w:sz="4" w:space="0" w:color="000000"/>
              <w:left w:val="single" w:sz="4" w:space="0" w:color="000000"/>
              <w:bottom w:val="single" w:sz="4" w:space="0" w:color="000000"/>
              <w:right w:val="single" w:sz="4" w:space="0" w:color="000000"/>
            </w:tcBorders>
            <w:vAlign w:val="center"/>
          </w:tcPr>
          <w:p w14:paraId="46D89B63" w14:textId="77777777" w:rsidR="00590F19" w:rsidRPr="00DF5143" w:rsidRDefault="00590F19" w:rsidP="00D50903">
            <w:pPr>
              <w:pStyle w:val="TableParagraph"/>
              <w:spacing w:before="36"/>
              <w:ind w:left="828" w:right="90"/>
              <w:rPr>
                <w:rFonts w:ascii="Arial" w:hAnsi="Arial" w:cs="Arial"/>
              </w:rPr>
            </w:pPr>
            <w:r w:rsidRPr="00DF5143">
              <w:rPr>
                <w:rFonts w:ascii="Arial" w:hAnsi="Arial" w:cs="Arial"/>
              </w:rPr>
              <w:t>$48,000 to $49,999</w:t>
            </w:r>
          </w:p>
        </w:tc>
        <w:tc>
          <w:tcPr>
            <w:tcW w:w="3150" w:type="dxa"/>
            <w:tcBorders>
              <w:top w:val="single" w:sz="4" w:space="0" w:color="000000"/>
              <w:left w:val="single" w:sz="4" w:space="0" w:color="000000"/>
              <w:bottom w:val="single" w:sz="4" w:space="0" w:color="000000"/>
              <w:right w:val="single" w:sz="4" w:space="0" w:color="000000"/>
            </w:tcBorders>
            <w:vAlign w:val="center"/>
          </w:tcPr>
          <w:p w14:paraId="7ECDF908" w14:textId="77777777" w:rsidR="00590F19" w:rsidRPr="00DF5143" w:rsidRDefault="00590F19" w:rsidP="00D50903">
            <w:pPr>
              <w:pStyle w:val="TableParagraph"/>
              <w:spacing w:before="36"/>
              <w:ind w:left="827"/>
              <w:rPr>
                <w:rFonts w:ascii="Arial" w:hAnsi="Arial" w:cs="Arial"/>
              </w:rPr>
            </w:pPr>
            <w:r w:rsidRPr="00DF5143">
              <w:rPr>
                <w:rFonts w:ascii="Arial" w:hAnsi="Arial" w:cs="Arial"/>
              </w:rPr>
              <w:t>$1,120</w:t>
            </w:r>
          </w:p>
        </w:tc>
      </w:tr>
      <w:tr w:rsidR="00590F19" w:rsidRPr="00E71D7A" w14:paraId="43BE5233" w14:textId="77777777" w:rsidTr="00DF5143">
        <w:trPr>
          <w:trHeight w:val="299"/>
          <w:jc w:val="center"/>
        </w:trPr>
        <w:tc>
          <w:tcPr>
            <w:tcW w:w="895" w:type="dxa"/>
            <w:tcBorders>
              <w:top w:val="single" w:sz="4" w:space="0" w:color="000000"/>
              <w:left w:val="single" w:sz="4" w:space="0" w:color="000000"/>
              <w:bottom w:val="single" w:sz="4" w:space="0" w:color="000000"/>
              <w:right w:val="single" w:sz="4" w:space="0" w:color="000000"/>
            </w:tcBorders>
            <w:vAlign w:val="center"/>
          </w:tcPr>
          <w:p w14:paraId="7133D91B" w14:textId="77777777" w:rsidR="00590F19" w:rsidRPr="00DF5143" w:rsidRDefault="00590F19" w:rsidP="00D50903">
            <w:pPr>
              <w:pStyle w:val="TableParagraph"/>
              <w:spacing w:before="36"/>
              <w:ind w:left="110" w:right="132"/>
              <w:jc w:val="center"/>
              <w:rPr>
                <w:rFonts w:ascii="Arial" w:hAnsi="Arial" w:cs="Arial"/>
              </w:rPr>
            </w:pPr>
            <w:r w:rsidRPr="00DF5143">
              <w:rPr>
                <w:rFonts w:ascii="Arial" w:hAnsi="Arial" w:cs="Arial"/>
              </w:rPr>
              <w:t>26.</w:t>
            </w:r>
          </w:p>
        </w:tc>
        <w:tc>
          <w:tcPr>
            <w:tcW w:w="5310" w:type="dxa"/>
            <w:tcBorders>
              <w:top w:val="single" w:sz="4" w:space="0" w:color="000000"/>
              <w:left w:val="single" w:sz="4" w:space="0" w:color="000000"/>
              <w:bottom w:val="single" w:sz="4" w:space="0" w:color="000000"/>
              <w:right w:val="single" w:sz="4" w:space="0" w:color="000000"/>
            </w:tcBorders>
            <w:vAlign w:val="center"/>
          </w:tcPr>
          <w:p w14:paraId="6D1CE5E1" w14:textId="77777777" w:rsidR="00590F19" w:rsidRPr="00DF5143" w:rsidRDefault="00590F19" w:rsidP="00D50903">
            <w:pPr>
              <w:pStyle w:val="TableParagraph"/>
              <w:spacing w:before="36"/>
              <w:ind w:left="828" w:right="90"/>
              <w:rPr>
                <w:rFonts w:ascii="Arial" w:hAnsi="Arial" w:cs="Arial"/>
              </w:rPr>
            </w:pPr>
            <w:r w:rsidRPr="00DF5143">
              <w:rPr>
                <w:rFonts w:ascii="Arial" w:hAnsi="Arial" w:cs="Arial"/>
              </w:rPr>
              <w:t>$50,000 to $51,999</w:t>
            </w:r>
          </w:p>
        </w:tc>
        <w:tc>
          <w:tcPr>
            <w:tcW w:w="3150" w:type="dxa"/>
            <w:tcBorders>
              <w:top w:val="single" w:sz="4" w:space="0" w:color="000000"/>
              <w:left w:val="single" w:sz="4" w:space="0" w:color="000000"/>
              <w:bottom w:val="single" w:sz="4" w:space="0" w:color="000000"/>
              <w:right w:val="single" w:sz="4" w:space="0" w:color="000000"/>
            </w:tcBorders>
            <w:vAlign w:val="center"/>
          </w:tcPr>
          <w:p w14:paraId="08ABD95C" w14:textId="77777777" w:rsidR="00590F19" w:rsidRPr="00DF5143" w:rsidRDefault="00590F19" w:rsidP="00D50903">
            <w:pPr>
              <w:pStyle w:val="TableParagraph"/>
              <w:spacing w:before="36"/>
              <w:ind w:left="827"/>
              <w:rPr>
                <w:rFonts w:ascii="Arial" w:hAnsi="Arial" w:cs="Arial"/>
              </w:rPr>
            </w:pPr>
            <w:r w:rsidRPr="00DF5143">
              <w:rPr>
                <w:rFonts w:ascii="Arial" w:hAnsi="Arial" w:cs="Arial"/>
              </w:rPr>
              <w:t>$1,167</w:t>
            </w:r>
          </w:p>
        </w:tc>
      </w:tr>
      <w:tr w:rsidR="00590F19" w:rsidRPr="00E71D7A" w14:paraId="5BEEF2D1" w14:textId="77777777" w:rsidTr="00DF5143">
        <w:trPr>
          <w:trHeight w:val="299"/>
          <w:jc w:val="center"/>
        </w:trPr>
        <w:tc>
          <w:tcPr>
            <w:tcW w:w="895" w:type="dxa"/>
            <w:tcBorders>
              <w:top w:val="single" w:sz="4" w:space="0" w:color="000000"/>
              <w:left w:val="single" w:sz="4" w:space="0" w:color="000000"/>
              <w:bottom w:val="single" w:sz="4" w:space="0" w:color="000000"/>
              <w:right w:val="single" w:sz="4" w:space="0" w:color="000000"/>
            </w:tcBorders>
            <w:vAlign w:val="center"/>
          </w:tcPr>
          <w:p w14:paraId="776435B5" w14:textId="77777777" w:rsidR="00590F19" w:rsidRPr="00DF5143" w:rsidRDefault="00590F19" w:rsidP="00D50903">
            <w:pPr>
              <w:pStyle w:val="TableParagraph"/>
              <w:spacing w:before="36"/>
              <w:ind w:left="110" w:right="132"/>
              <w:jc w:val="center"/>
              <w:rPr>
                <w:rFonts w:ascii="Arial" w:hAnsi="Arial" w:cs="Arial"/>
              </w:rPr>
            </w:pPr>
            <w:r w:rsidRPr="00DF5143">
              <w:rPr>
                <w:rFonts w:ascii="Arial" w:hAnsi="Arial" w:cs="Arial"/>
              </w:rPr>
              <w:t>27.</w:t>
            </w:r>
          </w:p>
        </w:tc>
        <w:tc>
          <w:tcPr>
            <w:tcW w:w="5310" w:type="dxa"/>
            <w:tcBorders>
              <w:top w:val="single" w:sz="4" w:space="0" w:color="000000"/>
              <w:left w:val="single" w:sz="4" w:space="0" w:color="000000"/>
              <w:bottom w:val="single" w:sz="4" w:space="0" w:color="000000"/>
              <w:right w:val="single" w:sz="4" w:space="0" w:color="000000"/>
            </w:tcBorders>
            <w:vAlign w:val="center"/>
          </w:tcPr>
          <w:p w14:paraId="5A6D5005" w14:textId="77777777" w:rsidR="00590F19" w:rsidRPr="00DF5143" w:rsidRDefault="00590F19" w:rsidP="00D50903">
            <w:pPr>
              <w:pStyle w:val="TableParagraph"/>
              <w:spacing w:before="36"/>
              <w:ind w:left="828" w:right="90"/>
              <w:rPr>
                <w:rFonts w:ascii="Arial" w:hAnsi="Arial" w:cs="Arial"/>
              </w:rPr>
            </w:pPr>
            <w:r w:rsidRPr="00DF5143">
              <w:rPr>
                <w:rFonts w:ascii="Arial" w:hAnsi="Arial" w:cs="Arial"/>
              </w:rPr>
              <w:t>$52,000 to $53,999</w:t>
            </w:r>
          </w:p>
        </w:tc>
        <w:tc>
          <w:tcPr>
            <w:tcW w:w="3150" w:type="dxa"/>
            <w:tcBorders>
              <w:top w:val="single" w:sz="4" w:space="0" w:color="000000"/>
              <w:left w:val="single" w:sz="4" w:space="0" w:color="000000"/>
              <w:bottom w:val="single" w:sz="4" w:space="0" w:color="000000"/>
              <w:right w:val="single" w:sz="4" w:space="0" w:color="000000"/>
            </w:tcBorders>
            <w:vAlign w:val="center"/>
          </w:tcPr>
          <w:p w14:paraId="2EA3C5FB" w14:textId="77777777" w:rsidR="00590F19" w:rsidRPr="00DF5143" w:rsidRDefault="00590F19" w:rsidP="00D50903">
            <w:pPr>
              <w:pStyle w:val="TableParagraph"/>
              <w:spacing w:before="36"/>
              <w:ind w:left="827"/>
              <w:rPr>
                <w:rFonts w:ascii="Arial" w:hAnsi="Arial" w:cs="Arial"/>
              </w:rPr>
            </w:pPr>
            <w:r w:rsidRPr="00DF5143">
              <w:rPr>
                <w:rFonts w:ascii="Arial" w:hAnsi="Arial" w:cs="Arial"/>
              </w:rPr>
              <w:t>$1,213</w:t>
            </w:r>
          </w:p>
        </w:tc>
      </w:tr>
      <w:tr w:rsidR="00590F19" w:rsidRPr="00E71D7A" w14:paraId="1AABEFEA" w14:textId="77777777" w:rsidTr="00DF5143">
        <w:trPr>
          <w:trHeight w:val="299"/>
          <w:jc w:val="center"/>
        </w:trPr>
        <w:tc>
          <w:tcPr>
            <w:tcW w:w="895" w:type="dxa"/>
            <w:tcBorders>
              <w:top w:val="single" w:sz="4" w:space="0" w:color="000000"/>
              <w:left w:val="single" w:sz="4" w:space="0" w:color="000000"/>
              <w:bottom w:val="single" w:sz="4" w:space="0" w:color="000000"/>
              <w:right w:val="single" w:sz="4" w:space="0" w:color="000000"/>
            </w:tcBorders>
            <w:vAlign w:val="center"/>
          </w:tcPr>
          <w:p w14:paraId="78E62473" w14:textId="77777777" w:rsidR="00590F19" w:rsidRPr="00DF5143" w:rsidRDefault="00590F19" w:rsidP="00D50903">
            <w:pPr>
              <w:pStyle w:val="TableParagraph"/>
              <w:ind w:left="110" w:right="132"/>
              <w:jc w:val="center"/>
              <w:rPr>
                <w:rFonts w:ascii="Arial" w:hAnsi="Arial" w:cs="Arial"/>
              </w:rPr>
            </w:pPr>
            <w:r w:rsidRPr="00DF5143">
              <w:rPr>
                <w:rFonts w:ascii="Arial" w:hAnsi="Arial" w:cs="Arial"/>
              </w:rPr>
              <w:t>28.</w:t>
            </w:r>
          </w:p>
        </w:tc>
        <w:tc>
          <w:tcPr>
            <w:tcW w:w="5310" w:type="dxa"/>
            <w:tcBorders>
              <w:top w:val="single" w:sz="4" w:space="0" w:color="000000"/>
              <w:left w:val="single" w:sz="4" w:space="0" w:color="000000"/>
              <w:bottom w:val="single" w:sz="4" w:space="0" w:color="000000"/>
              <w:right w:val="single" w:sz="4" w:space="0" w:color="000000"/>
            </w:tcBorders>
            <w:vAlign w:val="center"/>
          </w:tcPr>
          <w:p w14:paraId="30113887" w14:textId="77777777" w:rsidR="00590F19" w:rsidRPr="00DF5143" w:rsidRDefault="00590F19" w:rsidP="00D50903">
            <w:pPr>
              <w:pStyle w:val="TableParagraph"/>
              <w:ind w:left="828" w:right="90"/>
              <w:rPr>
                <w:rFonts w:ascii="Arial" w:hAnsi="Arial" w:cs="Arial"/>
              </w:rPr>
            </w:pPr>
            <w:r w:rsidRPr="00DF5143">
              <w:rPr>
                <w:rFonts w:ascii="Arial" w:hAnsi="Arial" w:cs="Arial"/>
              </w:rPr>
              <w:t>$54,000 to $55,999</w:t>
            </w:r>
          </w:p>
        </w:tc>
        <w:tc>
          <w:tcPr>
            <w:tcW w:w="3150" w:type="dxa"/>
            <w:tcBorders>
              <w:top w:val="single" w:sz="4" w:space="0" w:color="000000"/>
              <w:left w:val="single" w:sz="4" w:space="0" w:color="000000"/>
              <w:bottom w:val="single" w:sz="4" w:space="0" w:color="000000"/>
              <w:right w:val="single" w:sz="4" w:space="0" w:color="000000"/>
            </w:tcBorders>
            <w:vAlign w:val="center"/>
          </w:tcPr>
          <w:p w14:paraId="1FB26A7D" w14:textId="77777777" w:rsidR="00590F19" w:rsidRPr="00DF5143" w:rsidRDefault="00590F19" w:rsidP="00D50903">
            <w:pPr>
              <w:pStyle w:val="TableParagraph"/>
              <w:ind w:left="827"/>
              <w:rPr>
                <w:rFonts w:ascii="Arial" w:hAnsi="Arial" w:cs="Arial"/>
              </w:rPr>
            </w:pPr>
            <w:r w:rsidRPr="00DF5143">
              <w:rPr>
                <w:rFonts w:ascii="Arial" w:hAnsi="Arial" w:cs="Arial"/>
              </w:rPr>
              <w:t>$1,260</w:t>
            </w:r>
          </w:p>
        </w:tc>
      </w:tr>
      <w:tr w:rsidR="00590F19" w:rsidRPr="00E71D7A" w14:paraId="14545D3A" w14:textId="77777777" w:rsidTr="00DF5143">
        <w:trPr>
          <w:trHeight w:val="299"/>
          <w:jc w:val="center"/>
        </w:trPr>
        <w:tc>
          <w:tcPr>
            <w:tcW w:w="895" w:type="dxa"/>
            <w:tcBorders>
              <w:top w:val="single" w:sz="4" w:space="0" w:color="000000"/>
              <w:left w:val="single" w:sz="4" w:space="0" w:color="000000"/>
              <w:bottom w:val="single" w:sz="4" w:space="0" w:color="000000"/>
              <w:right w:val="single" w:sz="4" w:space="0" w:color="000000"/>
            </w:tcBorders>
            <w:vAlign w:val="center"/>
          </w:tcPr>
          <w:p w14:paraId="511FA7D1" w14:textId="77777777" w:rsidR="00590F19" w:rsidRPr="00DF5143" w:rsidRDefault="00590F19" w:rsidP="00D50903">
            <w:pPr>
              <w:pStyle w:val="TableParagraph"/>
              <w:ind w:left="110" w:right="132"/>
              <w:jc w:val="center"/>
              <w:rPr>
                <w:rFonts w:ascii="Arial" w:hAnsi="Arial" w:cs="Arial"/>
              </w:rPr>
            </w:pPr>
            <w:r w:rsidRPr="00DF5143">
              <w:rPr>
                <w:rFonts w:ascii="Arial" w:hAnsi="Arial" w:cs="Arial"/>
              </w:rPr>
              <w:t>29.</w:t>
            </w:r>
          </w:p>
        </w:tc>
        <w:tc>
          <w:tcPr>
            <w:tcW w:w="5310" w:type="dxa"/>
            <w:tcBorders>
              <w:top w:val="single" w:sz="4" w:space="0" w:color="000000"/>
              <w:left w:val="single" w:sz="4" w:space="0" w:color="000000"/>
              <w:bottom w:val="single" w:sz="4" w:space="0" w:color="000000"/>
              <w:right w:val="single" w:sz="4" w:space="0" w:color="000000"/>
            </w:tcBorders>
            <w:vAlign w:val="center"/>
          </w:tcPr>
          <w:p w14:paraId="4675E587" w14:textId="77777777" w:rsidR="00590F19" w:rsidRPr="00DF5143" w:rsidRDefault="00590F19" w:rsidP="00D50903">
            <w:pPr>
              <w:pStyle w:val="TableParagraph"/>
              <w:ind w:left="828" w:right="90"/>
              <w:rPr>
                <w:rFonts w:ascii="Arial" w:hAnsi="Arial" w:cs="Arial"/>
              </w:rPr>
            </w:pPr>
            <w:r w:rsidRPr="00DF5143">
              <w:rPr>
                <w:rFonts w:ascii="Arial" w:hAnsi="Arial" w:cs="Arial"/>
              </w:rPr>
              <w:t>$56,000 to $57,999</w:t>
            </w:r>
          </w:p>
        </w:tc>
        <w:tc>
          <w:tcPr>
            <w:tcW w:w="3150" w:type="dxa"/>
            <w:tcBorders>
              <w:top w:val="single" w:sz="4" w:space="0" w:color="000000"/>
              <w:left w:val="single" w:sz="4" w:space="0" w:color="000000"/>
              <w:bottom w:val="single" w:sz="4" w:space="0" w:color="000000"/>
              <w:right w:val="single" w:sz="4" w:space="0" w:color="000000"/>
            </w:tcBorders>
            <w:vAlign w:val="center"/>
          </w:tcPr>
          <w:p w14:paraId="33F33566" w14:textId="77777777" w:rsidR="00590F19" w:rsidRPr="00DF5143" w:rsidRDefault="00590F19" w:rsidP="00D50903">
            <w:pPr>
              <w:pStyle w:val="TableParagraph"/>
              <w:ind w:left="827"/>
              <w:rPr>
                <w:rFonts w:ascii="Arial" w:hAnsi="Arial" w:cs="Arial"/>
              </w:rPr>
            </w:pPr>
            <w:r w:rsidRPr="00DF5143">
              <w:rPr>
                <w:rFonts w:ascii="Arial" w:hAnsi="Arial" w:cs="Arial"/>
              </w:rPr>
              <w:t>$1,307</w:t>
            </w:r>
          </w:p>
        </w:tc>
      </w:tr>
      <w:tr w:rsidR="00590F19" w:rsidRPr="00E71D7A" w14:paraId="46A01FD0" w14:textId="77777777" w:rsidTr="00DF5143">
        <w:trPr>
          <w:trHeight w:val="299"/>
          <w:jc w:val="center"/>
        </w:trPr>
        <w:tc>
          <w:tcPr>
            <w:tcW w:w="895" w:type="dxa"/>
            <w:tcBorders>
              <w:top w:val="single" w:sz="4" w:space="0" w:color="000000"/>
              <w:left w:val="single" w:sz="4" w:space="0" w:color="000000"/>
              <w:bottom w:val="single" w:sz="4" w:space="0" w:color="000000"/>
              <w:right w:val="single" w:sz="4" w:space="0" w:color="000000"/>
            </w:tcBorders>
            <w:vAlign w:val="center"/>
          </w:tcPr>
          <w:p w14:paraId="03894561" w14:textId="77777777" w:rsidR="00590F19" w:rsidRPr="00DF5143" w:rsidRDefault="00590F19" w:rsidP="00D50903">
            <w:pPr>
              <w:pStyle w:val="TableParagraph"/>
              <w:ind w:left="110" w:right="132"/>
              <w:jc w:val="center"/>
              <w:rPr>
                <w:rFonts w:ascii="Arial" w:hAnsi="Arial" w:cs="Arial"/>
              </w:rPr>
            </w:pPr>
            <w:r w:rsidRPr="00DF5143">
              <w:rPr>
                <w:rFonts w:ascii="Arial" w:hAnsi="Arial" w:cs="Arial"/>
              </w:rPr>
              <w:t>30.</w:t>
            </w:r>
          </w:p>
        </w:tc>
        <w:tc>
          <w:tcPr>
            <w:tcW w:w="5310" w:type="dxa"/>
            <w:tcBorders>
              <w:top w:val="single" w:sz="4" w:space="0" w:color="000000"/>
              <w:left w:val="single" w:sz="4" w:space="0" w:color="000000"/>
              <w:bottom w:val="single" w:sz="4" w:space="0" w:color="000000"/>
              <w:right w:val="single" w:sz="4" w:space="0" w:color="000000"/>
            </w:tcBorders>
            <w:vAlign w:val="center"/>
          </w:tcPr>
          <w:p w14:paraId="44373C68" w14:textId="77777777" w:rsidR="00590F19" w:rsidRPr="00DF5143" w:rsidRDefault="00590F19" w:rsidP="00D50903">
            <w:pPr>
              <w:pStyle w:val="TableParagraph"/>
              <w:ind w:left="828" w:right="90"/>
              <w:rPr>
                <w:rFonts w:ascii="Arial" w:hAnsi="Arial" w:cs="Arial"/>
              </w:rPr>
            </w:pPr>
            <w:r w:rsidRPr="00DF5143">
              <w:rPr>
                <w:rFonts w:ascii="Arial" w:hAnsi="Arial" w:cs="Arial"/>
              </w:rPr>
              <w:t>$58,000 to $59,999</w:t>
            </w:r>
          </w:p>
        </w:tc>
        <w:tc>
          <w:tcPr>
            <w:tcW w:w="3150" w:type="dxa"/>
            <w:tcBorders>
              <w:top w:val="single" w:sz="4" w:space="0" w:color="000000"/>
              <w:left w:val="single" w:sz="4" w:space="0" w:color="000000"/>
              <w:bottom w:val="single" w:sz="4" w:space="0" w:color="000000"/>
              <w:right w:val="single" w:sz="4" w:space="0" w:color="000000"/>
            </w:tcBorders>
            <w:vAlign w:val="center"/>
          </w:tcPr>
          <w:p w14:paraId="16153508" w14:textId="77777777" w:rsidR="00590F19" w:rsidRPr="00DF5143" w:rsidRDefault="00590F19" w:rsidP="00D50903">
            <w:pPr>
              <w:pStyle w:val="TableParagraph"/>
              <w:ind w:left="827"/>
              <w:rPr>
                <w:rFonts w:ascii="Arial" w:hAnsi="Arial" w:cs="Arial"/>
              </w:rPr>
            </w:pPr>
            <w:r w:rsidRPr="00DF5143">
              <w:rPr>
                <w:rFonts w:ascii="Arial" w:hAnsi="Arial" w:cs="Arial"/>
              </w:rPr>
              <w:t>$1,353</w:t>
            </w:r>
          </w:p>
        </w:tc>
      </w:tr>
      <w:tr w:rsidR="00590F19" w:rsidRPr="00E71D7A" w14:paraId="68B7EB6F" w14:textId="77777777" w:rsidTr="00DF5143">
        <w:trPr>
          <w:trHeight w:val="299"/>
          <w:jc w:val="center"/>
        </w:trPr>
        <w:tc>
          <w:tcPr>
            <w:tcW w:w="895" w:type="dxa"/>
            <w:tcBorders>
              <w:top w:val="single" w:sz="4" w:space="0" w:color="000000"/>
              <w:left w:val="single" w:sz="4" w:space="0" w:color="000000"/>
              <w:bottom w:val="single" w:sz="4" w:space="0" w:color="000000"/>
              <w:right w:val="single" w:sz="4" w:space="0" w:color="000000"/>
            </w:tcBorders>
            <w:vAlign w:val="center"/>
          </w:tcPr>
          <w:p w14:paraId="07F15957" w14:textId="77777777" w:rsidR="00590F19" w:rsidRPr="00DF5143" w:rsidRDefault="00590F19" w:rsidP="00D50903">
            <w:pPr>
              <w:pStyle w:val="TableParagraph"/>
              <w:spacing w:before="36"/>
              <w:ind w:left="110" w:right="132"/>
              <w:jc w:val="center"/>
              <w:rPr>
                <w:rFonts w:ascii="Arial" w:hAnsi="Arial" w:cs="Arial"/>
              </w:rPr>
            </w:pPr>
            <w:r w:rsidRPr="00DF5143">
              <w:rPr>
                <w:rFonts w:ascii="Arial" w:hAnsi="Arial" w:cs="Arial"/>
              </w:rPr>
              <w:t>31.</w:t>
            </w:r>
          </w:p>
        </w:tc>
        <w:tc>
          <w:tcPr>
            <w:tcW w:w="5310" w:type="dxa"/>
            <w:tcBorders>
              <w:top w:val="single" w:sz="4" w:space="0" w:color="000000"/>
              <w:left w:val="single" w:sz="4" w:space="0" w:color="000000"/>
              <w:bottom w:val="single" w:sz="4" w:space="0" w:color="000000"/>
              <w:right w:val="single" w:sz="4" w:space="0" w:color="000000"/>
            </w:tcBorders>
            <w:vAlign w:val="center"/>
          </w:tcPr>
          <w:p w14:paraId="50FD0BDD" w14:textId="77777777" w:rsidR="00590F19" w:rsidRPr="00DF5143" w:rsidRDefault="00590F19" w:rsidP="00D50903">
            <w:pPr>
              <w:pStyle w:val="TableParagraph"/>
              <w:spacing w:before="36"/>
              <w:ind w:left="828" w:right="90"/>
              <w:rPr>
                <w:rFonts w:ascii="Arial" w:hAnsi="Arial" w:cs="Arial"/>
              </w:rPr>
            </w:pPr>
            <w:r w:rsidRPr="00DF5143">
              <w:rPr>
                <w:rFonts w:ascii="Arial" w:hAnsi="Arial" w:cs="Arial"/>
              </w:rPr>
              <w:t>$60,000 to $61,999</w:t>
            </w:r>
          </w:p>
        </w:tc>
        <w:tc>
          <w:tcPr>
            <w:tcW w:w="3150" w:type="dxa"/>
            <w:tcBorders>
              <w:top w:val="single" w:sz="4" w:space="0" w:color="000000"/>
              <w:left w:val="single" w:sz="4" w:space="0" w:color="000000"/>
              <w:bottom w:val="single" w:sz="4" w:space="0" w:color="000000"/>
              <w:right w:val="single" w:sz="4" w:space="0" w:color="000000"/>
            </w:tcBorders>
            <w:vAlign w:val="center"/>
          </w:tcPr>
          <w:p w14:paraId="16BCEC0A" w14:textId="77777777" w:rsidR="00590F19" w:rsidRPr="00DF5143" w:rsidRDefault="00590F19" w:rsidP="00D50903">
            <w:pPr>
              <w:pStyle w:val="TableParagraph"/>
              <w:spacing w:before="36"/>
              <w:ind w:left="827"/>
              <w:rPr>
                <w:rFonts w:ascii="Arial" w:hAnsi="Arial" w:cs="Arial"/>
              </w:rPr>
            </w:pPr>
            <w:r w:rsidRPr="00DF5143">
              <w:rPr>
                <w:rFonts w:ascii="Arial" w:hAnsi="Arial" w:cs="Arial"/>
              </w:rPr>
              <w:t>$1,400</w:t>
            </w:r>
          </w:p>
        </w:tc>
      </w:tr>
      <w:tr w:rsidR="00590F19" w:rsidRPr="00E71D7A" w14:paraId="6C698F79" w14:textId="77777777" w:rsidTr="00DF5143">
        <w:trPr>
          <w:trHeight w:val="299"/>
          <w:jc w:val="center"/>
        </w:trPr>
        <w:tc>
          <w:tcPr>
            <w:tcW w:w="895" w:type="dxa"/>
            <w:tcBorders>
              <w:top w:val="single" w:sz="4" w:space="0" w:color="000000"/>
              <w:left w:val="single" w:sz="4" w:space="0" w:color="000000"/>
              <w:bottom w:val="single" w:sz="4" w:space="0" w:color="000000"/>
              <w:right w:val="single" w:sz="4" w:space="0" w:color="000000"/>
            </w:tcBorders>
            <w:vAlign w:val="center"/>
          </w:tcPr>
          <w:p w14:paraId="72CFFD2E" w14:textId="77777777" w:rsidR="00590F19" w:rsidRPr="00DF5143" w:rsidRDefault="00590F19" w:rsidP="00D50903">
            <w:pPr>
              <w:pStyle w:val="TableParagraph"/>
              <w:spacing w:before="36"/>
              <w:ind w:left="110" w:right="132"/>
              <w:jc w:val="center"/>
              <w:rPr>
                <w:rFonts w:ascii="Arial" w:hAnsi="Arial" w:cs="Arial"/>
              </w:rPr>
            </w:pPr>
            <w:r w:rsidRPr="00DF5143">
              <w:rPr>
                <w:rFonts w:ascii="Arial" w:hAnsi="Arial" w:cs="Arial"/>
              </w:rPr>
              <w:t>32.</w:t>
            </w:r>
          </w:p>
        </w:tc>
        <w:tc>
          <w:tcPr>
            <w:tcW w:w="5310" w:type="dxa"/>
            <w:tcBorders>
              <w:top w:val="single" w:sz="4" w:space="0" w:color="000000"/>
              <w:left w:val="single" w:sz="4" w:space="0" w:color="000000"/>
              <w:bottom w:val="single" w:sz="4" w:space="0" w:color="000000"/>
              <w:right w:val="single" w:sz="4" w:space="0" w:color="000000"/>
            </w:tcBorders>
            <w:vAlign w:val="center"/>
          </w:tcPr>
          <w:p w14:paraId="3030B138" w14:textId="77777777" w:rsidR="00590F19" w:rsidRPr="00DF5143" w:rsidRDefault="00590F19" w:rsidP="00D50903">
            <w:pPr>
              <w:pStyle w:val="TableParagraph"/>
              <w:spacing w:before="36"/>
              <w:ind w:left="828" w:right="90"/>
              <w:rPr>
                <w:rFonts w:ascii="Arial" w:hAnsi="Arial" w:cs="Arial"/>
              </w:rPr>
            </w:pPr>
            <w:r w:rsidRPr="00DF5143">
              <w:rPr>
                <w:rFonts w:ascii="Arial" w:hAnsi="Arial" w:cs="Arial"/>
              </w:rPr>
              <w:t>$62,000 to $63,999</w:t>
            </w:r>
          </w:p>
        </w:tc>
        <w:tc>
          <w:tcPr>
            <w:tcW w:w="3150" w:type="dxa"/>
            <w:tcBorders>
              <w:top w:val="single" w:sz="4" w:space="0" w:color="000000"/>
              <w:left w:val="single" w:sz="4" w:space="0" w:color="000000"/>
              <w:bottom w:val="single" w:sz="4" w:space="0" w:color="000000"/>
              <w:right w:val="single" w:sz="4" w:space="0" w:color="000000"/>
            </w:tcBorders>
            <w:vAlign w:val="center"/>
          </w:tcPr>
          <w:p w14:paraId="570B6D36" w14:textId="77777777" w:rsidR="00590F19" w:rsidRPr="00DF5143" w:rsidRDefault="00590F19" w:rsidP="00D50903">
            <w:pPr>
              <w:pStyle w:val="TableParagraph"/>
              <w:spacing w:before="36"/>
              <w:ind w:left="827"/>
              <w:rPr>
                <w:rFonts w:ascii="Arial" w:hAnsi="Arial" w:cs="Arial"/>
              </w:rPr>
            </w:pPr>
            <w:r w:rsidRPr="00DF5143">
              <w:rPr>
                <w:rFonts w:ascii="Arial" w:hAnsi="Arial" w:cs="Arial"/>
              </w:rPr>
              <w:t>$1,447</w:t>
            </w:r>
          </w:p>
        </w:tc>
      </w:tr>
      <w:tr w:rsidR="00590F19" w:rsidRPr="00E71D7A" w14:paraId="44B232D5" w14:textId="77777777" w:rsidTr="00DF5143">
        <w:trPr>
          <w:trHeight w:val="299"/>
          <w:jc w:val="center"/>
        </w:trPr>
        <w:tc>
          <w:tcPr>
            <w:tcW w:w="895" w:type="dxa"/>
            <w:tcBorders>
              <w:top w:val="single" w:sz="4" w:space="0" w:color="000000"/>
              <w:left w:val="single" w:sz="4" w:space="0" w:color="000000"/>
              <w:bottom w:val="single" w:sz="4" w:space="0" w:color="000000"/>
              <w:right w:val="single" w:sz="4" w:space="0" w:color="000000"/>
            </w:tcBorders>
            <w:vAlign w:val="center"/>
          </w:tcPr>
          <w:p w14:paraId="28B21383" w14:textId="77777777" w:rsidR="00590F19" w:rsidRPr="00DF5143" w:rsidRDefault="00590F19" w:rsidP="00D50903">
            <w:pPr>
              <w:pStyle w:val="TableParagraph"/>
              <w:spacing w:before="36"/>
              <w:ind w:left="110" w:right="132"/>
              <w:jc w:val="center"/>
              <w:rPr>
                <w:rFonts w:ascii="Arial" w:hAnsi="Arial" w:cs="Arial"/>
              </w:rPr>
            </w:pPr>
            <w:r w:rsidRPr="00DF5143">
              <w:rPr>
                <w:rFonts w:ascii="Arial" w:hAnsi="Arial" w:cs="Arial"/>
              </w:rPr>
              <w:t>33.</w:t>
            </w:r>
          </w:p>
        </w:tc>
        <w:tc>
          <w:tcPr>
            <w:tcW w:w="5310" w:type="dxa"/>
            <w:tcBorders>
              <w:top w:val="single" w:sz="4" w:space="0" w:color="000000"/>
              <w:left w:val="single" w:sz="4" w:space="0" w:color="000000"/>
              <w:bottom w:val="single" w:sz="4" w:space="0" w:color="000000"/>
              <w:right w:val="single" w:sz="4" w:space="0" w:color="000000"/>
            </w:tcBorders>
            <w:vAlign w:val="center"/>
          </w:tcPr>
          <w:p w14:paraId="52A35A7C" w14:textId="77777777" w:rsidR="00590F19" w:rsidRPr="00DF5143" w:rsidRDefault="00590F19" w:rsidP="00D50903">
            <w:pPr>
              <w:pStyle w:val="TableParagraph"/>
              <w:spacing w:before="36"/>
              <w:ind w:left="828" w:right="90"/>
              <w:rPr>
                <w:rFonts w:ascii="Arial" w:hAnsi="Arial" w:cs="Arial"/>
              </w:rPr>
            </w:pPr>
            <w:r w:rsidRPr="00DF5143">
              <w:rPr>
                <w:rFonts w:ascii="Arial" w:hAnsi="Arial" w:cs="Arial"/>
              </w:rPr>
              <w:t>$64,000 to $65,999</w:t>
            </w:r>
          </w:p>
        </w:tc>
        <w:tc>
          <w:tcPr>
            <w:tcW w:w="3150" w:type="dxa"/>
            <w:tcBorders>
              <w:top w:val="single" w:sz="4" w:space="0" w:color="000000"/>
              <w:left w:val="single" w:sz="4" w:space="0" w:color="000000"/>
              <w:bottom w:val="single" w:sz="4" w:space="0" w:color="000000"/>
              <w:right w:val="single" w:sz="4" w:space="0" w:color="000000"/>
            </w:tcBorders>
            <w:vAlign w:val="center"/>
          </w:tcPr>
          <w:p w14:paraId="5FD33557" w14:textId="77777777" w:rsidR="00590F19" w:rsidRPr="00DF5143" w:rsidRDefault="00590F19" w:rsidP="00D50903">
            <w:pPr>
              <w:pStyle w:val="TableParagraph"/>
              <w:spacing w:before="36"/>
              <w:ind w:left="827"/>
              <w:rPr>
                <w:rFonts w:ascii="Arial" w:hAnsi="Arial" w:cs="Arial"/>
              </w:rPr>
            </w:pPr>
            <w:r w:rsidRPr="00DF5143">
              <w:rPr>
                <w:rFonts w:ascii="Arial" w:hAnsi="Arial" w:cs="Arial"/>
              </w:rPr>
              <w:t>$1,493</w:t>
            </w:r>
          </w:p>
        </w:tc>
      </w:tr>
      <w:tr w:rsidR="00590F19" w:rsidRPr="00E71D7A" w14:paraId="524F8B9E" w14:textId="77777777" w:rsidTr="00DF5143">
        <w:trPr>
          <w:trHeight w:val="299"/>
          <w:jc w:val="center"/>
        </w:trPr>
        <w:tc>
          <w:tcPr>
            <w:tcW w:w="895" w:type="dxa"/>
            <w:tcBorders>
              <w:top w:val="single" w:sz="4" w:space="0" w:color="000000"/>
              <w:left w:val="single" w:sz="4" w:space="0" w:color="000000"/>
              <w:bottom w:val="single" w:sz="4" w:space="0" w:color="000000"/>
              <w:right w:val="single" w:sz="4" w:space="0" w:color="000000"/>
            </w:tcBorders>
            <w:vAlign w:val="center"/>
          </w:tcPr>
          <w:p w14:paraId="0354E242" w14:textId="77777777" w:rsidR="00590F19" w:rsidRPr="00DF5143" w:rsidRDefault="00590F19" w:rsidP="00D50903">
            <w:pPr>
              <w:pStyle w:val="TableParagraph"/>
              <w:ind w:left="110" w:right="132"/>
              <w:jc w:val="center"/>
              <w:rPr>
                <w:rFonts w:ascii="Arial" w:hAnsi="Arial" w:cs="Arial"/>
              </w:rPr>
            </w:pPr>
            <w:r w:rsidRPr="00DF5143">
              <w:rPr>
                <w:rFonts w:ascii="Arial" w:hAnsi="Arial" w:cs="Arial"/>
              </w:rPr>
              <w:t>34.</w:t>
            </w:r>
          </w:p>
        </w:tc>
        <w:tc>
          <w:tcPr>
            <w:tcW w:w="5310" w:type="dxa"/>
            <w:tcBorders>
              <w:top w:val="single" w:sz="4" w:space="0" w:color="000000"/>
              <w:left w:val="single" w:sz="4" w:space="0" w:color="000000"/>
              <w:bottom w:val="single" w:sz="4" w:space="0" w:color="000000"/>
              <w:right w:val="single" w:sz="4" w:space="0" w:color="000000"/>
            </w:tcBorders>
            <w:vAlign w:val="center"/>
          </w:tcPr>
          <w:p w14:paraId="6A78BF63" w14:textId="77777777" w:rsidR="00590F19" w:rsidRPr="00DF5143" w:rsidRDefault="00590F19" w:rsidP="00D50903">
            <w:pPr>
              <w:pStyle w:val="TableParagraph"/>
              <w:ind w:left="828" w:right="90"/>
              <w:rPr>
                <w:rFonts w:ascii="Arial" w:hAnsi="Arial" w:cs="Arial"/>
              </w:rPr>
            </w:pPr>
            <w:r w:rsidRPr="00DF5143">
              <w:rPr>
                <w:rFonts w:ascii="Arial" w:hAnsi="Arial" w:cs="Arial"/>
              </w:rPr>
              <w:t>$66,000 to $67,999</w:t>
            </w:r>
          </w:p>
        </w:tc>
        <w:tc>
          <w:tcPr>
            <w:tcW w:w="3150" w:type="dxa"/>
            <w:tcBorders>
              <w:top w:val="single" w:sz="4" w:space="0" w:color="000000"/>
              <w:left w:val="single" w:sz="4" w:space="0" w:color="000000"/>
              <w:bottom w:val="single" w:sz="4" w:space="0" w:color="000000"/>
              <w:right w:val="single" w:sz="4" w:space="0" w:color="000000"/>
            </w:tcBorders>
            <w:vAlign w:val="center"/>
          </w:tcPr>
          <w:p w14:paraId="355328C3" w14:textId="77777777" w:rsidR="00590F19" w:rsidRPr="00DF5143" w:rsidRDefault="00590F19" w:rsidP="00D50903">
            <w:pPr>
              <w:pStyle w:val="TableParagraph"/>
              <w:ind w:left="827"/>
              <w:rPr>
                <w:rFonts w:ascii="Arial" w:hAnsi="Arial" w:cs="Arial"/>
              </w:rPr>
            </w:pPr>
            <w:r w:rsidRPr="00DF5143">
              <w:rPr>
                <w:rFonts w:ascii="Arial" w:hAnsi="Arial" w:cs="Arial"/>
              </w:rPr>
              <w:t>$1,540</w:t>
            </w:r>
          </w:p>
        </w:tc>
      </w:tr>
      <w:tr w:rsidR="00590F19" w:rsidRPr="00E71D7A" w14:paraId="23047FA9" w14:textId="77777777" w:rsidTr="00DF5143">
        <w:trPr>
          <w:trHeight w:val="299"/>
          <w:jc w:val="center"/>
        </w:trPr>
        <w:tc>
          <w:tcPr>
            <w:tcW w:w="895" w:type="dxa"/>
            <w:tcBorders>
              <w:top w:val="single" w:sz="4" w:space="0" w:color="000000"/>
              <w:left w:val="single" w:sz="4" w:space="0" w:color="000000"/>
              <w:bottom w:val="single" w:sz="4" w:space="0" w:color="000000"/>
              <w:right w:val="single" w:sz="4" w:space="0" w:color="000000"/>
            </w:tcBorders>
            <w:vAlign w:val="center"/>
          </w:tcPr>
          <w:p w14:paraId="50AC10E0" w14:textId="77777777" w:rsidR="00590F19" w:rsidRPr="00DF5143" w:rsidRDefault="00590F19" w:rsidP="00D50903">
            <w:pPr>
              <w:pStyle w:val="TableParagraph"/>
              <w:ind w:left="110" w:right="132"/>
              <w:jc w:val="center"/>
              <w:rPr>
                <w:rFonts w:ascii="Arial" w:hAnsi="Arial" w:cs="Arial"/>
              </w:rPr>
            </w:pPr>
            <w:r w:rsidRPr="00DF5143">
              <w:rPr>
                <w:rFonts w:ascii="Arial" w:hAnsi="Arial" w:cs="Arial"/>
              </w:rPr>
              <w:t>35.</w:t>
            </w:r>
          </w:p>
        </w:tc>
        <w:tc>
          <w:tcPr>
            <w:tcW w:w="5310" w:type="dxa"/>
            <w:tcBorders>
              <w:top w:val="single" w:sz="4" w:space="0" w:color="000000"/>
              <w:left w:val="single" w:sz="4" w:space="0" w:color="000000"/>
              <w:bottom w:val="single" w:sz="4" w:space="0" w:color="000000"/>
              <w:right w:val="single" w:sz="4" w:space="0" w:color="000000"/>
            </w:tcBorders>
            <w:vAlign w:val="center"/>
          </w:tcPr>
          <w:p w14:paraId="74105177" w14:textId="77777777" w:rsidR="00590F19" w:rsidRPr="00DF5143" w:rsidRDefault="00590F19" w:rsidP="00D50903">
            <w:pPr>
              <w:pStyle w:val="TableParagraph"/>
              <w:ind w:left="828" w:right="90"/>
              <w:rPr>
                <w:rFonts w:ascii="Arial" w:hAnsi="Arial" w:cs="Arial"/>
              </w:rPr>
            </w:pPr>
            <w:r w:rsidRPr="00DF5143">
              <w:rPr>
                <w:rFonts w:ascii="Arial" w:hAnsi="Arial" w:cs="Arial"/>
              </w:rPr>
              <w:t>$68,000 to $69,999</w:t>
            </w:r>
          </w:p>
        </w:tc>
        <w:tc>
          <w:tcPr>
            <w:tcW w:w="3150" w:type="dxa"/>
            <w:tcBorders>
              <w:top w:val="single" w:sz="4" w:space="0" w:color="000000"/>
              <w:left w:val="single" w:sz="4" w:space="0" w:color="000000"/>
              <w:bottom w:val="single" w:sz="4" w:space="0" w:color="000000"/>
              <w:right w:val="single" w:sz="4" w:space="0" w:color="000000"/>
            </w:tcBorders>
            <w:vAlign w:val="center"/>
          </w:tcPr>
          <w:p w14:paraId="3112383E" w14:textId="77777777" w:rsidR="00590F19" w:rsidRPr="00DF5143" w:rsidRDefault="00590F19" w:rsidP="00D50903">
            <w:pPr>
              <w:pStyle w:val="TableParagraph"/>
              <w:ind w:left="827"/>
              <w:rPr>
                <w:rFonts w:ascii="Arial" w:hAnsi="Arial" w:cs="Arial"/>
              </w:rPr>
            </w:pPr>
            <w:r w:rsidRPr="00DF5143">
              <w:rPr>
                <w:rFonts w:ascii="Arial" w:hAnsi="Arial" w:cs="Arial"/>
              </w:rPr>
              <w:t>$1,587</w:t>
            </w:r>
          </w:p>
        </w:tc>
      </w:tr>
      <w:tr w:rsidR="00590F19" w:rsidRPr="00E71D7A" w14:paraId="1ACF25BC" w14:textId="77777777" w:rsidTr="00DF5143">
        <w:trPr>
          <w:trHeight w:val="299"/>
          <w:jc w:val="center"/>
        </w:trPr>
        <w:tc>
          <w:tcPr>
            <w:tcW w:w="895" w:type="dxa"/>
            <w:tcBorders>
              <w:top w:val="single" w:sz="4" w:space="0" w:color="000000"/>
              <w:left w:val="single" w:sz="4" w:space="0" w:color="000000"/>
              <w:bottom w:val="single" w:sz="4" w:space="0" w:color="000000"/>
              <w:right w:val="single" w:sz="4" w:space="0" w:color="000000"/>
            </w:tcBorders>
            <w:vAlign w:val="center"/>
          </w:tcPr>
          <w:p w14:paraId="7EA247C3" w14:textId="77777777" w:rsidR="00590F19" w:rsidRPr="00DF5143" w:rsidRDefault="00590F19" w:rsidP="00D50903">
            <w:pPr>
              <w:pStyle w:val="TableParagraph"/>
              <w:ind w:left="110" w:right="132"/>
              <w:jc w:val="center"/>
              <w:rPr>
                <w:rFonts w:ascii="Arial" w:hAnsi="Arial" w:cs="Arial"/>
              </w:rPr>
            </w:pPr>
            <w:r w:rsidRPr="00DF5143">
              <w:rPr>
                <w:rFonts w:ascii="Arial" w:hAnsi="Arial" w:cs="Arial"/>
              </w:rPr>
              <w:t>36.</w:t>
            </w:r>
          </w:p>
        </w:tc>
        <w:tc>
          <w:tcPr>
            <w:tcW w:w="5310" w:type="dxa"/>
            <w:tcBorders>
              <w:top w:val="single" w:sz="4" w:space="0" w:color="000000"/>
              <w:left w:val="single" w:sz="4" w:space="0" w:color="000000"/>
              <w:bottom w:val="single" w:sz="4" w:space="0" w:color="000000"/>
              <w:right w:val="single" w:sz="4" w:space="0" w:color="000000"/>
            </w:tcBorders>
            <w:vAlign w:val="center"/>
          </w:tcPr>
          <w:p w14:paraId="32A80E15" w14:textId="77777777" w:rsidR="00590F19" w:rsidRPr="00DF5143" w:rsidRDefault="00590F19" w:rsidP="00D50903">
            <w:pPr>
              <w:pStyle w:val="TableParagraph"/>
              <w:ind w:left="828" w:right="90"/>
              <w:rPr>
                <w:rFonts w:ascii="Arial" w:hAnsi="Arial" w:cs="Arial"/>
              </w:rPr>
            </w:pPr>
            <w:r w:rsidRPr="00DF5143">
              <w:rPr>
                <w:rFonts w:ascii="Arial" w:hAnsi="Arial" w:cs="Arial"/>
              </w:rPr>
              <w:t>$70,000 to $71,999</w:t>
            </w:r>
          </w:p>
        </w:tc>
        <w:tc>
          <w:tcPr>
            <w:tcW w:w="3150" w:type="dxa"/>
            <w:tcBorders>
              <w:top w:val="single" w:sz="4" w:space="0" w:color="000000"/>
              <w:left w:val="single" w:sz="4" w:space="0" w:color="000000"/>
              <w:bottom w:val="single" w:sz="4" w:space="0" w:color="000000"/>
              <w:right w:val="single" w:sz="4" w:space="0" w:color="000000"/>
            </w:tcBorders>
            <w:vAlign w:val="center"/>
          </w:tcPr>
          <w:p w14:paraId="74311A69" w14:textId="77777777" w:rsidR="00590F19" w:rsidRPr="00DF5143" w:rsidRDefault="00590F19" w:rsidP="00D50903">
            <w:pPr>
              <w:pStyle w:val="TableParagraph"/>
              <w:ind w:left="827"/>
              <w:rPr>
                <w:rFonts w:ascii="Arial" w:hAnsi="Arial" w:cs="Arial"/>
              </w:rPr>
            </w:pPr>
            <w:r w:rsidRPr="00DF5143">
              <w:rPr>
                <w:rFonts w:ascii="Arial" w:hAnsi="Arial" w:cs="Arial"/>
              </w:rPr>
              <w:t>$1,633</w:t>
            </w:r>
          </w:p>
        </w:tc>
      </w:tr>
      <w:tr w:rsidR="00590F19" w:rsidRPr="00E71D7A" w14:paraId="347E34ED" w14:textId="77777777" w:rsidTr="00DF5143">
        <w:trPr>
          <w:trHeight w:val="299"/>
          <w:jc w:val="center"/>
        </w:trPr>
        <w:tc>
          <w:tcPr>
            <w:tcW w:w="895" w:type="dxa"/>
            <w:tcBorders>
              <w:top w:val="single" w:sz="4" w:space="0" w:color="000000"/>
              <w:left w:val="single" w:sz="4" w:space="0" w:color="000000"/>
              <w:bottom w:val="single" w:sz="4" w:space="0" w:color="000000"/>
              <w:right w:val="single" w:sz="4" w:space="0" w:color="000000"/>
            </w:tcBorders>
            <w:vAlign w:val="center"/>
          </w:tcPr>
          <w:p w14:paraId="17E74CE1" w14:textId="77777777" w:rsidR="00590F19" w:rsidRPr="00DF5143" w:rsidRDefault="00590F19" w:rsidP="00D50903">
            <w:pPr>
              <w:pStyle w:val="TableParagraph"/>
              <w:spacing w:before="36"/>
              <w:ind w:left="110" w:right="132"/>
              <w:jc w:val="center"/>
              <w:rPr>
                <w:rFonts w:ascii="Arial" w:hAnsi="Arial" w:cs="Arial"/>
              </w:rPr>
            </w:pPr>
            <w:r w:rsidRPr="00DF5143">
              <w:rPr>
                <w:rFonts w:ascii="Arial" w:hAnsi="Arial" w:cs="Arial"/>
              </w:rPr>
              <w:t>37.</w:t>
            </w:r>
          </w:p>
        </w:tc>
        <w:tc>
          <w:tcPr>
            <w:tcW w:w="5310" w:type="dxa"/>
            <w:tcBorders>
              <w:top w:val="single" w:sz="4" w:space="0" w:color="000000"/>
              <w:left w:val="single" w:sz="4" w:space="0" w:color="000000"/>
              <w:bottom w:val="single" w:sz="4" w:space="0" w:color="000000"/>
              <w:right w:val="single" w:sz="4" w:space="0" w:color="000000"/>
            </w:tcBorders>
            <w:vAlign w:val="center"/>
          </w:tcPr>
          <w:p w14:paraId="1F7D1454" w14:textId="77777777" w:rsidR="00590F19" w:rsidRPr="00DF5143" w:rsidRDefault="00590F19" w:rsidP="00D50903">
            <w:pPr>
              <w:pStyle w:val="TableParagraph"/>
              <w:spacing w:before="36"/>
              <w:ind w:left="828" w:right="90"/>
              <w:rPr>
                <w:rFonts w:ascii="Arial" w:hAnsi="Arial" w:cs="Arial"/>
              </w:rPr>
            </w:pPr>
            <w:r w:rsidRPr="00DF5143">
              <w:rPr>
                <w:rFonts w:ascii="Arial" w:hAnsi="Arial" w:cs="Arial"/>
              </w:rPr>
              <w:t>$72,000 to $73,999</w:t>
            </w:r>
          </w:p>
        </w:tc>
        <w:tc>
          <w:tcPr>
            <w:tcW w:w="3150" w:type="dxa"/>
            <w:tcBorders>
              <w:top w:val="single" w:sz="4" w:space="0" w:color="000000"/>
              <w:left w:val="single" w:sz="4" w:space="0" w:color="000000"/>
              <w:bottom w:val="single" w:sz="4" w:space="0" w:color="000000"/>
              <w:right w:val="single" w:sz="4" w:space="0" w:color="000000"/>
            </w:tcBorders>
            <w:vAlign w:val="center"/>
          </w:tcPr>
          <w:p w14:paraId="1C81A406" w14:textId="77777777" w:rsidR="00590F19" w:rsidRPr="00DF5143" w:rsidRDefault="00590F19" w:rsidP="00D50903">
            <w:pPr>
              <w:pStyle w:val="TableParagraph"/>
              <w:spacing w:before="36"/>
              <w:ind w:left="827"/>
              <w:rPr>
                <w:rFonts w:ascii="Arial" w:hAnsi="Arial" w:cs="Arial"/>
              </w:rPr>
            </w:pPr>
            <w:r w:rsidRPr="00DF5143">
              <w:rPr>
                <w:rFonts w:ascii="Arial" w:hAnsi="Arial" w:cs="Arial"/>
              </w:rPr>
              <w:t>$1,680</w:t>
            </w:r>
          </w:p>
        </w:tc>
      </w:tr>
      <w:tr w:rsidR="00590F19" w:rsidRPr="00E71D7A" w14:paraId="0BA7C7A6" w14:textId="77777777" w:rsidTr="00DF5143">
        <w:trPr>
          <w:trHeight w:val="299"/>
          <w:jc w:val="center"/>
        </w:trPr>
        <w:tc>
          <w:tcPr>
            <w:tcW w:w="895" w:type="dxa"/>
            <w:tcBorders>
              <w:top w:val="single" w:sz="4" w:space="0" w:color="000000"/>
              <w:left w:val="single" w:sz="4" w:space="0" w:color="000000"/>
              <w:bottom w:val="single" w:sz="4" w:space="0" w:color="000000"/>
              <w:right w:val="single" w:sz="4" w:space="0" w:color="000000"/>
            </w:tcBorders>
            <w:vAlign w:val="center"/>
          </w:tcPr>
          <w:p w14:paraId="68C12B28" w14:textId="77777777" w:rsidR="00590F19" w:rsidRPr="00DF5143" w:rsidRDefault="00590F19" w:rsidP="00D50903">
            <w:pPr>
              <w:pStyle w:val="TableParagraph"/>
              <w:spacing w:before="36"/>
              <w:ind w:left="110" w:right="132"/>
              <w:jc w:val="center"/>
              <w:rPr>
                <w:rFonts w:ascii="Arial" w:hAnsi="Arial" w:cs="Arial"/>
              </w:rPr>
            </w:pPr>
            <w:r w:rsidRPr="00DF5143">
              <w:rPr>
                <w:rFonts w:ascii="Arial" w:hAnsi="Arial" w:cs="Arial"/>
              </w:rPr>
              <w:t>38.</w:t>
            </w:r>
          </w:p>
        </w:tc>
        <w:tc>
          <w:tcPr>
            <w:tcW w:w="5310" w:type="dxa"/>
            <w:tcBorders>
              <w:top w:val="single" w:sz="4" w:space="0" w:color="000000"/>
              <w:left w:val="single" w:sz="4" w:space="0" w:color="000000"/>
              <w:bottom w:val="single" w:sz="4" w:space="0" w:color="000000"/>
              <w:right w:val="single" w:sz="4" w:space="0" w:color="000000"/>
            </w:tcBorders>
            <w:vAlign w:val="center"/>
          </w:tcPr>
          <w:p w14:paraId="55A18D2C" w14:textId="77777777" w:rsidR="00590F19" w:rsidRPr="00DF5143" w:rsidRDefault="00590F19" w:rsidP="00D50903">
            <w:pPr>
              <w:pStyle w:val="TableParagraph"/>
              <w:spacing w:before="36"/>
              <w:ind w:left="828" w:right="90"/>
              <w:rPr>
                <w:rFonts w:ascii="Arial" w:hAnsi="Arial" w:cs="Arial"/>
              </w:rPr>
            </w:pPr>
            <w:r w:rsidRPr="00DF5143">
              <w:rPr>
                <w:rFonts w:ascii="Arial" w:hAnsi="Arial" w:cs="Arial"/>
              </w:rPr>
              <w:t>$74,000 to $75,999</w:t>
            </w:r>
          </w:p>
        </w:tc>
        <w:tc>
          <w:tcPr>
            <w:tcW w:w="3150" w:type="dxa"/>
            <w:tcBorders>
              <w:top w:val="single" w:sz="4" w:space="0" w:color="000000"/>
              <w:left w:val="single" w:sz="4" w:space="0" w:color="000000"/>
              <w:bottom w:val="single" w:sz="4" w:space="0" w:color="000000"/>
              <w:right w:val="single" w:sz="4" w:space="0" w:color="000000"/>
            </w:tcBorders>
            <w:vAlign w:val="center"/>
          </w:tcPr>
          <w:p w14:paraId="31B1C38D" w14:textId="77777777" w:rsidR="00590F19" w:rsidRPr="00DF5143" w:rsidRDefault="00590F19" w:rsidP="00D50903">
            <w:pPr>
              <w:pStyle w:val="TableParagraph"/>
              <w:spacing w:before="36"/>
              <w:ind w:left="827"/>
              <w:rPr>
                <w:rFonts w:ascii="Arial" w:hAnsi="Arial" w:cs="Arial"/>
              </w:rPr>
            </w:pPr>
            <w:r w:rsidRPr="00DF5143">
              <w:rPr>
                <w:rFonts w:ascii="Arial" w:hAnsi="Arial" w:cs="Arial"/>
              </w:rPr>
              <w:t>$1,727</w:t>
            </w:r>
          </w:p>
        </w:tc>
      </w:tr>
      <w:tr w:rsidR="00590F19" w:rsidRPr="00E71D7A" w14:paraId="5A864D78" w14:textId="77777777" w:rsidTr="00DF5143">
        <w:trPr>
          <w:trHeight w:val="299"/>
          <w:jc w:val="center"/>
        </w:trPr>
        <w:tc>
          <w:tcPr>
            <w:tcW w:w="895" w:type="dxa"/>
            <w:tcBorders>
              <w:top w:val="single" w:sz="4" w:space="0" w:color="000000"/>
              <w:left w:val="single" w:sz="4" w:space="0" w:color="000000"/>
              <w:bottom w:val="single" w:sz="4" w:space="0" w:color="000000"/>
              <w:right w:val="single" w:sz="4" w:space="0" w:color="000000"/>
            </w:tcBorders>
            <w:vAlign w:val="center"/>
          </w:tcPr>
          <w:p w14:paraId="3EA2F376" w14:textId="77777777" w:rsidR="00590F19" w:rsidRPr="00DF5143" w:rsidRDefault="00590F19" w:rsidP="00D50903">
            <w:pPr>
              <w:pStyle w:val="TableParagraph"/>
              <w:spacing w:before="36"/>
              <w:ind w:left="110" w:right="132"/>
              <w:jc w:val="center"/>
              <w:rPr>
                <w:rFonts w:ascii="Arial" w:hAnsi="Arial" w:cs="Arial"/>
              </w:rPr>
            </w:pPr>
            <w:r w:rsidRPr="00DF5143">
              <w:rPr>
                <w:rFonts w:ascii="Arial" w:hAnsi="Arial" w:cs="Arial"/>
              </w:rPr>
              <w:t>39.</w:t>
            </w:r>
          </w:p>
        </w:tc>
        <w:tc>
          <w:tcPr>
            <w:tcW w:w="5310" w:type="dxa"/>
            <w:tcBorders>
              <w:top w:val="single" w:sz="4" w:space="0" w:color="000000"/>
              <w:left w:val="single" w:sz="4" w:space="0" w:color="000000"/>
              <w:bottom w:val="single" w:sz="4" w:space="0" w:color="000000"/>
              <w:right w:val="single" w:sz="4" w:space="0" w:color="000000"/>
            </w:tcBorders>
            <w:vAlign w:val="center"/>
          </w:tcPr>
          <w:p w14:paraId="0C62CCA3" w14:textId="77777777" w:rsidR="00590F19" w:rsidRPr="00DF5143" w:rsidRDefault="00590F19" w:rsidP="00D50903">
            <w:pPr>
              <w:pStyle w:val="TableParagraph"/>
              <w:spacing w:before="36"/>
              <w:ind w:left="828" w:right="90"/>
              <w:rPr>
                <w:rFonts w:ascii="Arial" w:hAnsi="Arial" w:cs="Arial"/>
              </w:rPr>
            </w:pPr>
            <w:r w:rsidRPr="00DF5143">
              <w:rPr>
                <w:rFonts w:ascii="Arial" w:hAnsi="Arial" w:cs="Arial"/>
              </w:rPr>
              <w:t>$76,000 to $77,999</w:t>
            </w:r>
          </w:p>
        </w:tc>
        <w:tc>
          <w:tcPr>
            <w:tcW w:w="3150" w:type="dxa"/>
            <w:tcBorders>
              <w:top w:val="single" w:sz="4" w:space="0" w:color="000000"/>
              <w:left w:val="single" w:sz="4" w:space="0" w:color="000000"/>
              <w:bottom w:val="single" w:sz="4" w:space="0" w:color="000000"/>
              <w:right w:val="single" w:sz="4" w:space="0" w:color="000000"/>
            </w:tcBorders>
            <w:vAlign w:val="center"/>
          </w:tcPr>
          <w:p w14:paraId="455149BA" w14:textId="77777777" w:rsidR="00590F19" w:rsidRPr="00DF5143" w:rsidRDefault="00590F19" w:rsidP="00D50903">
            <w:pPr>
              <w:pStyle w:val="TableParagraph"/>
              <w:spacing w:before="36"/>
              <w:ind w:left="827"/>
              <w:rPr>
                <w:rFonts w:ascii="Arial" w:hAnsi="Arial" w:cs="Arial"/>
              </w:rPr>
            </w:pPr>
            <w:r w:rsidRPr="00DF5143">
              <w:rPr>
                <w:rFonts w:ascii="Arial" w:hAnsi="Arial" w:cs="Arial"/>
              </w:rPr>
              <w:t>$1,773</w:t>
            </w:r>
          </w:p>
        </w:tc>
      </w:tr>
      <w:tr w:rsidR="00590F19" w:rsidRPr="00E71D7A" w14:paraId="18F85A55" w14:textId="77777777" w:rsidTr="00DF5143">
        <w:trPr>
          <w:trHeight w:val="299"/>
          <w:jc w:val="center"/>
        </w:trPr>
        <w:tc>
          <w:tcPr>
            <w:tcW w:w="895" w:type="dxa"/>
            <w:tcBorders>
              <w:top w:val="single" w:sz="4" w:space="0" w:color="000000"/>
              <w:left w:val="single" w:sz="4" w:space="0" w:color="000000"/>
              <w:bottom w:val="single" w:sz="4" w:space="0" w:color="000000"/>
              <w:right w:val="single" w:sz="4" w:space="0" w:color="000000"/>
            </w:tcBorders>
            <w:vAlign w:val="center"/>
          </w:tcPr>
          <w:p w14:paraId="6D56D9D2" w14:textId="77777777" w:rsidR="00590F19" w:rsidRPr="00DF5143" w:rsidRDefault="00590F19" w:rsidP="00D50903">
            <w:pPr>
              <w:pStyle w:val="TableParagraph"/>
              <w:ind w:left="110" w:right="132"/>
              <w:jc w:val="center"/>
              <w:rPr>
                <w:rFonts w:ascii="Arial" w:hAnsi="Arial" w:cs="Arial"/>
              </w:rPr>
            </w:pPr>
            <w:r w:rsidRPr="00DF5143">
              <w:rPr>
                <w:rFonts w:ascii="Arial" w:hAnsi="Arial" w:cs="Arial"/>
              </w:rPr>
              <w:t>40.</w:t>
            </w:r>
          </w:p>
        </w:tc>
        <w:tc>
          <w:tcPr>
            <w:tcW w:w="5310" w:type="dxa"/>
            <w:tcBorders>
              <w:top w:val="single" w:sz="4" w:space="0" w:color="000000"/>
              <w:left w:val="single" w:sz="4" w:space="0" w:color="000000"/>
              <w:bottom w:val="single" w:sz="4" w:space="0" w:color="000000"/>
              <w:right w:val="single" w:sz="4" w:space="0" w:color="000000"/>
            </w:tcBorders>
            <w:vAlign w:val="center"/>
          </w:tcPr>
          <w:p w14:paraId="37EF3657" w14:textId="77777777" w:rsidR="00590F19" w:rsidRPr="00DF5143" w:rsidRDefault="00590F19" w:rsidP="00D50903">
            <w:pPr>
              <w:pStyle w:val="TableParagraph"/>
              <w:ind w:left="828" w:right="90"/>
              <w:rPr>
                <w:rFonts w:ascii="Arial" w:hAnsi="Arial" w:cs="Arial"/>
              </w:rPr>
            </w:pPr>
            <w:r w:rsidRPr="00DF5143">
              <w:rPr>
                <w:rFonts w:ascii="Arial" w:hAnsi="Arial" w:cs="Arial"/>
              </w:rPr>
              <w:t>$78,000 to $79,999</w:t>
            </w:r>
          </w:p>
        </w:tc>
        <w:tc>
          <w:tcPr>
            <w:tcW w:w="3150" w:type="dxa"/>
            <w:tcBorders>
              <w:top w:val="single" w:sz="4" w:space="0" w:color="000000"/>
              <w:left w:val="single" w:sz="4" w:space="0" w:color="000000"/>
              <w:bottom w:val="single" w:sz="4" w:space="0" w:color="000000"/>
              <w:right w:val="single" w:sz="4" w:space="0" w:color="000000"/>
            </w:tcBorders>
            <w:vAlign w:val="center"/>
          </w:tcPr>
          <w:p w14:paraId="6F04748E" w14:textId="77777777" w:rsidR="00590F19" w:rsidRPr="00DF5143" w:rsidRDefault="00590F19" w:rsidP="00D50903">
            <w:pPr>
              <w:pStyle w:val="TableParagraph"/>
              <w:ind w:left="827"/>
              <w:rPr>
                <w:rFonts w:ascii="Arial" w:hAnsi="Arial" w:cs="Arial"/>
              </w:rPr>
            </w:pPr>
            <w:r w:rsidRPr="00DF5143">
              <w:rPr>
                <w:rFonts w:ascii="Arial" w:hAnsi="Arial" w:cs="Arial"/>
              </w:rPr>
              <w:t>$1,820</w:t>
            </w:r>
          </w:p>
        </w:tc>
      </w:tr>
      <w:tr w:rsidR="00590F19" w:rsidRPr="00E71D7A" w14:paraId="42F7300B" w14:textId="77777777" w:rsidTr="00DF5143">
        <w:trPr>
          <w:trHeight w:val="299"/>
          <w:jc w:val="center"/>
        </w:trPr>
        <w:tc>
          <w:tcPr>
            <w:tcW w:w="895" w:type="dxa"/>
            <w:tcBorders>
              <w:top w:val="single" w:sz="4" w:space="0" w:color="000000"/>
              <w:left w:val="single" w:sz="4" w:space="0" w:color="000000"/>
              <w:bottom w:val="single" w:sz="4" w:space="0" w:color="000000"/>
              <w:right w:val="single" w:sz="4" w:space="0" w:color="000000"/>
            </w:tcBorders>
            <w:vAlign w:val="center"/>
          </w:tcPr>
          <w:p w14:paraId="0AAE3457" w14:textId="77777777" w:rsidR="00590F19" w:rsidRPr="00DF5143" w:rsidRDefault="00590F19" w:rsidP="00D50903">
            <w:pPr>
              <w:pStyle w:val="TableParagraph"/>
              <w:ind w:left="110" w:right="132"/>
              <w:jc w:val="center"/>
              <w:rPr>
                <w:rFonts w:ascii="Arial" w:hAnsi="Arial" w:cs="Arial"/>
              </w:rPr>
            </w:pPr>
            <w:r w:rsidRPr="00DF5143">
              <w:rPr>
                <w:rFonts w:ascii="Arial" w:hAnsi="Arial" w:cs="Arial"/>
              </w:rPr>
              <w:t>41.</w:t>
            </w:r>
          </w:p>
        </w:tc>
        <w:tc>
          <w:tcPr>
            <w:tcW w:w="5310" w:type="dxa"/>
            <w:tcBorders>
              <w:top w:val="single" w:sz="4" w:space="0" w:color="000000"/>
              <w:left w:val="single" w:sz="4" w:space="0" w:color="000000"/>
              <w:bottom w:val="single" w:sz="4" w:space="0" w:color="000000"/>
              <w:right w:val="single" w:sz="4" w:space="0" w:color="000000"/>
            </w:tcBorders>
            <w:vAlign w:val="center"/>
          </w:tcPr>
          <w:p w14:paraId="581AAFB1" w14:textId="77777777" w:rsidR="00590F19" w:rsidRPr="00DF5143" w:rsidRDefault="00590F19" w:rsidP="00D50903">
            <w:pPr>
              <w:pStyle w:val="TableParagraph"/>
              <w:ind w:left="828" w:right="90"/>
              <w:rPr>
                <w:rFonts w:ascii="Arial" w:hAnsi="Arial" w:cs="Arial"/>
              </w:rPr>
            </w:pPr>
            <w:r w:rsidRPr="00DF5143">
              <w:rPr>
                <w:rFonts w:ascii="Arial" w:hAnsi="Arial" w:cs="Arial"/>
              </w:rPr>
              <w:t>$80,000 to $81,999</w:t>
            </w:r>
          </w:p>
        </w:tc>
        <w:tc>
          <w:tcPr>
            <w:tcW w:w="3150" w:type="dxa"/>
            <w:tcBorders>
              <w:top w:val="single" w:sz="4" w:space="0" w:color="000000"/>
              <w:left w:val="single" w:sz="4" w:space="0" w:color="000000"/>
              <w:bottom w:val="single" w:sz="4" w:space="0" w:color="000000"/>
              <w:right w:val="single" w:sz="4" w:space="0" w:color="000000"/>
            </w:tcBorders>
            <w:vAlign w:val="center"/>
          </w:tcPr>
          <w:p w14:paraId="12D2FB16" w14:textId="77777777" w:rsidR="00590F19" w:rsidRPr="00DF5143" w:rsidRDefault="00590F19" w:rsidP="00D50903">
            <w:pPr>
              <w:pStyle w:val="TableParagraph"/>
              <w:ind w:left="827"/>
              <w:rPr>
                <w:rFonts w:ascii="Arial" w:hAnsi="Arial" w:cs="Arial"/>
              </w:rPr>
            </w:pPr>
            <w:r w:rsidRPr="00DF5143">
              <w:rPr>
                <w:rFonts w:ascii="Arial" w:hAnsi="Arial" w:cs="Arial"/>
              </w:rPr>
              <w:t>$1,867</w:t>
            </w:r>
          </w:p>
        </w:tc>
      </w:tr>
      <w:tr w:rsidR="00590F19" w:rsidRPr="00E71D7A" w14:paraId="1605317E" w14:textId="77777777" w:rsidTr="00DF5143">
        <w:trPr>
          <w:trHeight w:val="299"/>
          <w:jc w:val="center"/>
        </w:trPr>
        <w:tc>
          <w:tcPr>
            <w:tcW w:w="895" w:type="dxa"/>
            <w:tcBorders>
              <w:top w:val="single" w:sz="4" w:space="0" w:color="000000"/>
              <w:left w:val="single" w:sz="4" w:space="0" w:color="000000"/>
              <w:bottom w:val="single" w:sz="4" w:space="0" w:color="000000"/>
              <w:right w:val="single" w:sz="4" w:space="0" w:color="000000"/>
            </w:tcBorders>
            <w:vAlign w:val="center"/>
          </w:tcPr>
          <w:p w14:paraId="1FFAE08D" w14:textId="77777777" w:rsidR="00590F19" w:rsidRPr="00DF5143" w:rsidRDefault="00590F19" w:rsidP="00D50903">
            <w:pPr>
              <w:pStyle w:val="TableParagraph"/>
              <w:ind w:left="110" w:right="132"/>
              <w:jc w:val="center"/>
              <w:rPr>
                <w:rFonts w:ascii="Arial" w:hAnsi="Arial" w:cs="Arial"/>
              </w:rPr>
            </w:pPr>
            <w:r w:rsidRPr="00DF5143">
              <w:rPr>
                <w:rFonts w:ascii="Arial" w:hAnsi="Arial" w:cs="Arial"/>
              </w:rPr>
              <w:t>42.</w:t>
            </w:r>
          </w:p>
        </w:tc>
        <w:tc>
          <w:tcPr>
            <w:tcW w:w="5310" w:type="dxa"/>
            <w:tcBorders>
              <w:top w:val="single" w:sz="4" w:space="0" w:color="000000"/>
              <w:left w:val="single" w:sz="4" w:space="0" w:color="000000"/>
              <w:bottom w:val="single" w:sz="4" w:space="0" w:color="000000"/>
              <w:right w:val="single" w:sz="4" w:space="0" w:color="000000"/>
            </w:tcBorders>
            <w:vAlign w:val="center"/>
          </w:tcPr>
          <w:p w14:paraId="768550CB" w14:textId="77777777" w:rsidR="00590F19" w:rsidRPr="00DF5143" w:rsidRDefault="00590F19" w:rsidP="00D50903">
            <w:pPr>
              <w:pStyle w:val="TableParagraph"/>
              <w:ind w:left="828" w:right="90"/>
              <w:rPr>
                <w:rFonts w:ascii="Arial" w:hAnsi="Arial" w:cs="Arial"/>
              </w:rPr>
            </w:pPr>
            <w:r w:rsidRPr="00DF5143">
              <w:rPr>
                <w:rFonts w:ascii="Arial" w:hAnsi="Arial" w:cs="Arial"/>
              </w:rPr>
              <w:t>$82,000 to $83,999</w:t>
            </w:r>
          </w:p>
        </w:tc>
        <w:tc>
          <w:tcPr>
            <w:tcW w:w="3150" w:type="dxa"/>
            <w:tcBorders>
              <w:top w:val="single" w:sz="4" w:space="0" w:color="000000"/>
              <w:left w:val="single" w:sz="4" w:space="0" w:color="000000"/>
              <w:bottom w:val="single" w:sz="4" w:space="0" w:color="000000"/>
              <w:right w:val="single" w:sz="4" w:space="0" w:color="000000"/>
            </w:tcBorders>
            <w:vAlign w:val="center"/>
          </w:tcPr>
          <w:p w14:paraId="73797833" w14:textId="77777777" w:rsidR="00590F19" w:rsidRPr="00DF5143" w:rsidRDefault="00590F19" w:rsidP="00D50903">
            <w:pPr>
              <w:pStyle w:val="TableParagraph"/>
              <w:ind w:left="827"/>
              <w:rPr>
                <w:rFonts w:ascii="Arial" w:hAnsi="Arial" w:cs="Arial"/>
              </w:rPr>
            </w:pPr>
            <w:r w:rsidRPr="00DF5143">
              <w:rPr>
                <w:rFonts w:ascii="Arial" w:hAnsi="Arial" w:cs="Arial"/>
              </w:rPr>
              <w:t>$1,913</w:t>
            </w:r>
          </w:p>
        </w:tc>
      </w:tr>
      <w:tr w:rsidR="00590F19" w:rsidRPr="00E71D7A" w14:paraId="53F83F38" w14:textId="77777777" w:rsidTr="00DF5143">
        <w:trPr>
          <w:trHeight w:val="299"/>
          <w:jc w:val="center"/>
        </w:trPr>
        <w:tc>
          <w:tcPr>
            <w:tcW w:w="895" w:type="dxa"/>
            <w:tcBorders>
              <w:top w:val="single" w:sz="4" w:space="0" w:color="000000"/>
              <w:left w:val="single" w:sz="4" w:space="0" w:color="000000"/>
              <w:bottom w:val="single" w:sz="4" w:space="0" w:color="000000"/>
              <w:right w:val="single" w:sz="4" w:space="0" w:color="000000"/>
            </w:tcBorders>
            <w:vAlign w:val="center"/>
          </w:tcPr>
          <w:p w14:paraId="60487714" w14:textId="77777777" w:rsidR="00590F19" w:rsidRPr="00DF5143" w:rsidRDefault="00590F19" w:rsidP="00D50903">
            <w:pPr>
              <w:pStyle w:val="TableParagraph"/>
              <w:spacing w:before="36"/>
              <w:ind w:left="110" w:right="132"/>
              <w:jc w:val="center"/>
              <w:rPr>
                <w:rFonts w:ascii="Arial" w:hAnsi="Arial" w:cs="Arial"/>
              </w:rPr>
            </w:pPr>
            <w:r w:rsidRPr="00DF5143">
              <w:rPr>
                <w:rFonts w:ascii="Arial" w:hAnsi="Arial" w:cs="Arial"/>
              </w:rPr>
              <w:t>43.</w:t>
            </w:r>
          </w:p>
        </w:tc>
        <w:tc>
          <w:tcPr>
            <w:tcW w:w="5310" w:type="dxa"/>
            <w:tcBorders>
              <w:top w:val="single" w:sz="4" w:space="0" w:color="000000"/>
              <w:left w:val="single" w:sz="4" w:space="0" w:color="000000"/>
              <w:bottom w:val="single" w:sz="4" w:space="0" w:color="000000"/>
              <w:right w:val="single" w:sz="4" w:space="0" w:color="000000"/>
            </w:tcBorders>
            <w:vAlign w:val="center"/>
          </w:tcPr>
          <w:p w14:paraId="570D1EF8" w14:textId="77777777" w:rsidR="00590F19" w:rsidRPr="00DF5143" w:rsidRDefault="00590F19" w:rsidP="00D50903">
            <w:pPr>
              <w:pStyle w:val="TableParagraph"/>
              <w:spacing w:before="36"/>
              <w:ind w:left="828" w:right="90"/>
              <w:rPr>
                <w:rFonts w:ascii="Arial" w:hAnsi="Arial" w:cs="Arial"/>
              </w:rPr>
            </w:pPr>
            <w:r w:rsidRPr="00DF5143">
              <w:rPr>
                <w:rFonts w:ascii="Arial" w:hAnsi="Arial" w:cs="Arial"/>
              </w:rPr>
              <w:t>$84,000 to $85,999</w:t>
            </w:r>
          </w:p>
        </w:tc>
        <w:tc>
          <w:tcPr>
            <w:tcW w:w="3150" w:type="dxa"/>
            <w:tcBorders>
              <w:top w:val="single" w:sz="4" w:space="0" w:color="000000"/>
              <w:left w:val="single" w:sz="4" w:space="0" w:color="000000"/>
              <w:bottom w:val="single" w:sz="4" w:space="0" w:color="000000"/>
              <w:right w:val="single" w:sz="4" w:space="0" w:color="000000"/>
            </w:tcBorders>
            <w:vAlign w:val="center"/>
          </w:tcPr>
          <w:p w14:paraId="2D69EEBB" w14:textId="77777777" w:rsidR="00590F19" w:rsidRPr="00DF5143" w:rsidRDefault="00590F19" w:rsidP="00D50903">
            <w:pPr>
              <w:pStyle w:val="TableParagraph"/>
              <w:spacing w:before="36"/>
              <w:ind w:left="827"/>
              <w:rPr>
                <w:rFonts w:ascii="Arial" w:hAnsi="Arial" w:cs="Arial"/>
              </w:rPr>
            </w:pPr>
            <w:r w:rsidRPr="00DF5143">
              <w:rPr>
                <w:rFonts w:ascii="Arial" w:hAnsi="Arial" w:cs="Arial"/>
              </w:rPr>
              <w:t>$1,960</w:t>
            </w:r>
          </w:p>
        </w:tc>
      </w:tr>
      <w:tr w:rsidR="00590F19" w:rsidRPr="00E71D7A" w14:paraId="7937C547" w14:textId="77777777" w:rsidTr="00DF5143">
        <w:trPr>
          <w:trHeight w:val="299"/>
          <w:jc w:val="center"/>
        </w:trPr>
        <w:tc>
          <w:tcPr>
            <w:tcW w:w="895" w:type="dxa"/>
            <w:tcBorders>
              <w:top w:val="single" w:sz="4" w:space="0" w:color="000000"/>
              <w:left w:val="single" w:sz="4" w:space="0" w:color="000000"/>
              <w:bottom w:val="single" w:sz="4" w:space="0" w:color="000000"/>
              <w:right w:val="single" w:sz="4" w:space="0" w:color="000000"/>
            </w:tcBorders>
            <w:vAlign w:val="center"/>
          </w:tcPr>
          <w:p w14:paraId="759E2587" w14:textId="77777777" w:rsidR="00590F19" w:rsidRPr="00DF5143" w:rsidRDefault="00590F19" w:rsidP="00D50903">
            <w:pPr>
              <w:pStyle w:val="TableParagraph"/>
              <w:spacing w:before="36"/>
              <w:ind w:left="110" w:right="132"/>
              <w:jc w:val="center"/>
              <w:rPr>
                <w:rFonts w:ascii="Arial" w:hAnsi="Arial" w:cs="Arial"/>
              </w:rPr>
            </w:pPr>
            <w:r w:rsidRPr="00DF5143">
              <w:rPr>
                <w:rFonts w:ascii="Arial" w:hAnsi="Arial" w:cs="Arial"/>
              </w:rPr>
              <w:t>44.</w:t>
            </w:r>
          </w:p>
        </w:tc>
        <w:tc>
          <w:tcPr>
            <w:tcW w:w="5310" w:type="dxa"/>
            <w:tcBorders>
              <w:top w:val="single" w:sz="4" w:space="0" w:color="000000"/>
              <w:left w:val="single" w:sz="4" w:space="0" w:color="000000"/>
              <w:bottom w:val="single" w:sz="4" w:space="0" w:color="000000"/>
              <w:right w:val="single" w:sz="4" w:space="0" w:color="000000"/>
            </w:tcBorders>
            <w:vAlign w:val="center"/>
          </w:tcPr>
          <w:p w14:paraId="4F12923F" w14:textId="77777777" w:rsidR="00590F19" w:rsidRPr="00DF5143" w:rsidRDefault="00590F19" w:rsidP="00D50903">
            <w:pPr>
              <w:pStyle w:val="TableParagraph"/>
              <w:spacing w:before="36"/>
              <w:ind w:left="828" w:right="90"/>
              <w:rPr>
                <w:rFonts w:ascii="Arial" w:hAnsi="Arial" w:cs="Arial"/>
              </w:rPr>
            </w:pPr>
            <w:r w:rsidRPr="00DF5143">
              <w:rPr>
                <w:rFonts w:ascii="Arial" w:hAnsi="Arial" w:cs="Arial"/>
              </w:rPr>
              <w:t>$86,000 to $87,999</w:t>
            </w:r>
          </w:p>
        </w:tc>
        <w:tc>
          <w:tcPr>
            <w:tcW w:w="3150" w:type="dxa"/>
            <w:tcBorders>
              <w:top w:val="single" w:sz="4" w:space="0" w:color="000000"/>
              <w:left w:val="single" w:sz="4" w:space="0" w:color="000000"/>
              <w:bottom w:val="single" w:sz="4" w:space="0" w:color="000000"/>
              <w:right w:val="single" w:sz="4" w:space="0" w:color="000000"/>
            </w:tcBorders>
            <w:vAlign w:val="center"/>
          </w:tcPr>
          <w:p w14:paraId="16814B70" w14:textId="77777777" w:rsidR="00590F19" w:rsidRPr="00DF5143" w:rsidRDefault="00590F19" w:rsidP="00D50903">
            <w:pPr>
              <w:pStyle w:val="TableParagraph"/>
              <w:spacing w:before="36"/>
              <w:ind w:left="827"/>
              <w:rPr>
                <w:rFonts w:ascii="Arial" w:hAnsi="Arial" w:cs="Arial"/>
              </w:rPr>
            </w:pPr>
            <w:r w:rsidRPr="00DF5143">
              <w:rPr>
                <w:rFonts w:ascii="Arial" w:hAnsi="Arial" w:cs="Arial"/>
              </w:rPr>
              <w:t>$2,007</w:t>
            </w:r>
          </w:p>
        </w:tc>
      </w:tr>
      <w:tr w:rsidR="00590F19" w:rsidRPr="00E71D7A" w14:paraId="5A7CDE90" w14:textId="77777777" w:rsidTr="00DF5143">
        <w:trPr>
          <w:trHeight w:val="299"/>
          <w:jc w:val="center"/>
        </w:trPr>
        <w:tc>
          <w:tcPr>
            <w:tcW w:w="895" w:type="dxa"/>
            <w:tcBorders>
              <w:top w:val="single" w:sz="4" w:space="0" w:color="000000"/>
              <w:left w:val="single" w:sz="4" w:space="0" w:color="000000"/>
              <w:bottom w:val="single" w:sz="4" w:space="0" w:color="000000"/>
              <w:right w:val="single" w:sz="4" w:space="0" w:color="000000"/>
            </w:tcBorders>
            <w:vAlign w:val="center"/>
          </w:tcPr>
          <w:p w14:paraId="6B981A78" w14:textId="77777777" w:rsidR="00590F19" w:rsidRPr="00DF5143" w:rsidRDefault="00590F19" w:rsidP="00D50903">
            <w:pPr>
              <w:pStyle w:val="TableParagraph"/>
              <w:spacing w:before="36"/>
              <w:ind w:left="110" w:right="132"/>
              <w:jc w:val="center"/>
              <w:rPr>
                <w:rFonts w:ascii="Arial" w:hAnsi="Arial" w:cs="Arial"/>
              </w:rPr>
            </w:pPr>
            <w:r w:rsidRPr="00DF5143">
              <w:rPr>
                <w:rFonts w:ascii="Arial" w:hAnsi="Arial" w:cs="Arial"/>
              </w:rPr>
              <w:t>45.</w:t>
            </w:r>
          </w:p>
        </w:tc>
        <w:tc>
          <w:tcPr>
            <w:tcW w:w="5310" w:type="dxa"/>
            <w:tcBorders>
              <w:top w:val="single" w:sz="4" w:space="0" w:color="000000"/>
              <w:left w:val="single" w:sz="4" w:space="0" w:color="000000"/>
              <w:bottom w:val="single" w:sz="4" w:space="0" w:color="000000"/>
              <w:right w:val="single" w:sz="4" w:space="0" w:color="000000"/>
            </w:tcBorders>
            <w:vAlign w:val="center"/>
          </w:tcPr>
          <w:p w14:paraId="453C5A2A" w14:textId="77777777" w:rsidR="00590F19" w:rsidRPr="00DF5143" w:rsidRDefault="00590F19" w:rsidP="00D50903">
            <w:pPr>
              <w:pStyle w:val="TableParagraph"/>
              <w:spacing w:before="36"/>
              <w:ind w:left="828" w:right="90"/>
              <w:rPr>
                <w:rFonts w:ascii="Arial" w:hAnsi="Arial" w:cs="Arial"/>
              </w:rPr>
            </w:pPr>
            <w:r w:rsidRPr="00DF5143">
              <w:rPr>
                <w:rFonts w:ascii="Arial" w:hAnsi="Arial" w:cs="Arial"/>
              </w:rPr>
              <w:t>$88,000 to $89,999</w:t>
            </w:r>
          </w:p>
        </w:tc>
        <w:tc>
          <w:tcPr>
            <w:tcW w:w="3150" w:type="dxa"/>
            <w:tcBorders>
              <w:top w:val="single" w:sz="4" w:space="0" w:color="000000"/>
              <w:left w:val="single" w:sz="4" w:space="0" w:color="000000"/>
              <w:bottom w:val="single" w:sz="4" w:space="0" w:color="000000"/>
              <w:right w:val="single" w:sz="4" w:space="0" w:color="000000"/>
            </w:tcBorders>
            <w:vAlign w:val="center"/>
          </w:tcPr>
          <w:p w14:paraId="375BDEBE" w14:textId="77777777" w:rsidR="00590F19" w:rsidRPr="00DF5143" w:rsidRDefault="00590F19" w:rsidP="00D50903">
            <w:pPr>
              <w:pStyle w:val="TableParagraph"/>
              <w:spacing w:before="36"/>
              <w:ind w:left="827"/>
              <w:rPr>
                <w:rFonts w:ascii="Arial" w:hAnsi="Arial" w:cs="Arial"/>
              </w:rPr>
            </w:pPr>
            <w:r w:rsidRPr="00DF5143">
              <w:rPr>
                <w:rFonts w:ascii="Arial" w:hAnsi="Arial" w:cs="Arial"/>
              </w:rPr>
              <w:t>$2,053</w:t>
            </w:r>
          </w:p>
        </w:tc>
      </w:tr>
      <w:tr w:rsidR="00590F19" w:rsidRPr="00E71D7A" w14:paraId="74151BAE" w14:textId="77777777" w:rsidTr="00DF5143">
        <w:trPr>
          <w:trHeight w:val="299"/>
          <w:jc w:val="center"/>
        </w:trPr>
        <w:tc>
          <w:tcPr>
            <w:tcW w:w="895" w:type="dxa"/>
            <w:tcBorders>
              <w:top w:val="single" w:sz="4" w:space="0" w:color="000000"/>
              <w:left w:val="single" w:sz="4" w:space="0" w:color="000000"/>
              <w:bottom w:val="single" w:sz="4" w:space="0" w:color="000000"/>
              <w:right w:val="single" w:sz="4" w:space="0" w:color="000000"/>
            </w:tcBorders>
            <w:vAlign w:val="center"/>
          </w:tcPr>
          <w:p w14:paraId="0373155B" w14:textId="77777777" w:rsidR="00590F19" w:rsidRPr="00DF5143" w:rsidRDefault="00590F19" w:rsidP="00D50903">
            <w:pPr>
              <w:pStyle w:val="TableParagraph"/>
              <w:ind w:left="110" w:right="132"/>
              <w:jc w:val="center"/>
              <w:rPr>
                <w:rFonts w:ascii="Arial" w:hAnsi="Arial" w:cs="Arial"/>
              </w:rPr>
            </w:pPr>
            <w:r w:rsidRPr="00DF5143">
              <w:rPr>
                <w:rFonts w:ascii="Arial" w:hAnsi="Arial" w:cs="Arial"/>
              </w:rPr>
              <w:t>46.</w:t>
            </w:r>
          </w:p>
        </w:tc>
        <w:tc>
          <w:tcPr>
            <w:tcW w:w="5310" w:type="dxa"/>
            <w:tcBorders>
              <w:top w:val="single" w:sz="4" w:space="0" w:color="000000"/>
              <w:left w:val="single" w:sz="4" w:space="0" w:color="000000"/>
              <w:bottom w:val="single" w:sz="4" w:space="0" w:color="000000"/>
              <w:right w:val="single" w:sz="4" w:space="0" w:color="000000"/>
            </w:tcBorders>
            <w:vAlign w:val="center"/>
          </w:tcPr>
          <w:p w14:paraId="7106EBC5" w14:textId="77777777" w:rsidR="00590F19" w:rsidRPr="00DF5143" w:rsidRDefault="00590F19" w:rsidP="00D50903">
            <w:pPr>
              <w:pStyle w:val="TableParagraph"/>
              <w:ind w:left="828" w:right="90"/>
              <w:rPr>
                <w:rFonts w:ascii="Arial" w:hAnsi="Arial" w:cs="Arial"/>
              </w:rPr>
            </w:pPr>
            <w:r w:rsidRPr="00DF5143">
              <w:rPr>
                <w:rFonts w:ascii="Arial" w:hAnsi="Arial" w:cs="Arial"/>
              </w:rPr>
              <w:t>$90,000 to $91,999</w:t>
            </w:r>
          </w:p>
        </w:tc>
        <w:tc>
          <w:tcPr>
            <w:tcW w:w="3150" w:type="dxa"/>
            <w:tcBorders>
              <w:top w:val="single" w:sz="4" w:space="0" w:color="000000"/>
              <w:left w:val="single" w:sz="4" w:space="0" w:color="000000"/>
              <w:bottom w:val="single" w:sz="4" w:space="0" w:color="000000"/>
              <w:right w:val="single" w:sz="4" w:space="0" w:color="000000"/>
            </w:tcBorders>
            <w:vAlign w:val="center"/>
          </w:tcPr>
          <w:p w14:paraId="318FC8BF" w14:textId="77777777" w:rsidR="00590F19" w:rsidRPr="00DF5143" w:rsidRDefault="00590F19" w:rsidP="00D50903">
            <w:pPr>
              <w:pStyle w:val="TableParagraph"/>
              <w:ind w:left="827"/>
              <w:rPr>
                <w:rFonts w:ascii="Arial" w:hAnsi="Arial" w:cs="Arial"/>
              </w:rPr>
            </w:pPr>
            <w:r w:rsidRPr="00DF5143">
              <w:rPr>
                <w:rFonts w:ascii="Arial" w:hAnsi="Arial" w:cs="Arial"/>
              </w:rPr>
              <w:t>$2,100</w:t>
            </w:r>
          </w:p>
        </w:tc>
      </w:tr>
      <w:tr w:rsidR="00590F19" w:rsidRPr="00E71D7A" w14:paraId="2FB483BF" w14:textId="77777777" w:rsidTr="00DF5143">
        <w:trPr>
          <w:trHeight w:val="299"/>
          <w:jc w:val="center"/>
        </w:trPr>
        <w:tc>
          <w:tcPr>
            <w:tcW w:w="895" w:type="dxa"/>
            <w:tcBorders>
              <w:top w:val="single" w:sz="4" w:space="0" w:color="000000"/>
              <w:left w:val="single" w:sz="4" w:space="0" w:color="000000"/>
              <w:bottom w:val="single" w:sz="4" w:space="0" w:color="000000"/>
              <w:right w:val="single" w:sz="4" w:space="0" w:color="000000"/>
            </w:tcBorders>
            <w:vAlign w:val="center"/>
          </w:tcPr>
          <w:p w14:paraId="68D3C94F" w14:textId="77777777" w:rsidR="00590F19" w:rsidRPr="00DF5143" w:rsidRDefault="00590F19" w:rsidP="00D50903">
            <w:pPr>
              <w:pStyle w:val="TableParagraph"/>
              <w:ind w:left="110" w:right="132"/>
              <w:jc w:val="center"/>
              <w:rPr>
                <w:rFonts w:ascii="Arial" w:hAnsi="Arial" w:cs="Arial"/>
              </w:rPr>
            </w:pPr>
            <w:r w:rsidRPr="00DF5143">
              <w:rPr>
                <w:rFonts w:ascii="Arial" w:hAnsi="Arial" w:cs="Arial"/>
              </w:rPr>
              <w:t>47.</w:t>
            </w:r>
          </w:p>
        </w:tc>
        <w:tc>
          <w:tcPr>
            <w:tcW w:w="5310" w:type="dxa"/>
            <w:tcBorders>
              <w:top w:val="single" w:sz="4" w:space="0" w:color="000000"/>
              <w:left w:val="single" w:sz="4" w:space="0" w:color="000000"/>
              <w:bottom w:val="single" w:sz="4" w:space="0" w:color="000000"/>
              <w:right w:val="single" w:sz="4" w:space="0" w:color="000000"/>
            </w:tcBorders>
            <w:vAlign w:val="center"/>
          </w:tcPr>
          <w:p w14:paraId="1FDED982" w14:textId="77777777" w:rsidR="00590F19" w:rsidRPr="00DF5143" w:rsidRDefault="00590F19" w:rsidP="00D50903">
            <w:pPr>
              <w:pStyle w:val="TableParagraph"/>
              <w:ind w:left="828" w:right="90"/>
              <w:rPr>
                <w:rFonts w:ascii="Arial" w:hAnsi="Arial" w:cs="Arial"/>
              </w:rPr>
            </w:pPr>
            <w:r w:rsidRPr="00DF5143">
              <w:rPr>
                <w:rFonts w:ascii="Arial" w:hAnsi="Arial" w:cs="Arial"/>
              </w:rPr>
              <w:t>$92,000 to $93,999</w:t>
            </w:r>
          </w:p>
        </w:tc>
        <w:tc>
          <w:tcPr>
            <w:tcW w:w="3150" w:type="dxa"/>
            <w:tcBorders>
              <w:top w:val="single" w:sz="4" w:space="0" w:color="000000"/>
              <w:left w:val="single" w:sz="4" w:space="0" w:color="000000"/>
              <w:bottom w:val="single" w:sz="4" w:space="0" w:color="000000"/>
              <w:right w:val="single" w:sz="4" w:space="0" w:color="000000"/>
            </w:tcBorders>
            <w:vAlign w:val="center"/>
          </w:tcPr>
          <w:p w14:paraId="434B02BA" w14:textId="77777777" w:rsidR="00590F19" w:rsidRPr="00DF5143" w:rsidRDefault="00590F19" w:rsidP="00D50903">
            <w:pPr>
              <w:pStyle w:val="TableParagraph"/>
              <w:ind w:left="827"/>
              <w:rPr>
                <w:rFonts w:ascii="Arial" w:hAnsi="Arial" w:cs="Arial"/>
              </w:rPr>
            </w:pPr>
            <w:r w:rsidRPr="00DF5143">
              <w:rPr>
                <w:rFonts w:ascii="Arial" w:hAnsi="Arial" w:cs="Arial"/>
              </w:rPr>
              <w:t>$2,147</w:t>
            </w:r>
          </w:p>
        </w:tc>
      </w:tr>
      <w:tr w:rsidR="00590F19" w:rsidRPr="00E71D7A" w14:paraId="4BAD2CDC" w14:textId="77777777" w:rsidTr="00DF5143">
        <w:trPr>
          <w:trHeight w:val="299"/>
          <w:jc w:val="center"/>
        </w:trPr>
        <w:tc>
          <w:tcPr>
            <w:tcW w:w="895" w:type="dxa"/>
            <w:tcBorders>
              <w:top w:val="single" w:sz="4" w:space="0" w:color="000000"/>
              <w:left w:val="single" w:sz="4" w:space="0" w:color="000000"/>
              <w:bottom w:val="single" w:sz="4" w:space="0" w:color="000000"/>
              <w:right w:val="single" w:sz="4" w:space="0" w:color="000000"/>
            </w:tcBorders>
            <w:vAlign w:val="center"/>
          </w:tcPr>
          <w:p w14:paraId="3B2EF8A0" w14:textId="77777777" w:rsidR="00590F19" w:rsidRPr="00DF5143" w:rsidRDefault="00590F19" w:rsidP="00D50903">
            <w:pPr>
              <w:pStyle w:val="TableParagraph"/>
              <w:ind w:left="110" w:right="132"/>
              <w:jc w:val="center"/>
              <w:rPr>
                <w:rFonts w:ascii="Arial" w:hAnsi="Arial" w:cs="Arial"/>
              </w:rPr>
            </w:pPr>
            <w:r w:rsidRPr="00DF5143">
              <w:rPr>
                <w:rFonts w:ascii="Arial" w:hAnsi="Arial" w:cs="Arial"/>
              </w:rPr>
              <w:t>48.</w:t>
            </w:r>
          </w:p>
        </w:tc>
        <w:tc>
          <w:tcPr>
            <w:tcW w:w="5310" w:type="dxa"/>
            <w:tcBorders>
              <w:top w:val="single" w:sz="4" w:space="0" w:color="000000"/>
              <w:left w:val="single" w:sz="4" w:space="0" w:color="000000"/>
              <w:bottom w:val="single" w:sz="4" w:space="0" w:color="000000"/>
              <w:right w:val="single" w:sz="4" w:space="0" w:color="000000"/>
            </w:tcBorders>
            <w:vAlign w:val="center"/>
          </w:tcPr>
          <w:p w14:paraId="1404DB7C" w14:textId="77777777" w:rsidR="00590F19" w:rsidRPr="00DF5143" w:rsidRDefault="00590F19" w:rsidP="00D50903">
            <w:pPr>
              <w:pStyle w:val="TableParagraph"/>
              <w:ind w:left="828" w:right="90"/>
              <w:rPr>
                <w:rFonts w:ascii="Arial" w:hAnsi="Arial" w:cs="Arial"/>
              </w:rPr>
            </w:pPr>
            <w:r w:rsidRPr="00DF5143">
              <w:rPr>
                <w:rFonts w:ascii="Arial" w:hAnsi="Arial" w:cs="Arial"/>
              </w:rPr>
              <w:t>$94,000 to $95,999</w:t>
            </w:r>
          </w:p>
        </w:tc>
        <w:tc>
          <w:tcPr>
            <w:tcW w:w="3150" w:type="dxa"/>
            <w:tcBorders>
              <w:top w:val="single" w:sz="4" w:space="0" w:color="000000"/>
              <w:left w:val="single" w:sz="4" w:space="0" w:color="000000"/>
              <w:bottom w:val="single" w:sz="4" w:space="0" w:color="000000"/>
              <w:right w:val="single" w:sz="4" w:space="0" w:color="000000"/>
            </w:tcBorders>
            <w:vAlign w:val="center"/>
          </w:tcPr>
          <w:p w14:paraId="1964D0DB" w14:textId="77777777" w:rsidR="00590F19" w:rsidRPr="00DF5143" w:rsidRDefault="00590F19" w:rsidP="00D50903">
            <w:pPr>
              <w:pStyle w:val="TableParagraph"/>
              <w:ind w:left="827"/>
              <w:rPr>
                <w:rFonts w:ascii="Arial" w:hAnsi="Arial" w:cs="Arial"/>
              </w:rPr>
            </w:pPr>
            <w:r w:rsidRPr="00DF5143">
              <w:rPr>
                <w:rFonts w:ascii="Arial" w:hAnsi="Arial" w:cs="Arial"/>
              </w:rPr>
              <w:t>$2,193</w:t>
            </w:r>
          </w:p>
        </w:tc>
      </w:tr>
      <w:tr w:rsidR="00590F19" w:rsidRPr="00E71D7A" w14:paraId="4584A163" w14:textId="77777777" w:rsidTr="00DF5143">
        <w:trPr>
          <w:trHeight w:val="299"/>
          <w:jc w:val="center"/>
        </w:trPr>
        <w:tc>
          <w:tcPr>
            <w:tcW w:w="895" w:type="dxa"/>
            <w:tcBorders>
              <w:top w:val="single" w:sz="4" w:space="0" w:color="000000"/>
              <w:left w:val="single" w:sz="4" w:space="0" w:color="000000"/>
              <w:bottom w:val="single" w:sz="4" w:space="0" w:color="000000"/>
              <w:right w:val="single" w:sz="4" w:space="0" w:color="000000"/>
            </w:tcBorders>
            <w:vAlign w:val="center"/>
          </w:tcPr>
          <w:p w14:paraId="4D9EE2D1" w14:textId="77777777" w:rsidR="00590F19" w:rsidRPr="00DF5143" w:rsidRDefault="00590F19" w:rsidP="00D50903">
            <w:pPr>
              <w:pStyle w:val="TableParagraph"/>
              <w:spacing w:before="36"/>
              <w:ind w:left="110" w:right="132"/>
              <w:jc w:val="center"/>
              <w:rPr>
                <w:rFonts w:ascii="Arial" w:hAnsi="Arial" w:cs="Arial"/>
              </w:rPr>
            </w:pPr>
            <w:r w:rsidRPr="00DF5143">
              <w:rPr>
                <w:rFonts w:ascii="Arial" w:hAnsi="Arial" w:cs="Arial"/>
              </w:rPr>
              <w:t>49.</w:t>
            </w:r>
          </w:p>
        </w:tc>
        <w:tc>
          <w:tcPr>
            <w:tcW w:w="5310" w:type="dxa"/>
            <w:tcBorders>
              <w:top w:val="single" w:sz="4" w:space="0" w:color="000000"/>
              <w:left w:val="single" w:sz="4" w:space="0" w:color="000000"/>
              <w:bottom w:val="single" w:sz="4" w:space="0" w:color="000000"/>
              <w:right w:val="single" w:sz="4" w:space="0" w:color="000000"/>
            </w:tcBorders>
            <w:vAlign w:val="center"/>
          </w:tcPr>
          <w:p w14:paraId="63703F2B" w14:textId="77777777" w:rsidR="00590F19" w:rsidRPr="00DF5143" w:rsidRDefault="00590F19" w:rsidP="00D50903">
            <w:pPr>
              <w:pStyle w:val="TableParagraph"/>
              <w:spacing w:before="36"/>
              <w:ind w:left="828" w:right="90"/>
              <w:rPr>
                <w:rFonts w:ascii="Arial" w:hAnsi="Arial" w:cs="Arial"/>
              </w:rPr>
            </w:pPr>
            <w:r w:rsidRPr="00DF5143">
              <w:rPr>
                <w:rFonts w:ascii="Arial" w:hAnsi="Arial" w:cs="Arial"/>
              </w:rPr>
              <w:t>$96,000 to $97,999</w:t>
            </w:r>
          </w:p>
        </w:tc>
        <w:tc>
          <w:tcPr>
            <w:tcW w:w="3150" w:type="dxa"/>
            <w:tcBorders>
              <w:top w:val="single" w:sz="4" w:space="0" w:color="000000"/>
              <w:left w:val="single" w:sz="4" w:space="0" w:color="000000"/>
              <w:bottom w:val="single" w:sz="4" w:space="0" w:color="000000"/>
              <w:right w:val="single" w:sz="4" w:space="0" w:color="000000"/>
            </w:tcBorders>
            <w:vAlign w:val="center"/>
          </w:tcPr>
          <w:p w14:paraId="64344D41" w14:textId="77777777" w:rsidR="00590F19" w:rsidRPr="00DF5143" w:rsidRDefault="00590F19" w:rsidP="00D50903">
            <w:pPr>
              <w:pStyle w:val="TableParagraph"/>
              <w:spacing w:before="36"/>
              <w:ind w:left="827"/>
              <w:rPr>
                <w:rFonts w:ascii="Arial" w:hAnsi="Arial" w:cs="Arial"/>
              </w:rPr>
            </w:pPr>
            <w:r w:rsidRPr="00DF5143">
              <w:rPr>
                <w:rFonts w:ascii="Arial" w:hAnsi="Arial" w:cs="Arial"/>
              </w:rPr>
              <w:t>$2,240</w:t>
            </w:r>
          </w:p>
        </w:tc>
      </w:tr>
      <w:tr w:rsidR="00590F19" w:rsidRPr="00E71D7A" w14:paraId="3A2B0ACB" w14:textId="77777777" w:rsidTr="00DF5143">
        <w:trPr>
          <w:trHeight w:val="299"/>
          <w:jc w:val="center"/>
        </w:trPr>
        <w:tc>
          <w:tcPr>
            <w:tcW w:w="895" w:type="dxa"/>
            <w:tcBorders>
              <w:top w:val="single" w:sz="4" w:space="0" w:color="000000"/>
              <w:left w:val="single" w:sz="4" w:space="0" w:color="000000"/>
              <w:bottom w:val="single" w:sz="4" w:space="0" w:color="000000"/>
              <w:right w:val="single" w:sz="4" w:space="0" w:color="000000"/>
            </w:tcBorders>
            <w:vAlign w:val="center"/>
          </w:tcPr>
          <w:p w14:paraId="0C302697" w14:textId="77777777" w:rsidR="00590F19" w:rsidRPr="00DF5143" w:rsidRDefault="00590F19" w:rsidP="00D50903">
            <w:pPr>
              <w:pStyle w:val="TableParagraph"/>
              <w:spacing w:before="36"/>
              <w:ind w:left="110" w:right="132"/>
              <w:jc w:val="center"/>
              <w:rPr>
                <w:rFonts w:ascii="Arial" w:hAnsi="Arial" w:cs="Arial"/>
              </w:rPr>
            </w:pPr>
            <w:r w:rsidRPr="00DF5143">
              <w:rPr>
                <w:rFonts w:ascii="Arial" w:hAnsi="Arial" w:cs="Arial"/>
              </w:rPr>
              <w:t>50.</w:t>
            </w:r>
          </w:p>
        </w:tc>
        <w:tc>
          <w:tcPr>
            <w:tcW w:w="5310" w:type="dxa"/>
            <w:tcBorders>
              <w:top w:val="single" w:sz="4" w:space="0" w:color="000000"/>
              <w:left w:val="single" w:sz="4" w:space="0" w:color="000000"/>
              <w:bottom w:val="single" w:sz="4" w:space="0" w:color="000000"/>
              <w:right w:val="single" w:sz="4" w:space="0" w:color="000000"/>
            </w:tcBorders>
            <w:vAlign w:val="center"/>
          </w:tcPr>
          <w:p w14:paraId="2E45173E" w14:textId="77777777" w:rsidR="00590F19" w:rsidRPr="00DF5143" w:rsidRDefault="00590F19" w:rsidP="00D50903">
            <w:pPr>
              <w:pStyle w:val="TableParagraph"/>
              <w:spacing w:before="36"/>
              <w:ind w:left="828" w:right="90"/>
              <w:rPr>
                <w:rFonts w:ascii="Arial" w:hAnsi="Arial" w:cs="Arial"/>
              </w:rPr>
            </w:pPr>
            <w:r w:rsidRPr="00DF5143">
              <w:rPr>
                <w:rFonts w:ascii="Arial" w:hAnsi="Arial" w:cs="Arial"/>
              </w:rPr>
              <w:t>$98,000 to $99,999</w:t>
            </w:r>
          </w:p>
        </w:tc>
        <w:tc>
          <w:tcPr>
            <w:tcW w:w="3150" w:type="dxa"/>
            <w:tcBorders>
              <w:top w:val="single" w:sz="4" w:space="0" w:color="000000"/>
              <w:left w:val="single" w:sz="4" w:space="0" w:color="000000"/>
              <w:bottom w:val="single" w:sz="4" w:space="0" w:color="000000"/>
              <w:right w:val="single" w:sz="4" w:space="0" w:color="000000"/>
            </w:tcBorders>
            <w:vAlign w:val="center"/>
          </w:tcPr>
          <w:p w14:paraId="2B997BB1" w14:textId="77777777" w:rsidR="00590F19" w:rsidRPr="00DF5143" w:rsidRDefault="00590F19" w:rsidP="00D50903">
            <w:pPr>
              <w:pStyle w:val="TableParagraph"/>
              <w:spacing w:before="36"/>
              <w:ind w:left="827"/>
              <w:rPr>
                <w:rFonts w:ascii="Arial" w:hAnsi="Arial" w:cs="Arial"/>
              </w:rPr>
            </w:pPr>
            <w:r w:rsidRPr="00DF5143">
              <w:rPr>
                <w:rFonts w:ascii="Arial" w:hAnsi="Arial" w:cs="Arial"/>
              </w:rPr>
              <w:t>$2,287</w:t>
            </w:r>
          </w:p>
        </w:tc>
      </w:tr>
      <w:tr w:rsidR="00590F19" w:rsidRPr="00E71D7A" w14:paraId="46A25BB0" w14:textId="77777777" w:rsidTr="00DF5143">
        <w:trPr>
          <w:trHeight w:val="299"/>
          <w:jc w:val="center"/>
        </w:trPr>
        <w:tc>
          <w:tcPr>
            <w:tcW w:w="895" w:type="dxa"/>
            <w:tcBorders>
              <w:top w:val="single" w:sz="4" w:space="0" w:color="000000"/>
              <w:left w:val="single" w:sz="4" w:space="0" w:color="000000"/>
              <w:bottom w:val="single" w:sz="4" w:space="0" w:color="000000"/>
              <w:right w:val="single" w:sz="4" w:space="0" w:color="000000"/>
            </w:tcBorders>
            <w:vAlign w:val="center"/>
          </w:tcPr>
          <w:p w14:paraId="2049F141" w14:textId="77777777" w:rsidR="00590F19" w:rsidRPr="00DF5143" w:rsidRDefault="00590F19" w:rsidP="00D50903">
            <w:pPr>
              <w:pStyle w:val="TableParagraph"/>
              <w:ind w:left="110" w:right="132"/>
              <w:jc w:val="center"/>
              <w:rPr>
                <w:rFonts w:ascii="Arial" w:hAnsi="Arial" w:cs="Arial"/>
              </w:rPr>
            </w:pPr>
            <w:r w:rsidRPr="00DF5143">
              <w:rPr>
                <w:rFonts w:ascii="Arial" w:hAnsi="Arial" w:cs="Arial"/>
              </w:rPr>
              <w:t>51.</w:t>
            </w:r>
          </w:p>
        </w:tc>
        <w:tc>
          <w:tcPr>
            <w:tcW w:w="5310" w:type="dxa"/>
            <w:tcBorders>
              <w:top w:val="single" w:sz="4" w:space="0" w:color="000000"/>
              <w:left w:val="single" w:sz="4" w:space="0" w:color="000000"/>
              <w:bottom w:val="single" w:sz="4" w:space="0" w:color="000000"/>
              <w:right w:val="single" w:sz="4" w:space="0" w:color="000000"/>
            </w:tcBorders>
            <w:vAlign w:val="center"/>
          </w:tcPr>
          <w:p w14:paraId="4FB9067B" w14:textId="77777777" w:rsidR="00590F19" w:rsidRPr="00DF5143" w:rsidRDefault="00590F19" w:rsidP="00D50903">
            <w:pPr>
              <w:pStyle w:val="TableParagraph"/>
              <w:ind w:left="828" w:right="90"/>
              <w:rPr>
                <w:rFonts w:ascii="Arial" w:hAnsi="Arial" w:cs="Arial"/>
              </w:rPr>
            </w:pPr>
            <w:r w:rsidRPr="00DF5143">
              <w:rPr>
                <w:rFonts w:ascii="Arial" w:hAnsi="Arial" w:cs="Arial"/>
              </w:rPr>
              <w:t>$100,000 to $101,999</w:t>
            </w:r>
          </w:p>
        </w:tc>
        <w:tc>
          <w:tcPr>
            <w:tcW w:w="3150" w:type="dxa"/>
            <w:tcBorders>
              <w:top w:val="single" w:sz="4" w:space="0" w:color="000000"/>
              <w:left w:val="single" w:sz="4" w:space="0" w:color="000000"/>
              <w:bottom w:val="single" w:sz="4" w:space="0" w:color="000000"/>
              <w:right w:val="single" w:sz="4" w:space="0" w:color="000000"/>
            </w:tcBorders>
            <w:vAlign w:val="center"/>
          </w:tcPr>
          <w:p w14:paraId="083A7B8C" w14:textId="77777777" w:rsidR="00590F19" w:rsidRPr="00DF5143" w:rsidRDefault="00590F19" w:rsidP="00D50903">
            <w:pPr>
              <w:pStyle w:val="TableParagraph"/>
              <w:ind w:left="827"/>
              <w:rPr>
                <w:rFonts w:ascii="Arial" w:hAnsi="Arial" w:cs="Arial"/>
              </w:rPr>
            </w:pPr>
            <w:r w:rsidRPr="00DF5143">
              <w:rPr>
                <w:rFonts w:ascii="Arial" w:hAnsi="Arial" w:cs="Arial"/>
              </w:rPr>
              <w:t>$2,333</w:t>
            </w:r>
          </w:p>
        </w:tc>
      </w:tr>
      <w:tr w:rsidR="00590F19" w:rsidRPr="00E71D7A" w14:paraId="725D99CA" w14:textId="77777777" w:rsidTr="00DF5143">
        <w:trPr>
          <w:trHeight w:val="299"/>
          <w:jc w:val="center"/>
        </w:trPr>
        <w:tc>
          <w:tcPr>
            <w:tcW w:w="895" w:type="dxa"/>
            <w:tcBorders>
              <w:top w:val="single" w:sz="4" w:space="0" w:color="000000"/>
              <w:left w:val="single" w:sz="4" w:space="0" w:color="000000"/>
              <w:bottom w:val="single" w:sz="4" w:space="0" w:color="000000"/>
              <w:right w:val="single" w:sz="4" w:space="0" w:color="000000"/>
            </w:tcBorders>
            <w:vAlign w:val="center"/>
          </w:tcPr>
          <w:p w14:paraId="5DA440C2" w14:textId="77777777" w:rsidR="00590F19" w:rsidRPr="00DF5143" w:rsidRDefault="00590F19" w:rsidP="00D50903">
            <w:pPr>
              <w:pStyle w:val="TableParagraph"/>
              <w:ind w:left="110" w:right="132"/>
              <w:jc w:val="center"/>
              <w:rPr>
                <w:rFonts w:ascii="Arial" w:hAnsi="Arial" w:cs="Arial"/>
              </w:rPr>
            </w:pPr>
            <w:r w:rsidRPr="00DF5143">
              <w:rPr>
                <w:rFonts w:ascii="Arial" w:hAnsi="Arial" w:cs="Arial"/>
              </w:rPr>
              <w:t>52.</w:t>
            </w:r>
          </w:p>
        </w:tc>
        <w:tc>
          <w:tcPr>
            <w:tcW w:w="5310" w:type="dxa"/>
            <w:tcBorders>
              <w:top w:val="single" w:sz="4" w:space="0" w:color="000000"/>
              <w:left w:val="single" w:sz="4" w:space="0" w:color="000000"/>
              <w:bottom w:val="single" w:sz="4" w:space="0" w:color="000000"/>
              <w:right w:val="single" w:sz="4" w:space="0" w:color="000000"/>
            </w:tcBorders>
            <w:vAlign w:val="center"/>
          </w:tcPr>
          <w:p w14:paraId="015539CF" w14:textId="77777777" w:rsidR="00590F19" w:rsidRPr="00DF5143" w:rsidRDefault="00590F19" w:rsidP="00D50903">
            <w:pPr>
              <w:pStyle w:val="TableParagraph"/>
              <w:ind w:left="828" w:right="90"/>
              <w:rPr>
                <w:rFonts w:ascii="Arial" w:hAnsi="Arial" w:cs="Arial"/>
              </w:rPr>
            </w:pPr>
            <w:r w:rsidRPr="00DF5143">
              <w:rPr>
                <w:rFonts w:ascii="Arial" w:hAnsi="Arial" w:cs="Arial"/>
              </w:rPr>
              <w:t>$102,000 to $103,999</w:t>
            </w:r>
          </w:p>
        </w:tc>
        <w:tc>
          <w:tcPr>
            <w:tcW w:w="3150" w:type="dxa"/>
            <w:tcBorders>
              <w:top w:val="single" w:sz="4" w:space="0" w:color="000000"/>
              <w:left w:val="single" w:sz="4" w:space="0" w:color="000000"/>
              <w:bottom w:val="single" w:sz="4" w:space="0" w:color="000000"/>
              <w:right w:val="single" w:sz="4" w:space="0" w:color="000000"/>
            </w:tcBorders>
            <w:vAlign w:val="center"/>
          </w:tcPr>
          <w:p w14:paraId="3D9759D2" w14:textId="77777777" w:rsidR="00590F19" w:rsidRPr="00DF5143" w:rsidRDefault="00590F19" w:rsidP="00D50903">
            <w:pPr>
              <w:pStyle w:val="TableParagraph"/>
              <w:ind w:left="827"/>
              <w:rPr>
                <w:rFonts w:ascii="Arial" w:hAnsi="Arial" w:cs="Arial"/>
              </w:rPr>
            </w:pPr>
            <w:r w:rsidRPr="00DF5143">
              <w:rPr>
                <w:rFonts w:ascii="Arial" w:hAnsi="Arial" w:cs="Arial"/>
              </w:rPr>
              <w:t>$2,380</w:t>
            </w:r>
          </w:p>
        </w:tc>
      </w:tr>
      <w:tr w:rsidR="00590F19" w:rsidRPr="00E71D7A" w14:paraId="04B4A0E0" w14:textId="77777777" w:rsidTr="00DF5143">
        <w:trPr>
          <w:trHeight w:val="299"/>
          <w:jc w:val="center"/>
        </w:trPr>
        <w:tc>
          <w:tcPr>
            <w:tcW w:w="895" w:type="dxa"/>
            <w:tcBorders>
              <w:top w:val="single" w:sz="4" w:space="0" w:color="000000"/>
              <w:left w:val="single" w:sz="4" w:space="0" w:color="000000"/>
              <w:bottom w:val="single" w:sz="4" w:space="0" w:color="000000"/>
              <w:right w:val="single" w:sz="4" w:space="0" w:color="000000"/>
            </w:tcBorders>
            <w:vAlign w:val="center"/>
          </w:tcPr>
          <w:p w14:paraId="0BE1D126" w14:textId="77777777" w:rsidR="00590F19" w:rsidRPr="00DF5143" w:rsidRDefault="00590F19" w:rsidP="00D50903">
            <w:pPr>
              <w:pStyle w:val="TableParagraph"/>
              <w:spacing w:before="36"/>
              <w:ind w:left="110" w:right="132"/>
              <w:jc w:val="center"/>
              <w:rPr>
                <w:rFonts w:ascii="Arial" w:hAnsi="Arial" w:cs="Arial"/>
              </w:rPr>
            </w:pPr>
            <w:r w:rsidRPr="00DF5143">
              <w:rPr>
                <w:rFonts w:ascii="Arial" w:hAnsi="Arial" w:cs="Arial"/>
              </w:rPr>
              <w:t>53.</w:t>
            </w:r>
          </w:p>
        </w:tc>
        <w:tc>
          <w:tcPr>
            <w:tcW w:w="5310" w:type="dxa"/>
            <w:tcBorders>
              <w:top w:val="single" w:sz="4" w:space="0" w:color="000000"/>
              <w:left w:val="single" w:sz="4" w:space="0" w:color="000000"/>
              <w:bottom w:val="single" w:sz="4" w:space="0" w:color="000000"/>
              <w:right w:val="single" w:sz="4" w:space="0" w:color="000000"/>
            </w:tcBorders>
            <w:vAlign w:val="center"/>
          </w:tcPr>
          <w:p w14:paraId="71214E88" w14:textId="77777777" w:rsidR="00590F19" w:rsidRPr="00DF5143" w:rsidRDefault="00590F19" w:rsidP="00D50903">
            <w:pPr>
              <w:pStyle w:val="TableParagraph"/>
              <w:spacing w:before="36"/>
              <w:ind w:left="828" w:right="90"/>
              <w:rPr>
                <w:rFonts w:ascii="Arial" w:hAnsi="Arial" w:cs="Arial"/>
              </w:rPr>
            </w:pPr>
            <w:r w:rsidRPr="00DF5143">
              <w:rPr>
                <w:rFonts w:ascii="Arial" w:hAnsi="Arial" w:cs="Arial"/>
              </w:rPr>
              <w:t>$104,000 to $105,999</w:t>
            </w:r>
          </w:p>
        </w:tc>
        <w:tc>
          <w:tcPr>
            <w:tcW w:w="3150" w:type="dxa"/>
            <w:tcBorders>
              <w:top w:val="single" w:sz="4" w:space="0" w:color="000000"/>
              <w:left w:val="single" w:sz="4" w:space="0" w:color="000000"/>
              <w:bottom w:val="single" w:sz="4" w:space="0" w:color="000000"/>
              <w:right w:val="single" w:sz="4" w:space="0" w:color="000000"/>
            </w:tcBorders>
            <w:vAlign w:val="center"/>
          </w:tcPr>
          <w:p w14:paraId="25CEAC4C" w14:textId="77777777" w:rsidR="00590F19" w:rsidRPr="00DF5143" w:rsidRDefault="00590F19" w:rsidP="00D50903">
            <w:pPr>
              <w:pStyle w:val="TableParagraph"/>
              <w:spacing w:before="36"/>
              <w:ind w:left="827"/>
              <w:rPr>
                <w:rFonts w:ascii="Arial" w:hAnsi="Arial" w:cs="Arial"/>
              </w:rPr>
            </w:pPr>
            <w:r w:rsidRPr="00DF5143">
              <w:rPr>
                <w:rFonts w:ascii="Arial" w:hAnsi="Arial" w:cs="Arial"/>
              </w:rPr>
              <w:t>$2,427</w:t>
            </w:r>
          </w:p>
        </w:tc>
      </w:tr>
      <w:tr w:rsidR="00590F19" w:rsidRPr="00E71D7A" w14:paraId="6049098D" w14:textId="77777777" w:rsidTr="00DF5143">
        <w:trPr>
          <w:trHeight w:val="299"/>
          <w:jc w:val="center"/>
        </w:trPr>
        <w:tc>
          <w:tcPr>
            <w:tcW w:w="895" w:type="dxa"/>
            <w:tcBorders>
              <w:top w:val="single" w:sz="4" w:space="0" w:color="000000"/>
              <w:left w:val="single" w:sz="4" w:space="0" w:color="000000"/>
              <w:bottom w:val="single" w:sz="4" w:space="0" w:color="000000"/>
              <w:right w:val="single" w:sz="4" w:space="0" w:color="000000"/>
            </w:tcBorders>
            <w:vAlign w:val="center"/>
          </w:tcPr>
          <w:p w14:paraId="208C6CDF" w14:textId="77777777" w:rsidR="00590F19" w:rsidRPr="00DF5143" w:rsidRDefault="00590F19" w:rsidP="00D50903">
            <w:pPr>
              <w:pStyle w:val="TableParagraph"/>
              <w:spacing w:before="36"/>
              <w:ind w:left="110" w:right="132"/>
              <w:jc w:val="center"/>
              <w:rPr>
                <w:rFonts w:ascii="Arial" w:hAnsi="Arial" w:cs="Arial"/>
              </w:rPr>
            </w:pPr>
            <w:r w:rsidRPr="00DF5143">
              <w:rPr>
                <w:rFonts w:ascii="Arial" w:hAnsi="Arial" w:cs="Arial"/>
              </w:rPr>
              <w:t>54.</w:t>
            </w:r>
          </w:p>
        </w:tc>
        <w:tc>
          <w:tcPr>
            <w:tcW w:w="5310" w:type="dxa"/>
            <w:tcBorders>
              <w:top w:val="single" w:sz="4" w:space="0" w:color="000000"/>
              <w:left w:val="single" w:sz="4" w:space="0" w:color="000000"/>
              <w:bottom w:val="single" w:sz="4" w:space="0" w:color="000000"/>
              <w:right w:val="single" w:sz="4" w:space="0" w:color="000000"/>
            </w:tcBorders>
            <w:vAlign w:val="center"/>
          </w:tcPr>
          <w:p w14:paraId="46396307" w14:textId="77777777" w:rsidR="00590F19" w:rsidRPr="00DF5143" w:rsidRDefault="00590F19" w:rsidP="00D50903">
            <w:pPr>
              <w:pStyle w:val="TableParagraph"/>
              <w:spacing w:before="36"/>
              <w:ind w:left="828" w:right="90"/>
              <w:rPr>
                <w:rFonts w:ascii="Arial" w:hAnsi="Arial" w:cs="Arial"/>
              </w:rPr>
            </w:pPr>
            <w:r w:rsidRPr="00DF5143">
              <w:rPr>
                <w:rFonts w:ascii="Arial" w:hAnsi="Arial" w:cs="Arial"/>
              </w:rPr>
              <w:t>$106,000 to $107,999</w:t>
            </w:r>
          </w:p>
        </w:tc>
        <w:tc>
          <w:tcPr>
            <w:tcW w:w="3150" w:type="dxa"/>
            <w:tcBorders>
              <w:top w:val="single" w:sz="4" w:space="0" w:color="000000"/>
              <w:left w:val="single" w:sz="4" w:space="0" w:color="000000"/>
              <w:bottom w:val="single" w:sz="4" w:space="0" w:color="000000"/>
              <w:right w:val="single" w:sz="4" w:space="0" w:color="000000"/>
            </w:tcBorders>
            <w:vAlign w:val="center"/>
          </w:tcPr>
          <w:p w14:paraId="2298F057" w14:textId="77777777" w:rsidR="00590F19" w:rsidRPr="00DF5143" w:rsidRDefault="00590F19" w:rsidP="00D50903">
            <w:pPr>
              <w:pStyle w:val="TableParagraph"/>
              <w:spacing w:before="36"/>
              <w:ind w:left="827"/>
              <w:rPr>
                <w:rFonts w:ascii="Arial" w:hAnsi="Arial" w:cs="Arial"/>
              </w:rPr>
            </w:pPr>
            <w:r w:rsidRPr="00DF5143">
              <w:rPr>
                <w:rFonts w:ascii="Arial" w:hAnsi="Arial" w:cs="Arial"/>
              </w:rPr>
              <w:t>$2,473</w:t>
            </w:r>
          </w:p>
        </w:tc>
      </w:tr>
      <w:tr w:rsidR="00590F19" w:rsidRPr="00E71D7A" w14:paraId="0F23DFEF" w14:textId="77777777" w:rsidTr="00DF5143">
        <w:trPr>
          <w:trHeight w:val="299"/>
          <w:jc w:val="center"/>
        </w:trPr>
        <w:tc>
          <w:tcPr>
            <w:tcW w:w="895" w:type="dxa"/>
            <w:tcBorders>
              <w:top w:val="single" w:sz="4" w:space="0" w:color="000000"/>
              <w:left w:val="single" w:sz="4" w:space="0" w:color="000000"/>
              <w:bottom w:val="single" w:sz="4" w:space="0" w:color="000000"/>
              <w:right w:val="single" w:sz="4" w:space="0" w:color="000000"/>
            </w:tcBorders>
            <w:vAlign w:val="center"/>
          </w:tcPr>
          <w:p w14:paraId="6D005F28" w14:textId="77777777" w:rsidR="00590F19" w:rsidRPr="00DF5143" w:rsidRDefault="00590F19" w:rsidP="00D50903">
            <w:pPr>
              <w:pStyle w:val="TableParagraph"/>
              <w:spacing w:before="36"/>
              <w:ind w:left="110" w:right="132"/>
              <w:jc w:val="center"/>
              <w:rPr>
                <w:rFonts w:ascii="Arial" w:hAnsi="Arial" w:cs="Arial"/>
              </w:rPr>
            </w:pPr>
            <w:r w:rsidRPr="00DF5143">
              <w:rPr>
                <w:rFonts w:ascii="Arial" w:hAnsi="Arial" w:cs="Arial"/>
              </w:rPr>
              <w:t>55.</w:t>
            </w:r>
          </w:p>
        </w:tc>
        <w:tc>
          <w:tcPr>
            <w:tcW w:w="5310" w:type="dxa"/>
            <w:tcBorders>
              <w:top w:val="single" w:sz="4" w:space="0" w:color="000000"/>
              <w:left w:val="single" w:sz="4" w:space="0" w:color="000000"/>
              <w:bottom w:val="single" w:sz="4" w:space="0" w:color="000000"/>
              <w:right w:val="single" w:sz="4" w:space="0" w:color="000000"/>
            </w:tcBorders>
            <w:vAlign w:val="center"/>
          </w:tcPr>
          <w:p w14:paraId="424F61D0" w14:textId="77777777" w:rsidR="00590F19" w:rsidRPr="00DF5143" w:rsidRDefault="00590F19" w:rsidP="00D50903">
            <w:pPr>
              <w:pStyle w:val="TableParagraph"/>
              <w:spacing w:before="36"/>
              <w:ind w:left="828" w:right="90"/>
              <w:rPr>
                <w:rFonts w:ascii="Arial" w:hAnsi="Arial" w:cs="Arial"/>
              </w:rPr>
            </w:pPr>
            <w:r w:rsidRPr="00DF5143">
              <w:rPr>
                <w:rFonts w:ascii="Arial" w:hAnsi="Arial" w:cs="Arial"/>
              </w:rPr>
              <w:t>$108,000 to $109,999</w:t>
            </w:r>
          </w:p>
        </w:tc>
        <w:tc>
          <w:tcPr>
            <w:tcW w:w="3150" w:type="dxa"/>
            <w:tcBorders>
              <w:top w:val="single" w:sz="4" w:space="0" w:color="000000"/>
              <w:left w:val="single" w:sz="4" w:space="0" w:color="000000"/>
              <w:bottom w:val="single" w:sz="4" w:space="0" w:color="000000"/>
              <w:right w:val="single" w:sz="4" w:space="0" w:color="000000"/>
            </w:tcBorders>
            <w:vAlign w:val="center"/>
          </w:tcPr>
          <w:p w14:paraId="7A685222" w14:textId="77777777" w:rsidR="00590F19" w:rsidRPr="00DF5143" w:rsidRDefault="00590F19" w:rsidP="00D50903">
            <w:pPr>
              <w:pStyle w:val="TableParagraph"/>
              <w:spacing w:before="36"/>
              <w:ind w:left="827"/>
              <w:rPr>
                <w:rFonts w:ascii="Arial" w:hAnsi="Arial" w:cs="Arial"/>
              </w:rPr>
            </w:pPr>
            <w:r w:rsidRPr="00DF5143">
              <w:rPr>
                <w:rFonts w:ascii="Arial" w:hAnsi="Arial" w:cs="Arial"/>
              </w:rPr>
              <w:t>$2,520</w:t>
            </w:r>
          </w:p>
        </w:tc>
      </w:tr>
      <w:tr w:rsidR="00590F19" w:rsidRPr="00E71D7A" w14:paraId="6D8FB487" w14:textId="77777777" w:rsidTr="00DF5143">
        <w:trPr>
          <w:trHeight w:val="299"/>
          <w:jc w:val="center"/>
        </w:trPr>
        <w:tc>
          <w:tcPr>
            <w:tcW w:w="895" w:type="dxa"/>
            <w:tcBorders>
              <w:top w:val="single" w:sz="4" w:space="0" w:color="000000"/>
              <w:left w:val="single" w:sz="4" w:space="0" w:color="000000"/>
              <w:bottom w:val="single" w:sz="4" w:space="0" w:color="000000"/>
              <w:right w:val="single" w:sz="4" w:space="0" w:color="000000"/>
            </w:tcBorders>
            <w:vAlign w:val="center"/>
          </w:tcPr>
          <w:p w14:paraId="6E5297C8" w14:textId="77777777" w:rsidR="00590F19" w:rsidRPr="00DF5143" w:rsidRDefault="00590F19" w:rsidP="00D50903">
            <w:pPr>
              <w:pStyle w:val="TableParagraph"/>
              <w:ind w:left="110" w:right="132"/>
              <w:jc w:val="center"/>
              <w:rPr>
                <w:rFonts w:ascii="Arial" w:hAnsi="Arial" w:cs="Arial"/>
              </w:rPr>
            </w:pPr>
            <w:r w:rsidRPr="00DF5143">
              <w:rPr>
                <w:rFonts w:ascii="Arial" w:hAnsi="Arial" w:cs="Arial"/>
              </w:rPr>
              <w:t>56.</w:t>
            </w:r>
          </w:p>
        </w:tc>
        <w:tc>
          <w:tcPr>
            <w:tcW w:w="5310" w:type="dxa"/>
            <w:tcBorders>
              <w:top w:val="single" w:sz="4" w:space="0" w:color="000000"/>
              <w:left w:val="single" w:sz="4" w:space="0" w:color="000000"/>
              <w:bottom w:val="single" w:sz="4" w:space="0" w:color="000000"/>
              <w:right w:val="single" w:sz="4" w:space="0" w:color="000000"/>
            </w:tcBorders>
            <w:vAlign w:val="center"/>
          </w:tcPr>
          <w:p w14:paraId="7195CA31" w14:textId="77777777" w:rsidR="00590F19" w:rsidRPr="00DF5143" w:rsidRDefault="00590F19" w:rsidP="00D50903">
            <w:pPr>
              <w:pStyle w:val="TableParagraph"/>
              <w:ind w:left="828" w:right="90"/>
              <w:rPr>
                <w:rFonts w:ascii="Arial" w:hAnsi="Arial" w:cs="Arial"/>
              </w:rPr>
            </w:pPr>
            <w:r w:rsidRPr="00DF5143">
              <w:rPr>
                <w:rFonts w:ascii="Arial" w:hAnsi="Arial" w:cs="Arial"/>
              </w:rPr>
              <w:t>$110,000 to $111,999</w:t>
            </w:r>
          </w:p>
        </w:tc>
        <w:tc>
          <w:tcPr>
            <w:tcW w:w="3150" w:type="dxa"/>
            <w:tcBorders>
              <w:top w:val="single" w:sz="4" w:space="0" w:color="000000"/>
              <w:left w:val="single" w:sz="4" w:space="0" w:color="000000"/>
              <w:bottom w:val="single" w:sz="4" w:space="0" w:color="000000"/>
              <w:right w:val="single" w:sz="4" w:space="0" w:color="000000"/>
            </w:tcBorders>
            <w:vAlign w:val="center"/>
          </w:tcPr>
          <w:p w14:paraId="1A7AA16E" w14:textId="77777777" w:rsidR="00590F19" w:rsidRPr="00DF5143" w:rsidRDefault="00590F19" w:rsidP="00D50903">
            <w:pPr>
              <w:pStyle w:val="TableParagraph"/>
              <w:ind w:left="827"/>
              <w:rPr>
                <w:rFonts w:ascii="Arial" w:hAnsi="Arial" w:cs="Arial"/>
              </w:rPr>
            </w:pPr>
            <w:r w:rsidRPr="00DF5143">
              <w:rPr>
                <w:rFonts w:ascii="Arial" w:hAnsi="Arial" w:cs="Arial"/>
              </w:rPr>
              <w:t>$2,567</w:t>
            </w:r>
          </w:p>
        </w:tc>
      </w:tr>
      <w:tr w:rsidR="00590F19" w:rsidRPr="00E71D7A" w14:paraId="4F68D5C4" w14:textId="77777777" w:rsidTr="00DF5143">
        <w:trPr>
          <w:trHeight w:val="299"/>
          <w:jc w:val="center"/>
        </w:trPr>
        <w:tc>
          <w:tcPr>
            <w:tcW w:w="895" w:type="dxa"/>
            <w:tcBorders>
              <w:top w:val="single" w:sz="4" w:space="0" w:color="000000"/>
              <w:left w:val="single" w:sz="4" w:space="0" w:color="000000"/>
              <w:bottom w:val="single" w:sz="4" w:space="0" w:color="000000"/>
              <w:right w:val="single" w:sz="4" w:space="0" w:color="000000"/>
            </w:tcBorders>
            <w:vAlign w:val="center"/>
          </w:tcPr>
          <w:p w14:paraId="3D0D8865" w14:textId="77777777" w:rsidR="00590F19" w:rsidRPr="00DF5143" w:rsidRDefault="00590F19" w:rsidP="00D50903">
            <w:pPr>
              <w:pStyle w:val="TableParagraph"/>
              <w:ind w:left="110" w:right="132"/>
              <w:jc w:val="center"/>
              <w:rPr>
                <w:rFonts w:ascii="Arial" w:hAnsi="Arial" w:cs="Arial"/>
              </w:rPr>
            </w:pPr>
            <w:r w:rsidRPr="00DF5143">
              <w:rPr>
                <w:rFonts w:ascii="Arial" w:hAnsi="Arial" w:cs="Arial"/>
              </w:rPr>
              <w:t>57.</w:t>
            </w:r>
          </w:p>
        </w:tc>
        <w:tc>
          <w:tcPr>
            <w:tcW w:w="5310" w:type="dxa"/>
            <w:tcBorders>
              <w:top w:val="single" w:sz="4" w:space="0" w:color="000000"/>
              <w:left w:val="single" w:sz="4" w:space="0" w:color="000000"/>
              <w:bottom w:val="single" w:sz="4" w:space="0" w:color="000000"/>
              <w:right w:val="single" w:sz="4" w:space="0" w:color="000000"/>
            </w:tcBorders>
            <w:vAlign w:val="center"/>
          </w:tcPr>
          <w:p w14:paraId="4B364D27" w14:textId="77777777" w:rsidR="00590F19" w:rsidRPr="00DF5143" w:rsidRDefault="00590F19" w:rsidP="00D50903">
            <w:pPr>
              <w:pStyle w:val="TableParagraph"/>
              <w:ind w:left="828" w:right="90"/>
              <w:rPr>
                <w:rFonts w:ascii="Arial" w:hAnsi="Arial" w:cs="Arial"/>
              </w:rPr>
            </w:pPr>
            <w:r w:rsidRPr="00DF5143">
              <w:rPr>
                <w:rFonts w:ascii="Arial" w:hAnsi="Arial" w:cs="Arial"/>
              </w:rPr>
              <w:t>$112,000 to $113,999</w:t>
            </w:r>
          </w:p>
        </w:tc>
        <w:tc>
          <w:tcPr>
            <w:tcW w:w="3150" w:type="dxa"/>
            <w:tcBorders>
              <w:top w:val="single" w:sz="4" w:space="0" w:color="000000"/>
              <w:left w:val="single" w:sz="4" w:space="0" w:color="000000"/>
              <w:bottom w:val="single" w:sz="4" w:space="0" w:color="000000"/>
              <w:right w:val="single" w:sz="4" w:space="0" w:color="000000"/>
            </w:tcBorders>
            <w:vAlign w:val="center"/>
          </w:tcPr>
          <w:p w14:paraId="7D3AAF6D" w14:textId="77777777" w:rsidR="00590F19" w:rsidRPr="00DF5143" w:rsidRDefault="00590F19" w:rsidP="00D50903">
            <w:pPr>
              <w:pStyle w:val="TableParagraph"/>
              <w:ind w:left="827"/>
              <w:rPr>
                <w:rFonts w:ascii="Arial" w:hAnsi="Arial" w:cs="Arial"/>
              </w:rPr>
            </w:pPr>
            <w:r w:rsidRPr="00DF5143">
              <w:rPr>
                <w:rFonts w:ascii="Arial" w:hAnsi="Arial" w:cs="Arial"/>
              </w:rPr>
              <w:t>$2,613</w:t>
            </w:r>
          </w:p>
        </w:tc>
      </w:tr>
      <w:tr w:rsidR="00590F19" w:rsidRPr="00E71D7A" w14:paraId="527B799D" w14:textId="77777777" w:rsidTr="00DF5143">
        <w:trPr>
          <w:trHeight w:val="299"/>
          <w:jc w:val="center"/>
        </w:trPr>
        <w:tc>
          <w:tcPr>
            <w:tcW w:w="895" w:type="dxa"/>
            <w:tcBorders>
              <w:top w:val="single" w:sz="4" w:space="0" w:color="000000"/>
              <w:left w:val="single" w:sz="4" w:space="0" w:color="000000"/>
              <w:bottom w:val="single" w:sz="4" w:space="0" w:color="000000"/>
              <w:right w:val="single" w:sz="4" w:space="0" w:color="000000"/>
            </w:tcBorders>
            <w:vAlign w:val="center"/>
          </w:tcPr>
          <w:p w14:paraId="03DDB312" w14:textId="77777777" w:rsidR="00590F19" w:rsidRPr="00DF5143" w:rsidRDefault="00590F19" w:rsidP="00D50903">
            <w:pPr>
              <w:pStyle w:val="TableParagraph"/>
              <w:ind w:left="110" w:right="132"/>
              <w:jc w:val="center"/>
              <w:rPr>
                <w:rFonts w:ascii="Arial" w:hAnsi="Arial" w:cs="Arial"/>
              </w:rPr>
            </w:pPr>
            <w:r w:rsidRPr="00DF5143">
              <w:rPr>
                <w:rFonts w:ascii="Arial" w:hAnsi="Arial" w:cs="Arial"/>
              </w:rPr>
              <w:t>58.</w:t>
            </w:r>
          </w:p>
        </w:tc>
        <w:tc>
          <w:tcPr>
            <w:tcW w:w="5310" w:type="dxa"/>
            <w:tcBorders>
              <w:top w:val="single" w:sz="4" w:space="0" w:color="000000"/>
              <w:left w:val="single" w:sz="4" w:space="0" w:color="000000"/>
              <w:bottom w:val="single" w:sz="4" w:space="0" w:color="000000"/>
              <w:right w:val="single" w:sz="4" w:space="0" w:color="000000"/>
            </w:tcBorders>
            <w:vAlign w:val="center"/>
          </w:tcPr>
          <w:p w14:paraId="6B2B7E79" w14:textId="77777777" w:rsidR="00590F19" w:rsidRPr="00DF5143" w:rsidRDefault="00590F19" w:rsidP="00D50903">
            <w:pPr>
              <w:pStyle w:val="TableParagraph"/>
              <w:ind w:left="828" w:right="90"/>
              <w:rPr>
                <w:rFonts w:ascii="Arial" w:hAnsi="Arial" w:cs="Arial"/>
              </w:rPr>
            </w:pPr>
            <w:r w:rsidRPr="00DF5143">
              <w:rPr>
                <w:rFonts w:ascii="Arial" w:hAnsi="Arial" w:cs="Arial"/>
              </w:rPr>
              <w:t>$114,000 to $115,999</w:t>
            </w:r>
          </w:p>
        </w:tc>
        <w:tc>
          <w:tcPr>
            <w:tcW w:w="3150" w:type="dxa"/>
            <w:tcBorders>
              <w:top w:val="single" w:sz="4" w:space="0" w:color="000000"/>
              <w:left w:val="single" w:sz="4" w:space="0" w:color="000000"/>
              <w:bottom w:val="single" w:sz="4" w:space="0" w:color="000000"/>
              <w:right w:val="single" w:sz="4" w:space="0" w:color="000000"/>
            </w:tcBorders>
            <w:vAlign w:val="center"/>
          </w:tcPr>
          <w:p w14:paraId="7E9FC5FD" w14:textId="77777777" w:rsidR="00590F19" w:rsidRPr="00DF5143" w:rsidRDefault="00590F19" w:rsidP="00D50903">
            <w:pPr>
              <w:pStyle w:val="TableParagraph"/>
              <w:ind w:left="827"/>
              <w:rPr>
                <w:rFonts w:ascii="Arial" w:hAnsi="Arial" w:cs="Arial"/>
              </w:rPr>
            </w:pPr>
            <w:r w:rsidRPr="00DF5143">
              <w:rPr>
                <w:rFonts w:ascii="Arial" w:hAnsi="Arial" w:cs="Arial"/>
              </w:rPr>
              <w:t>$2,660</w:t>
            </w:r>
          </w:p>
        </w:tc>
      </w:tr>
    </w:tbl>
    <w:p w14:paraId="65F55BDE" w14:textId="77777777" w:rsidR="00590F19" w:rsidRDefault="00590F19" w:rsidP="00590F19"/>
    <w:p w14:paraId="10D239B4" w14:textId="77777777" w:rsidR="003543E0" w:rsidRDefault="003543E0" w:rsidP="003543E0"/>
    <w:p w14:paraId="6BFC7100" w14:textId="77777777" w:rsidR="003543E0" w:rsidRDefault="003543E0" w:rsidP="00C75DCD">
      <w:pPr>
        <w:pStyle w:val="BodyText"/>
        <w:spacing w:before="120" w:after="120" w:line="259" w:lineRule="auto"/>
        <w:jc w:val="both"/>
        <w:sectPr w:rsidR="003543E0" w:rsidSect="00EE2233">
          <w:pgSz w:w="12240" w:h="15840"/>
          <w:pgMar w:top="1440" w:right="1440" w:bottom="1440" w:left="1440" w:header="720" w:footer="720" w:gutter="0"/>
          <w:cols w:space="720"/>
          <w:docGrid w:linePitch="360"/>
        </w:sectPr>
      </w:pPr>
    </w:p>
    <w:p w14:paraId="4E87F932" w14:textId="1D6EDCF9" w:rsidR="003543E0" w:rsidRDefault="003543E0" w:rsidP="003543E0">
      <w:pPr>
        <w:pStyle w:val="Heading1"/>
        <w:numPr>
          <w:ilvl w:val="0"/>
          <w:numId w:val="0"/>
        </w:numPr>
      </w:pPr>
      <w:bookmarkStart w:id="4167" w:name="_Ref148703076"/>
      <w:bookmarkStart w:id="4168" w:name="_Ref150425160"/>
      <w:bookmarkStart w:id="4169" w:name="_Toc173222810"/>
      <w:bookmarkStart w:id="4170" w:name="_Toc200375916"/>
      <w:bookmarkStart w:id="4171" w:name="_Toc200377077"/>
      <w:r>
        <w:t xml:space="preserve">APPENDIX </w:t>
      </w:r>
      <w:r w:rsidR="00B1613E">
        <w:t>F</w:t>
      </w:r>
      <w:r>
        <w:t>: OVER-INCOME LIMITS FOR</w:t>
      </w:r>
      <w:r w:rsidR="00583B3B">
        <w:t xml:space="preserve"> 2025</w:t>
      </w:r>
      <w:bookmarkEnd w:id="4167"/>
      <w:bookmarkEnd w:id="4168"/>
      <w:bookmarkEnd w:id="4169"/>
      <w:bookmarkEnd w:id="4170"/>
      <w:bookmarkEnd w:id="4171"/>
    </w:p>
    <w:p w14:paraId="516FD817" w14:textId="77777777" w:rsidR="00FD3E56" w:rsidRPr="00BD5655" w:rsidRDefault="00FD3E56" w:rsidP="00FD3E56">
      <w:pPr>
        <w:rPr>
          <w:shd w:val="clear" w:color="auto" w:fill="FFFFFF"/>
        </w:rPr>
      </w:pPr>
      <w:r w:rsidRPr="00BD5655">
        <w:rPr>
          <w:shd w:val="clear" w:color="auto" w:fill="FFFFFF"/>
        </w:rPr>
        <w:t>The over-income limit is applied to a family’s gross income, and is determined by the Very Low Income Limit—as established each year by the U.S. Department of Housing and Urban Development, or HUD—multiplied by 2.4.</w:t>
      </w:r>
    </w:p>
    <w:p w14:paraId="4AC1DDE5" w14:textId="192842E0" w:rsidR="00FD3E56" w:rsidRDefault="00FD3E56" w:rsidP="00FD3E56">
      <w:pPr>
        <w:rPr>
          <w:shd w:val="clear" w:color="auto" w:fill="FFFFFF"/>
        </w:rPr>
      </w:pPr>
      <w:r w:rsidRPr="00BD5655">
        <w:rPr>
          <w:shd w:val="clear" w:color="auto" w:fill="FFFFFF"/>
        </w:rPr>
        <w:t xml:space="preserve">The over-income limits for </w:t>
      </w:r>
      <w:r w:rsidR="00C4242D" w:rsidRPr="00BD5655">
        <w:rPr>
          <w:shd w:val="clear" w:color="auto" w:fill="FFFFFF"/>
        </w:rPr>
        <w:t>202</w:t>
      </w:r>
      <w:r w:rsidR="00C4242D">
        <w:rPr>
          <w:shd w:val="clear" w:color="auto" w:fill="FFFFFF"/>
        </w:rPr>
        <w:t>5</w:t>
      </w:r>
      <w:r w:rsidR="00C4242D" w:rsidRPr="00BD5655">
        <w:rPr>
          <w:shd w:val="clear" w:color="auto" w:fill="FFFFFF"/>
        </w:rPr>
        <w:t xml:space="preserve"> </w:t>
      </w:r>
      <w:r w:rsidRPr="00BD5655">
        <w:rPr>
          <w:shd w:val="clear" w:color="auto" w:fill="FFFFFF"/>
        </w:rPr>
        <w:t xml:space="preserve">are below and were calculated by multiplying the </w:t>
      </w:r>
      <w:r w:rsidR="00C4242D" w:rsidRPr="00BD5655">
        <w:rPr>
          <w:shd w:val="clear" w:color="auto" w:fill="FFFFFF"/>
        </w:rPr>
        <w:t>202</w:t>
      </w:r>
      <w:r w:rsidR="00C4242D">
        <w:rPr>
          <w:shd w:val="clear" w:color="auto" w:fill="FFFFFF"/>
        </w:rPr>
        <w:t>5</w:t>
      </w:r>
      <w:r w:rsidR="00C4242D" w:rsidRPr="00BD5655">
        <w:rPr>
          <w:shd w:val="clear" w:color="auto" w:fill="FFFFFF"/>
        </w:rPr>
        <w:t xml:space="preserve"> </w:t>
      </w:r>
      <w:r w:rsidRPr="00BD5655">
        <w:rPr>
          <w:shd w:val="clear" w:color="auto" w:fill="FFFFFF"/>
        </w:rPr>
        <w:t>Very Low Income Limits by 2.4 for each family size. Please note these amounts will change each year as HUD updates the Very Low Income limits.</w:t>
      </w:r>
    </w:p>
    <w:p w14:paraId="0A6A777B" w14:textId="5FEBB67C" w:rsidR="00FD3E56" w:rsidRPr="005E2619" w:rsidRDefault="00FD3E56" w:rsidP="00FD3E56">
      <w:pPr>
        <w:jc w:val="center"/>
        <w:rPr>
          <w:b/>
          <w:bCs/>
          <w:shd w:val="clear" w:color="auto" w:fill="FFFFFF"/>
        </w:rPr>
      </w:pPr>
      <w:r w:rsidRPr="005E2619">
        <w:rPr>
          <w:b/>
          <w:bCs/>
          <w:shd w:val="clear" w:color="auto" w:fill="FFFFFF"/>
        </w:rPr>
        <w:t xml:space="preserve">Over-Income Limits for </w:t>
      </w:r>
      <w:r w:rsidR="00C4242D" w:rsidRPr="005E2619">
        <w:rPr>
          <w:b/>
          <w:bCs/>
          <w:shd w:val="clear" w:color="auto" w:fill="FFFFFF"/>
        </w:rPr>
        <w:t>202</w:t>
      </w:r>
      <w:r w:rsidR="00C4242D">
        <w:rPr>
          <w:b/>
          <w:bCs/>
          <w:shd w:val="clear" w:color="auto" w:fill="FFFFFF"/>
        </w:rPr>
        <w:t>5</w:t>
      </w:r>
    </w:p>
    <w:tbl>
      <w:tblPr>
        <w:tblW w:w="5243" w:type="pct"/>
        <w:tblLayout w:type="fixed"/>
        <w:tblLook w:val="04A0" w:firstRow="1" w:lastRow="0" w:firstColumn="1" w:lastColumn="0" w:noHBand="0" w:noVBand="1"/>
      </w:tblPr>
      <w:tblGrid>
        <w:gridCol w:w="1354"/>
        <w:gridCol w:w="987"/>
        <w:gridCol w:w="989"/>
        <w:gridCol w:w="1087"/>
        <w:gridCol w:w="1075"/>
        <w:gridCol w:w="1079"/>
        <w:gridCol w:w="1081"/>
        <w:gridCol w:w="1079"/>
        <w:gridCol w:w="1079"/>
      </w:tblGrid>
      <w:tr w:rsidR="00FD3E56" w:rsidRPr="00BD5655" w14:paraId="4F362915" w14:textId="77777777" w:rsidTr="00D50903">
        <w:trPr>
          <w:trHeight w:val="288"/>
        </w:trPr>
        <w:tc>
          <w:tcPr>
            <w:tcW w:w="690" w:type="pct"/>
            <w:tcBorders>
              <w:top w:val="nil"/>
              <w:left w:val="nil"/>
              <w:bottom w:val="nil"/>
              <w:right w:val="nil"/>
            </w:tcBorders>
            <w:shd w:val="clear" w:color="auto" w:fill="auto"/>
            <w:noWrap/>
            <w:vAlign w:val="bottom"/>
            <w:hideMark/>
          </w:tcPr>
          <w:p w14:paraId="317662A1" w14:textId="77777777" w:rsidR="00FD3E56" w:rsidRPr="004A24C6" w:rsidRDefault="00FD3E56" w:rsidP="00D50903">
            <w:pPr>
              <w:rPr>
                <w:sz w:val="20"/>
                <w:szCs w:val="20"/>
              </w:rPr>
            </w:pPr>
          </w:p>
        </w:tc>
        <w:tc>
          <w:tcPr>
            <w:tcW w:w="4310"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29621" w14:textId="77777777" w:rsidR="00FD3E56" w:rsidRPr="005E2619" w:rsidRDefault="00FD3E56" w:rsidP="00D50903">
            <w:pPr>
              <w:jc w:val="center"/>
              <w:rPr>
                <w:b/>
                <w:bCs/>
                <w:sz w:val="20"/>
                <w:szCs w:val="20"/>
              </w:rPr>
            </w:pPr>
            <w:r w:rsidRPr="005E2619">
              <w:rPr>
                <w:b/>
                <w:bCs/>
                <w:sz w:val="20"/>
                <w:szCs w:val="20"/>
              </w:rPr>
              <w:t>Persons in Family</w:t>
            </w:r>
          </w:p>
        </w:tc>
      </w:tr>
      <w:tr w:rsidR="00FD3E56" w:rsidRPr="00BD5655" w14:paraId="709A0552" w14:textId="77777777" w:rsidTr="00D50903">
        <w:trPr>
          <w:trHeight w:val="288"/>
        </w:trPr>
        <w:tc>
          <w:tcPr>
            <w:tcW w:w="690" w:type="pct"/>
            <w:tcBorders>
              <w:top w:val="nil"/>
              <w:left w:val="nil"/>
              <w:bottom w:val="single" w:sz="4" w:space="0" w:color="auto"/>
              <w:right w:val="nil"/>
            </w:tcBorders>
            <w:shd w:val="clear" w:color="auto" w:fill="auto"/>
            <w:noWrap/>
            <w:vAlign w:val="bottom"/>
            <w:hideMark/>
          </w:tcPr>
          <w:p w14:paraId="6BD2F433" w14:textId="77777777" w:rsidR="00FD3E56" w:rsidRPr="004A24C6" w:rsidRDefault="00FD3E56" w:rsidP="00D50903">
            <w:pPr>
              <w:rPr>
                <w:sz w:val="20"/>
                <w:szCs w:val="20"/>
              </w:rPr>
            </w:pPr>
          </w:p>
        </w:tc>
        <w:tc>
          <w:tcPr>
            <w:tcW w:w="503" w:type="pct"/>
            <w:tcBorders>
              <w:top w:val="nil"/>
              <w:left w:val="single" w:sz="4" w:space="0" w:color="auto"/>
              <w:bottom w:val="single" w:sz="4" w:space="0" w:color="auto"/>
              <w:right w:val="single" w:sz="4" w:space="0" w:color="auto"/>
            </w:tcBorders>
            <w:shd w:val="clear" w:color="auto" w:fill="auto"/>
            <w:noWrap/>
            <w:vAlign w:val="bottom"/>
            <w:hideMark/>
          </w:tcPr>
          <w:p w14:paraId="16EF461C" w14:textId="77777777" w:rsidR="00FD3E56" w:rsidRPr="004A24C6" w:rsidRDefault="00FD3E56" w:rsidP="00D50903">
            <w:pPr>
              <w:jc w:val="center"/>
              <w:rPr>
                <w:sz w:val="20"/>
                <w:szCs w:val="20"/>
              </w:rPr>
            </w:pPr>
            <w:r w:rsidRPr="004A24C6">
              <w:rPr>
                <w:sz w:val="20"/>
                <w:szCs w:val="20"/>
              </w:rPr>
              <w:t>1</w:t>
            </w:r>
          </w:p>
        </w:tc>
        <w:tc>
          <w:tcPr>
            <w:tcW w:w="504" w:type="pct"/>
            <w:tcBorders>
              <w:top w:val="nil"/>
              <w:left w:val="nil"/>
              <w:bottom w:val="single" w:sz="4" w:space="0" w:color="auto"/>
              <w:right w:val="single" w:sz="4" w:space="0" w:color="auto"/>
            </w:tcBorders>
            <w:shd w:val="clear" w:color="auto" w:fill="auto"/>
            <w:noWrap/>
            <w:vAlign w:val="bottom"/>
            <w:hideMark/>
          </w:tcPr>
          <w:p w14:paraId="74616421" w14:textId="77777777" w:rsidR="00FD3E56" w:rsidRPr="004A24C6" w:rsidRDefault="00FD3E56" w:rsidP="00D50903">
            <w:pPr>
              <w:jc w:val="center"/>
              <w:rPr>
                <w:sz w:val="20"/>
                <w:szCs w:val="20"/>
              </w:rPr>
            </w:pPr>
            <w:r w:rsidRPr="004A24C6">
              <w:rPr>
                <w:sz w:val="20"/>
                <w:szCs w:val="20"/>
              </w:rPr>
              <w:t>2</w:t>
            </w:r>
          </w:p>
        </w:tc>
        <w:tc>
          <w:tcPr>
            <w:tcW w:w="554" w:type="pct"/>
            <w:tcBorders>
              <w:top w:val="nil"/>
              <w:left w:val="nil"/>
              <w:bottom w:val="single" w:sz="4" w:space="0" w:color="auto"/>
              <w:right w:val="single" w:sz="4" w:space="0" w:color="auto"/>
            </w:tcBorders>
            <w:shd w:val="clear" w:color="auto" w:fill="auto"/>
            <w:noWrap/>
            <w:vAlign w:val="bottom"/>
            <w:hideMark/>
          </w:tcPr>
          <w:p w14:paraId="574B3C86" w14:textId="77777777" w:rsidR="00FD3E56" w:rsidRPr="004A24C6" w:rsidRDefault="00FD3E56" w:rsidP="00D50903">
            <w:pPr>
              <w:jc w:val="center"/>
              <w:rPr>
                <w:sz w:val="20"/>
                <w:szCs w:val="20"/>
              </w:rPr>
            </w:pPr>
            <w:r w:rsidRPr="004A24C6">
              <w:rPr>
                <w:sz w:val="20"/>
                <w:szCs w:val="20"/>
              </w:rPr>
              <w:t>3</w:t>
            </w:r>
          </w:p>
        </w:tc>
        <w:tc>
          <w:tcPr>
            <w:tcW w:w="548" w:type="pct"/>
            <w:tcBorders>
              <w:top w:val="nil"/>
              <w:left w:val="nil"/>
              <w:bottom w:val="single" w:sz="4" w:space="0" w:color="auto"/>
              <w:right w:val="single" w:sz="4" w:space="0" w:color="auto"/>
            </w:tcBorders>
            <w:shd w:val="clear" w:color="auto" w:fill="auto"/>
            <w:noWrap/>
            <w:vAlign w:val="bottom"/>
            <w:hideMark/>
          </w:tcPr>
          <w:p w14:paraId="7C5DC84D" w14:textId="77777777" w:rsidR="00FD3E56" w:rsidRPr="004A24C6" w:rsidRDefault="00FD3E56" w:rsidP="00D50903">
            <w:pPr>
              <w:jc w:val="center"/>
              <w:rPr>
                <w:sz w:val="20"/>
                <w:szCs w:val="20"/>
              </w:rPr>
            </w:pPr>
            <w:r w:rsidRPr="004A24C6">
              <w:rPr>
                <w:sz w:val="20"/>
                <w:szCs w:val="20"/>
              </w:rPr>
              <w:t>4</w:t>
            </w:r>
          </w:p>
        </w:tc>
        <w:tc>
          <w:tcPr>
            <w:tcW w:w="550" w:type="pct"/>
            <w:tcBorders>
              <w:top w:val="nil"/>
              <w:left w:val="nil"/>
              <w:bottom w:val="single" w:sz="4" w:space="0" w:color="auto"/>
              <w:right w:val="single" w:sz="4" w:space="0" w:color="auto"/>
            </w:tcBorders>
            <w:shd w:val="clear" w:color="auto" w:fill="auto"/>
            <w:noWrap/>
            <w:vAlign w:val="bottom"/>
            <w:hideMark/>
          </w:tcPr>
          <w:p w14:paraId="34DA3A31" w14:textId="77777777" w:rsidR="00FD3E56" w:rsidRPr="004A24C6" w:rsidRDefault="00FD3E56" w:rsidP="00D50903">
            <w:pPr>
              <w:jc w:val="center"/>
              <w:rPr>
                <w:sz w:val="20"/>
                <w:szCs w:val="20"/>
              </w:rPr>
            </w:pPr>
            <w:r w:rsidRPr="004A24C6">
              <w:rPr>
                <w:sz w:val="20"/>
                <w:szCs w:val="20"/>
              </w:rPr>
              <w:t>5</w:t>
            </w:r>
          </w:p>
        </w:tc>
        <w:tc>
          <w:tcPr>
            <w:tcW w:w="551" w:type="pct"/>
            <w:tcBorders>
              <w:top w:val="nil"/>
              <w:left w:val="nil"/>
              <w:bottom w:val="single" w:sz="4" w:space="0" w:color="auto"/>
              <w:right w:val="single" w:sz="4" w:space="0" w:color="auto"/>
            </w:tcBorders>
            <w:shd w:val="clear" w:color="auto" w:fill="auto"/>
            <w:noWrap/>
            <w:vAlign w:val="bottom"/>
            <w:hideMark/>
          </w:tcPr>
          <w:p w14:paraId="32F74C55" w14:textId="77777777" w:rsidR="00FD3E56" w:rsidRPr="004A24C6" w:rsidRDefault="00FD3E56" w:rsidP="00D50903">
            <w:pPr>
              <w:jc w:val="center"/>
              <w:rPr>
                <w:sz w:val="20"/>
                <w:szCs w:val="20"/>
              </w:rPr>
            </w:pPr>
            <w:r w:rsidRPr="004A24C6">
              <w:rPr>
                <w:sz w:val="20"/>
                <w:szCs w:val="20"/>
              </w:rPr>
              <w:t>6</w:t>
            </w:r>
          </w:p>
        </w:tc>
        <w:tc>
          <w:tcPr>
            <w:tcW w:w="550" w:type="pct"/>
            <w:tcBorders>
              <w:top w:val="nil"/>
              <w:left w:val="nil"/>
              <w:bottom w:val="single" w:sz="4" w:space="0" w:color="auto"/>
              <w:right w:val="single" w:sz="4" w:space="0" w:color="auto"/>
            </w:tcBorders>
            <w:shd w:val="clear" w:color="auto" w:fill="auto"/>
            <w:noWrap/>
            <w:vAlign w:val="bottom"/>
            <w:hideMark/>
          </w:tcPr>
          <w:p w14:paraId="54382D3F" w14:textId="77777777" w:rsidR="00FD3E56" w:rsidRPr="004A24C6" w:rsidRDefault="00FD3E56" w:rsidP="00D50903">
            <w:pPr>
              <w:jc w:val="center"/>
              <w:rPr>
                <w:sz w:val="20"/>
                <w:szCs w:val="20"/>
              </w:rPr>
            </w:pPr>
            <w:r w:rsidRPr="004A24C6">
              <w:rPr>
                <w:sz w:val="20"/>
                <w:szCs w:val="20"/>
              </w:rPr>
              <w:t>7</w:t>
            </w:r>
          </w:p>
        </w:tc>
        <w:tc>
          <w:tcPr>
            <w:tcW w:w="550" w:type="pct"/>
            <w:tcBorders>
              <w:top w:val="nil"/>
              <w:left w:val="nil"/>
              <w:bottom w:val="single" w:sz="4" w:space="0" w:color="auto"/>
              <w:right w:val="single" w:sz="4" w:space="0" w:color="auto"/>
            </w:tcBorders>
            <w:shd w:val="clear" w:color="auto" w:fill="auto"/>
            <w:noWrap/>
            <w:vAlign w:val="bottom"/>
            <w:hideMark/>
          </w:tcPr>
          <w:p w14:paraId="0A2CB7F6" w14:textId="77777777" w:rsidR="00FD3E56" w:rsidRPr="004A24C6" w:rsidRDefault="00FD3E56" w:rsidP="00D50903">
            <w:pPr>
              <w:jc w:val="center"/>
              <w:rPr>
                <w:sz w:val="20"/>
                <w:szCs w:val="20"/>
              </w:rPr>
            </w:pPr>
            <w:r w:rsidRPr="004A24C6">
              <w:rPr>
                <w:sz w:val="20"/>
                <w:szCs w:val="20"/>
              </w:rPr>
              <w:t>8</w:t>
            </w:r>
          </w:p>
        </w:tc>
      </w:tr>
      <w:tr w:rsidR="00FD3E56" w:rsidRPr="00BD5655" w14:paraId="7B39D4B1" w14:textId="77777777" w:rsidTr="00D50903">
        <w:trPr>
          <w:trHeight w:val="288"/>
        </w:trPr>
        <w:tc>
          <w:tcPr>
            <w:tcW w:w="6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B1A64" w14:textId="77777777" w:rsidR="00FD3E56" w:rsidRPr="004A24C6" w:rsidRDefault="00FD3E56" w:rsidP="00D50903">
            <w:pPr>
              <w:jc w:val="left"/>
              <w:rPr>
                <w:sz w:val="20"/>
                <w:szCs w:val="20"/>
              </w:rPr>
            </w:pPr>
            <w:r w:rsidRPr="004A24C6">
              <w:rPr>
                <w:sz w:val="20"/>
                <w:szCs w:val="20"/>
              </w:rPr>
              <w:t>Very Low Income Limit x 2.4</w:t>
            </w:r>
          </w:p>
        </w:tc>
        <w:tc>
          <w:tcPr>
            <w:tcW w:w="503" w:type="pct"/>
            <w:tcBorders>
              <w:top w:val="nil"/>
              <w:left w:val="nil"/>
              <w:bottom w:val="single" w:sz="4" w:space="0" w:color="auto"/>
              <w:right w:val="single" w:sz="4" w:space="0" w:color="auto"/>
            </w:tcBorders>
            <w:shd w:val="clear" w:color="auto" w:fill="auto"/>
            <w:noWrap/>
            <w:vAlign w:val="bottom"/>
          </w:tcPr>
          <w:p w14:paraId="0DC0550F" w14:textId="4D07F0CF" w:rsidR="00FD3E56" w:rsidRPr="004A24C6" w:rsidRDefault="00E8043B" w:rsidP="00D50903">
            <w:pPr>
              <w:jc w:val="center"/>
              <w:rPr>
                <w:sz w:val="20"/>
                <w:szCs w:val="20"/>
              </w:rPr>
            </w:pPr>
            <w:r>
              <w:rPr>
                <w:sz w:val="20"/>
                <w:szCs w:val="20"/>
              </w:rPr>
              <w:t>$84,960</w:t>
            </w:r>
          </w:p>
        </w:tc>
        <w:tc>
          <w:tcPr>
            <w:tcW w:w="504" w:type="pct"/>
            <w:tcBorders>
              <w:top w:val="nil"/>
              <w:left w:val="nil"/>
              <w:bottom w:val="single" w:sz="4" w:space="0" w:color="auto"/>
              <w:right w:val="single" w:sz="4" w:space="0" w:color="auto"/>
            </w:tcBorders>
            <w:shd w:val="clear" w:color="auto" w:fill="auto"/>
            <w:noWrap/>
            <w:vAlign w:val="bottom"/>
          </w:tcPr>
          <w:p w14:paraId="268BD50D" w14:textId="45CC2E47" w:rsidR="00FD3E56" w:rsidRPr="004A24C6" w:rsidRDefault="00E8043B" w:rsidP="00D50903">
            <w:pPr>
              <w:jc w:val="center"/>
              <w:rPr>
                <w:sz w:val="20"/>
                <w:szCs w:val="20"/>
              </w:rPr>
            </w:pPr>
            <w:r>
              <w:rPr>
                <w:sz w:val="20"/>
                <w:szCs w:val="20"/>
              </w:rPr>
              <w:t>$97,080</w:t>
            </w:r>
          </w:p>
        </w:tc>
        <w:tc>
          <w:tcPr>
            <w:tcW w:w="554" w:type="pct"/>
            <w:tcBorders>
              <w:top w:val="nil"/>
              <w:left w:val="nil"/>
              <w:bottom w:val="single" w:sz="4" w:space="0" w:color="auto"/>
              <w:right w:val="single" w:sz="4" w:space="0" w:color="auto"/>
            </w:tcBorders>
            <w:shd w:val="clear" w:color="auto" w:fill="auto"/>
            <w:noWrap/>
            <w:vAlign w:val="bottom"/>
          </w:tcPr>
          <w:p w14:paraId="5D791AD4" w14:textId="3F89DDD6" w:rsidR="00FD3E56" w:rsidRPr="004A24C6" w:rsidRDefault="00E8043B" w:rsidP="00D50903">
            <w:pPr>
              <w:jc w:val="center"/>
              <w:rPr>
                <w:sz w:val="20"/>
                <w:szCs w:val="20"/>
              </w:rPr>
            </w:pPr>
            <w:r>
              <w:rPr>
                <w:sz w:val="20"/>
                <w:szCs w:val="20"/>
              </w:rPr>
              <w:t>$109,200</w:t>
            </w:r>
          </w:p>
        </w:tc>
        <w:tc>
          <w:tcPr>
            <w:tcW w:w="548" w:type="pct"/>
            <w:tcBorders>
              <w:top w:val="nil"/>
              <w:left w:val="nil"/>
              <w:bottom w:val="single" w:sz="4" w:space="0" w:color="auto"/>
              <w:right w:val="single" w:sz="4" w:space="0" w:color="auto"/>
            </w:tcBorders>
            <w:shd w:val="clear" w:color="auto" w:fill="auto"/>
            <w:noWrap/>
            <w:vAlign w:val="bottom"/>
          </w:tcPr>
          <w:p w14:paraId="0A071F52" w14:textId="7DA9D5E9" w:rsidR="00FD3E56" w:rsidRPr="004A24C6" w:rsidRDefault="00E8043B" w:rsidP="00D50903">
            <w:pPr>
              <w:jc w:val="center"/>
              <w:rPr>
                <w:sz w:val="20"/>
                <w:szCs w:val="20"/>
              </w:rPr>
            </w:pPr>
            <w:r>
              <w:rPr>
                <w:sz w:val="20"/>
                <w:szCs w:val="20"/>
              </w:rPr>
              <w:t>$121,320</w:t>
            </w:r>
          </w:p>
        </w:tc>
        <w:tc>
          <w:tcPr>
            <w:tcW w:w="550" w:type="pct"/>
            <w:tcBorders>
              <w:top w:val="nil"/>
              <w:left w:val="nil"/>
              <w:bottom w:val="single" w:sz="4" w:space="0" w:color="auto"/>
              <w:right w:val="single" w:sz="4" w:space="0" w:color="auto"/>
            </w:tcBorders>
            <w:shd w:val="clear" w:color="auto" w:fill="auto"/>
            <w:noWrap/>
            <w:vAlign w:val="bottom"/>
          </w:tcPr>
          <w:p w14:paraId="4E493A45" w14:textId="1789EAE6" w:rsidR="00FD3E56" w:rsidRPr="004A24C6" w:rsidRDefault="00E8043B" w:rsidP="00D50903">
            <w:pPr>
              <w:jc w:val="center"/>
              <w:rPr>
                <w:sz w:val="20"/>
                <w:szCs w:val="20"/>
              </w:rPr>
            </w:pPr>
            <w:r>
              <w:rPr>
                <w:sz w:val="20"/>
                <w:szCs w:val="20"/>
              </w:rPr>
              <w:t>$</w:t>
            </w:r>
            <w:r w:rsidR="00822B7D">
              <w:rPr>
                <w:sz w:val="20"/>
                <w:szCs w:val="20"/>
              </w:rPr>
              <w:t>131,040</w:t>
            </w:r>
          </w:p>
        </w:tc>
        <w:tc>
          <w:tcPr>
            <w:tcW w:w="551" w:type="pct"/>
            <w:tcBorders>
              <w:top w:val="nil"/>
              <w:left w:val="nil"/>
              <w:bottom w:val="single" w:sz="4" w:space="0" w:color="auto"/>
              <w:right w:val="single" w:sz="4" w:space="0" w:color="auto"/>
            </w:tcBorders>
            <w:shd w:val="clear" w:color="auto" w:fill="auto"/>
            <w:noWrap/>
            <w:vAlign w:val="bottom"/>
          </w:tcPr>
          <w:p w14:paraId="6A4D4CB8" w14:textId="607A2C01" w:rsidR="00FD3E56" w:rsidRPr="004A24C6" w:rsidRDefault="00822B7D" w:rsidP="00D50903">
            <w:pPr>
              <w:jc w:val="center"/>
              <w:rPr>
                <w:sz w:val="20"/>
                <w:szCs w:val="20"/>
              </w:rPr>
            </w:pPr>
            <w:r>
              <w:rPr>
                <w:sz w:val="20"/>
                <w:szCs w:val="20"/>
              </w:rPr>
              <w:t>$140,760</w:t>
            </w:r>
          </w:p>
        </w:tc>
        <w:tc>
          <w:tcPr>
            <w:tcW w:w="550" w:type="pct"/>
            <w:tcBorders>
              <w:top w:val="nil"/>
              <w:left w:val="nil"/>
              <w:bottom w:val="single" w:sz="4" w:space="0" w:color="auto"/>
              <w:right w:val="single" w:sz="4" w:space="0" w:color="auto"/>
            </w:tcBorders>
            <w:shd w:val="clear" w:color="auto" w:fill="auto"/>
            <w:noWrap/>
            <w:vAlign w:val="bottom"/>
          </w:tcPr>
          <w:p w14:paraId="32851F03" w14:textId="4BAF9938" w:rsidR="00FD3E56" w:rsidRPr="004A24C6" w:rsidRDefault="00822B7D" w:rsidP="00D50903">
            <w:pPr>
              <w:jc w:val="center"/>
              <w:rPr>
                <w:sz w:val="20"/>
                <w:szCs w:val="20"/>
              </w:rPr>
            </w:pPr>
            <w:r>
              <w:rPr>
                <w:sz w:val="20"/>
                <w:szCs w:val="20"/>
              </w:rPr>
              <w:t>$150,480</w:t>
            </w:r>
          </w:p>
        </w:tc>
        <w:tc>
          <w:tcPr>
            <w:tcW w:w="550" w:type="pct"/>
            <w:tcBorders>
              <w:top w:val="nil"/>
              <w:left w:val="nil"/>
              <w:bottom w:val="single" w:sz="4" w:space="0" w:color="auto"/>
              <w:right w:val="single" w:sz="4" w:space="0" w:color="auto"/>
            </w:tcBorders>
            <w:shd w:val="clear" w:color="auto" w:fill="auto"/>
            <w:noWrap/>
            <w:vAlign w:val="bottom"/>
          </w:tcPr>
          <w:p w14:paraId="38038CB5" w14:textId="0868F88F" w:rsidR="00FD3E56" w:rsidRPr="004A24C6" w:rsidRDefault="00822B7D" w:rsidP="00D50903">
            <w:pPr>
              <w:jc w:val="center"/>
              <w:rPr>
                <w:sz w:val="20"/>
                <w:szCs w:val="20"/>
              </w:rPr>
            </w:pPr>
            <w:r>
              <w:rPr>
                <w:sz w:val="20"/>
                <w:szCs w:val="20"/>
              </w:rPr>
              <w:t>$160,200</w:t>
            </w:r>
          </w:p>
        </w:tc>
      </w:tr>
    </w:tbl>
    <w:p w14:paraId="74A17B71" w14:textId="77777777" w:rsidR="00FD3E56" w:rsidRPr="00BD5655" w:rsidRDefault="00FD3E56" w:rsidP="00FD3E56"/>
    <w:p w14:paraId="720982AD" w14:textId="77777777" w:rsidR="00FD3E56" w:rsidRPr="00BD5655" w:rsidRDefault="00FD3E56" w:rsidP="00FD3E56"/>
    <w:p w14:paraId="71E724F3" w14:textId="77777777" w:rsidR="00B46CB5" w:rsidRPr="00DF792E" w:rsidRDefault="00B46CB5" w:rsidP="00C75DCD">
      <w:pPr>
        <w:pStyle w:val="BodyText"/>
        <w:spacing w:before="120" w:after="120" w:line="259" w:lineRule="auto"/>
        <w:jc w:val="both"/>
      </w:pPr>
    </w:p>
    <w:sectPr w:rsidR="00B46CB5" w:rsidRPr="00DF792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4DCE9" w14:textId="77777777" w:rsidR="007C2AEC" w:rsidRDefault="007C2AEC" w:rsidP="00482CA5">
      <w:pPr>
        <w:spacing w:after="0" w:line="240" w:lineRule="auto"/>
      </w:pPr>
      <w:r>
        <w:separator/>
      </w:r>
    </w:p>
  </w:endnote>
  <w:endnote w:type="continuationSeparator" w:id="0">
    <w:p w14:paraId="6CCBBD50" w14:textId="77777777" w:rsidR="007C2AEC" w:rsidRDefault="007C2AEC" w:rsidP="00482CA5">
      <w:pPr>
        <w:spacing w:after="0" w:line="240" w:lineRule="auto"/>
      </w:pPr>
      <w:r>
        <w:continuationSeparator/>
      </w:r>
    </w:p>
  </w:endnote>
  <w:endnote w:type="continuationNotice" w:id="1">
    <w:p w14:paraId="7F2B739F" w14:textId="77777777" w:rsidR="007C2AEC" w:rsidRDefault="007C2A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Kozuka Gothic Pro">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AC1E3" w14:textId="1C8F522A" w:rsidR="005F5976" w:rsidRPr="005F5976" w:rsidRDefault="00AD0501" w:rsidP="005F5976">
    <w:pPr>
      <w:pStyle w:val="Footer"/>
      <w:pBdr>
        <w:top w:val="single" w:sz="4" w:space="1" w:color="auto"/>
      </w:pBdr>
      <w:tabs>
        <w:tab w:val="clear" w:pos="4680"/>
      </w:tabs>
      <w:jc w:val="left"/>
      <w:rPr>
        <w:rFonts w:cs="Arial"/>
        <w:noProof/>
        <w:sz w:val="20"/>
        <w:szCs w:val="20"/>
      </w:rPr>
    </w:pPr>
    <w:r>
      <w:rPr>
        <w:rFonts w:cs="Arial"/>
        <w:sz w:val="20"/>
        <w:szCs w:val="20"/>
      </w:rPr>
      <w:fldChar w:fldCharType="begin"/>
    </w:r>
    <w:r>
      <w:rPr>
        <w:rFonts w:cs="Arial"/>
        <w:sz w:val="20"/>
        <w:szCs w:val="20"/>
      </w:rPr>
      <w:instrText xml:space="preserve"> STYLEREF  "Heading 1" \w  \* MERGEFORMAT </w:instrText>
    </w:r>
    <w:r>
      <w:rPr>
        <w:rFonts w:cs="Arial"/>
        <w:sz w:val="20"/>
        <w:szCs w:val="20"/>
      </w:rPr>
      <w:fldChar w:fldCharType="separate"/>
    </w:r>
    <w:r w:rsidR="00AD20A4">
      <w:rPr>
        <w:rFonts w:cs="Arial"/>
        <w:noProof/>
        <w:sz w:val="20"/>
        <w:szCs w:val="20"/>
      </w:rPr>
      <w:t>CHAPTER 2:</w:t>
    </w:r>
    <w:r>
      <w:rPr>
        <w:rFonts w:cs="Arial"/>
        <w:sz w:val="20"/>
        <w:szCs w:val="20"/>
      </w:rPr>
      <w:fldChar w:fldCharType="end"/>
    </w:r>
    <w:r>
      <w:rPr>
        <w:rFonts w:cs="Arial"/>
        <w:sz w:val="20"/>
        <w:szCs w:val="20"/>
      </w:rPr>
      <w:t xml:space="preserve"> </w:t>
    </w:r>
    <w:r>
      <w:rPr>
        <w:rFonts w:cs="Arial"/>
        <w:sz w:val="20"/>
        <w:szCs w:val="20"/>
      </w:rPr>
      <w:fldChar w:fldCharType="begin"/>
    </w:r>
    <w:r>
      <w:rPr>
        <w:rFonts w:cs="Arial"/>
        <w:sz w:val="20"/>
        <w:szCs w:val="20"/>
      </w:rPr>
      <w:instrText xml:space="preserve"> STYLEREF  "Heading 1"  \* MERGEFORMAT </w:instrText>
    </w:r>
    <w:r>
      <w:rPr>
        <w:rFonts w:cs="Arial"/>
        <w:sz w:val="20"/>
        <w:szCs w:val="20"/>
      </w:rPr>
      <w:fldChar w:fldCharType="separate"/>
    </w:r>
    <w:r w:rsidR="00AD20A4">
      <w:rPr>
        <w:rFonts w:cs="Arial"/>
        <w:noProof/>
        <w:sz w:val="20"/>
        <w:szCs w:val="20"/>
      </w:rPr>
      <w:t>MOVING TO WORK (MTW) PROGRAM</w:t>
    </w:r>
    <w:r>
      <w:rPr>
        <w:rFonts w:cs="Arial"/>
        <w:sz w:val="20"/>
        <w:szCs w:val="20"/>
      </w:rPr>
      <w:fldChar w:fldCharType="end"/>
    </w:r>
    <w:r w:rsidR="005F5976" w:rsidRPr="005F5976">
      <w:rPr>
        <w:rFonts w:cs="Arial"/>
        <w:sz w:val="20"/>
        <w:szCs w:val="20"/>
      </w:rPr>
      <w:tab/>
    </w:r>
    <w:r w:rsidR="00A73DD1" w:rsidRPr="00A73DD1">
      <w:rPr>
        <w:rFonts w:cs="Arial"/>
        <w:sz w:val="20"/>
        <w:szCs w:val="20"/>
      </w:rPr>
      <w:fldChar w:fldCharType="begin"/>
    </w:r>
    <w:r w:rsidR="00A73DD1" w:rsidRPr="00A73DD1">
      <w:rPr>
        <w:rFonts w:cs="Arial"/>
        <w:sz w:val="20"/>
        <w:szCs w:val="20"/>
      </w:rPr>
      <w:instrText xml:space="preserve"> PAGE   \* MERGEFORMAT </w:instrText>
    </w:r>
    <w:r w:rsidR="00A73DD1" w:rsidRPr="00A73DD1">
      <w:rPr>
        <w:rFonts w:cs="Arial"/>
        <w:sz w:val="20"/>
        <w:szCs w:val="20"/>
      </w:rPr>
      <w:fldChar w:fldCharType="separate"/>
    </w:r>
    <w:r w:rsidR="00A73DD1" w:rsidRPr="00A73DD1">
      <w:rPr>
        <w:rFonts w:cs="Arial"/>
        <w:noProof/>
        <w:sz w:val="20"/>
        <w:szCs w:val="20"/>
      </w:rPr>
      <w:t>1</w:t>
    </w:r>
    <w:r w:rsidR="00A73DD1" w:rsidRPr="00A73DD1">
      <w:rPr>
        <w:rFonts w:cs="Arial"/>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D5199" w14:textId="1910B7F5" w:rsidR="005F5976" w:rsidRPr="005F5976" w:rsidRDefault="00AD0501" w:rsidP="005F5976">
    <w:pPr>
      <w:pStyle w:val="Footer"/>
      <w:pBdr>
        <w:top w:val="single" w:sz="4" w:space="1" w:color="auto"/>
      </w:pBdr>
      <w:tabs>
        <w:tab w:val="clear" w:pos="4680"/>
      </w:tabs>
      <w:jc w:val="left"/>
      <w:rPr>
        <w:rFonts w:cs="Arial"/>
        <w:noProof/>
        <w:sz w:val="20"/>
        <w:szCs w:val="20"/>
      </w:rPr>
    </w:pPr>
    <w:r>
      <w:rPr>
        <w:rFonts w:cs="Arial"/>
        <w:sz w:val="20"/>
        <w:szCs w:val="20"/>
      </w:rPr>
      <w:fldChar w:fldCharType="begin"/>
    </w:r>
    <w:r>
      <w:rPr>
        <w:rFonts w:cs="Arial"/>
        <w:sz w:val="20"/>
        <w:szCs w:val="20"/>
      </w:rPr>
      <w:instrText xml:space="preserve"> STYLEREF  "Heading 1" \w  \* MERGEFORMAT </w:instrText>
    </w:r>
    <w:r>
      <w:rPr>
        <w:rFonts w:cs="Arial"/>
        <w:sz w:val="20"/>
        <w:szCs w:val="20"/>
      </w:rPr>
      <w:fldChar w:fldCharType="separate"/>
    </w:r>
    <w:r w:rsidR="00AD20A4">
      <w:rPr>
        <w:rFonts w:cs="Arial"/>
        <w:noProof/>
        <w:sz w:val="20"/>
        <w:szCs w:val="20"/>
      </w:rPr>
      <w:t>CHAPTER 3:</w:t>
    </w:r>
    <w:r>
      <w:rPr>
        <w:rFonts w:cs="Arial"/>
        <w:sz w:val="20"/>
        <w:szCs w:val="20"/>
      </w:rPr>
      <w:fldChar w:fldCharType="end"/>
    </w:r>
    <w:r>
      <w:rPr>
        <w:rFonts w:cs="Arial"/>
        <w:sz w:val="20"/>
        <w:szCs w:val="20"/>
      </w:rPr>
      <w:t xml:space="preserve"> </w:t>
    </w:r>
    <w:r w:rsidR="005F5976" w:rsidRPr="005F5976">
      <w:rPr>
        <w:rFonts w:cs="Arial"/>
        <w:sz w:val="20"/>
        <w:szCs w:val="20"/>
      </w:rPr>
      <w:fldChar w:fldCharType="begin"/>
    </w:r>
    <w:r w:rsidR="005F5976" w:rsidRPr="005F5976">
      <w:rPr>
        <w:rFonts w:cs="Arial"/>
        <w:sz w:val="20"/>
        <w:szCs w:val="20"/>
      </w:rPr>
      <w:instrText xml:space="preserve"> STYLEREF  "Heading 1"  \* MERGEFORMAT </w:instrText>
    </w:r>
    <w:r w:rsidR="005F5976" w:rsidRPr="005F5976">
      <w:rPr>
        <w:rFonts w:cs="Arial"/>
        <w:sz w:val="20"/>
        <w:szCs w:val="20"/>
      </w:rPr>
      <w:fldChar w:fldCharType="separate"/>
    </w:r>
    <w:r w:rsidR="00AD20A4">
      <w:rPr>
        <w:rFonts w:cs="Arial"/>
        <w:noProof/>
        <w:sz w:val="20"/>
        <w:szCs w:val="20"/>
      </w:rPr>
      <w:t>FAIR HOUSING AND EQUAL OPPORTUNITY</w:t>
    </w:r>
    <w:r w:rsidR="005F5976" w:rsidRPr="005F5976">
      <w:rPr>
        <w:rFonts w:cs="Arial"/>
        <w:noProof/>
        <w:sz w:val="20"/>
        <w:szCs w:val="20"/>
      </w:rPr>
      <w:fldChar w:fldCharType="end"/>
    </w:r>
    <w:r w:rsidR="005F5976" w:rsidRPr="005F5976">
      <w:rPr>
        <w:rFonts w:cs="Arial"/>
        <w:sz w:val="20"/>
        <w:szCs w:val="20"/>
      </w:rPr>
      <w:tab/>
    </w:r>
    <w:r w:rsidR="00382FD5" w:rsidRPr="00382FD5">
      <w:rPr>
        <w:rFonts w:cs="Arial"/>
        <w:sz w:val="20"/>
        <w:szCs w:val="20"/>
      </w:rPr>
      <w:fldChar w:fldCharType="begin"/>
    </w:r>
    <w:r w:rsidR="00382FD5" w:rsidRPr="00382FD5">
      <w:rPr>
        <w:rFonts w:cs="Arial"/>
        <w:sz w:val="20"/>
        <w:szCs w:val="20"/>
      </w:rPr>
      <w:instrText xml:space="preserve"> PAGE   \* MERGEFORMAT </w:instrText>
    </w:r>
    <w:r w:rsidR="00382FD5" w:rsidRPr="00382FD5">
      <w:rPr>
        <w:rFonts w:cs="Arial"/>
        <w:sz w:val="20"/>
        <w:szCs w:val="20"/>
      </w:rPr>
      <w:fldChar w:fldCharType="separate"/>
    </w:r>
    <w:r w:rsidR="00382FD5" w:rsidRPr="00382FD5">
      <w:rPr>
        <w:rFonts w:cs="Arial"/>
        <w:noProof/>
        <w:sz w:val="20"/>
        <w:szCs w:val="20"/>
      </w:rPr>
      <w:t>1</w:t>
    </w:r>
    <w:r w:rsidR="00382FD5" w:rsidRPr="00382FD5">
      <w:rPr>
        <w:rFonts w:cs="Arial"/>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E2106" w14:textId="74C6CD07" w:rsidR="00AD0501" w:rsidRPr="005F5976" w:rsidRDefault="00AD0501" w:rsidP="005F5976">
    <w:pPr>
      <w:pStyle w:val="Footer"/>
      <w:pBdr>
        <w:top w:val="single" w:sz="4" w:space="1" w:color="auto"/>
      </w:pBdr>
      <w:tabs>
        <w:tab w:val="clear" w:pos="4680"/>
      </w:tabs>
      <w:jc w:val="left"/>
      <w:rPr>
        <w:rFonts w:cs="Arial"/>
        <w:noProof/>
        <w:sz w:val="20"/>
        <w:szCs w:val="20"/>
      </w:rPr>
    </w:pPr>
    <w:r w:rsidRPr="005F5976">
      <w:rPr>
        <w:rFonts w:cs="Arial"/>
        <w:sz w:val="20"/>
        <w:szCs w:val="20"/>
      </w:rPr>
      <w:fldChar w:fldCharType="begin"/>
    </w:r>
    <w:r w:rsidRPr="005F5976">
      <w:rPr>
        <w:rFonts w:cs="Arial"/>
        <w:sz w:val="20"/>
        <w:szCs w:val="20"/>
      </w:rPr>
      <w:instrText xml:space="preserve"> STYLEREF  "Heading 1"  \* MERGEFORMAT </w:instrText>
    </w:r>
    <w:r w:rsidRPr="005F5976">
      <w:rPr>
        <w:rFonts w:cs="Arial"/>
        <w:sz w:val="20"/>
        <w:szCs w:val="20"/>
      </w:rPr>
      <w:fldChar w:fldCharType="separate"/>
    </w:r>
    <w:r w:rsidR="00AD20A4">
      <w:rPr>
        <w:rFonts w:cs="Arial"/>
        <w:noProof/>
        <w:sz w:val="20"/>
        <w:szCs w:val="20"/>
      </w:rPr>
      <w:t>GLOSSARY OF TERMS AND DEFINITIONS</w:t>
    </w:r>
    <w:r w:rsidRPr="005F5976">
      <w:rPr>
        <w:rFonts w:cs="Arial"/>
        <w:noProof/>
        <w:sz w:val="20"/>
        <w:szCs w:val="20"/>
      </w:rPr>
      <w:fldChar w:fldCharType="end"/>
    </w:r>
    <w:r w:rsidRPr="005F5976">
      <w:rPr>
        <w:rFonts w:cs="Arial"/>
        <w:sz w:val="20"/>
        <w:szCs w:val="20"/>
      </w:rPr>
      <w:tab/>
    </w:r>
    <w:r w:rsidRPr="00442F5C">
      <w:rPr>
        <w:rFonts w:cs="Arial"/>
        <w:sz w:val="20"/>
        <w:szCs w:val="20"/>
      </w:rPr>
      <w:fldChar w:fldCharType="begin"/>
    </w:r>
    <w:r w:rsidRPr="00442F5C">
      <w:rPr>
        <w:rFonts w:cs="Arial"/>
        <w:sz w:val="20"/>
        <w:szCs w:val="20"/>
      </w:rPr>
      <w:instrText xml:space="preserve"> PAGE   \* MERGEFORMAT </w:instrText>
    </w:r>
    <w:r w:rsidRPr="00442F5C">
      <w:rPr>
        <w:rFonts w:cs="Arial"/>
        <w:sz w:val="20"/>
        <w:szCs w:val="20"/>
      </w:rPr>
      <w:fldChar w:fldCharType="separate"/>
    </w:r>
    <w:r w:rsidRPr="00442F5C">
      <w:rPr>
        <w:rFonts w:cs="Arial"/>
        <w:noProof/>
        <w:sz w:val="20"/>
        <w:szCs w:val="20"/>
      </w:rPr>
      <w:t>1</w:t>
    </w:r>
    <w:r w:rsidRPr="00442F5C">
      <w:rPr>
        <w:rFonts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F9F4B3" w14:textId="77777777" w:rsidR="007C2AEC" w:rsidRDefault="007C2AEC" w:rsidP="00482CA5">
      <w:pPr>
        <w:spacing w:after="0" w:line="240" w:lineRule="auto"/>
      </w:pPr>
      <w:r>
        <w:separator/>
      </w:r>
    </w:p>
  </w:footnote>
  <w:footnote w:type="continuationSeparator" w:id="0">
    <w:p w14:paraId="2CC02C96" w14:textId="77777777" w:rsidR="007C2AEC" w:rsidRDefault="007C2AEC" w:rsidP="00482CA5">
      <w:pPr>
        <w:spacing w:after="0" w:line="240" w:lineRule="auto"/>
      </w:pPr>
      <w:r>
        <w:continuationSeparator/>
      </w:r>
    </w:p>
  </w:footnote>
  <w:footnote w:type="continuationNotice" w:id="1">
    <w:p w14:paraId="0A89984A" w14:textId="77777777" w:rsidR="007C2AEC" w:rsidRDefault="007C2AEC">
      <w:pPr>
        <w:spacing w:after="0" w:line="240" w:lineRule="auto"/>
      </w:pPr>
    </w:p>
  </w:footnote>
  <w:footnote w:id="2">
    <w:p w14:paraId="1F6E4553" w14:textId="53852B85" w:rsidR="00B1545A" w:rsidRDefault="00B1545A" w:rsidP="00B1545A">
      <w:pPr>
        <w:autoSpaceDE w:val="0"/>
        <w:autoSpaceDN w:val="0"/>
        <w:adjustRightInd w:val="0"/>
        <w:spacing w:after="0" w:line="240" w:lineRule="auto"/>
        <w:jc w:val="left"/>
      </w:pPr>
      <w:r>
        <w:rPr>
          <w:rStyle w:val="FootnoteReference"/>
        </w:rPr>
        <w:footnoteRef/>
      </w:r>
      <w:r>
        <w:t xml:space="preserve"> </w:t>
      </w:r>
      <w:r>
        <w:rPr>
          <w:rFonts w:ascii="Times New Roman" w:hAnsi="Times New Roman" w:cs="Times New Roman"/>
          <w:kern w:val="0"/>
          <w:sz w:val="20"/>
          <w:szCs w:val="20"/>
        </w:rPr>
        <w:t xml:space="preserve">Census ACS Table B16001: Language Spoken at Home by Ability to Speak English for the Population 5 years and over (2014 1 year estimate </w:t>
      </w:r>
      <w:r>
        <w:rPr>
          <w:rFonts w:ascii="TimesNewRomanPSMT" w:hAnsi="TimesNewRomanPSMT" w:cs="TimesNewRomanPSMT"/>
          <w:kern w:val="0"/>
          <w:sz w:val="20"/>
          <w:szCs w:val="20"/>
        </w:rPr>
        <w:t xml:space="preserve">– </w:t>
      </w:r>
      <w:r>
        <w:rPr>
          <w:rFonts w:ascii="Times New Roman" w:hAnsi="Times New Roman" w:cs="Times New Roman"/>
          <w:kern w:val="0"/>
          <w:sz w:val="20"/>
          <w:szCs w:val="20"/>
        </w:rPr>
        <w:t>Houston City).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A36CA50"/>
    <w:lvl w:ilvl="0">
      <w:start w:val="1"/>
      <w:numFmt w:val="bullet"/>
      <w:pStyle w:val="ListBullet"/>
      <w:lvlText w:val=""/>
      <w:lvlJc w:val="left"/>
      <w:pPr>
        <w:tabs>
          <w:tab w:val="num" w:pos="5610"/>
        </w:tabs>
        <w:ind w:left="5610" w:hanging="360"/>
      </w:pPr>
      <w:rPr>
        <w:rFonts w:ascii="Symbol" w:hAnsi="Symbol" w:hint="default"/>
      </w:rPr>
    </w:lvl>
  </w:abstractNum>
  <w:abstractNum w:abstractNumId="1" w15:restartNumberingAfterBreak="0">
    <w:nsid w:val="001D0F69"/>
    <w:multiLevelType w:val="hybridMultilevel"/>
    <w:tmpl w:val="EE664A7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0C41C13"/>
    <w:multiLevelType w:val="hybridMultilevel"/>
    <w:tmpl w:val="5E82F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0E3186"/>
    <w:multiLevelType w:val="hybridMultilevel"/>
    <w:tmpl w:val="7D4C68DC"/>
    <w:lvl w:ilvl="0" w:tplc="FFFFFFFF">
      <w:start w:val="1"/>
      <w:numFmt w:val="decimal"/>
      <w:lvlText w:val="%1."/>
      <w:lvlJc w:val="left"/>
      <w:pPr>
        <w:ind w:left="1440" w:hanging="360"/>
      </w:pPr>
      <w:rPr>
        <w:rFonts w:hint="default"/>
      </w:rPr>
    </w:lvl>
    <w:lvl w:ilvl="1" w:tplc="04090017">
      <w:start w:val="1"/>
      <w:numFmt w:val="lowerLetter"/>
      <w:lvlText w:val="%2)"/>
      <w:lvlJc w:val="left"/>
      <w:pPr>
        <w:ind w:left="720" w:hanging="360"/>
      </w:pPr>
      <w:rPr>
        <w:rFonts w:hint="default"/>
        <w:b w:val="0"/>
        <w:bCs w:val="0"/>
        <w:color w:val="auto"/>
      </w:r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1746259"/>
    <w:multiLevelType w:val="hybridMultilevel"/>
    <w:tmpl w:val="8746F358"/>
    <w:lvl w:ilvl="0" w:tplc="FFFFFFF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1AA0FA5"/>
    <w:multiLevelType w:val="hybridMultilevel"/>
    <w:tmpl w:val="7AAED37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1C04288"/>
    <w:multiLevelType w:val="hybridMultilevel"/>
    <w:tmpl w:val="51F2372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1F261E6"/>
    <w:multiLevelType w:val="hybridMultilevel"/>
    <w:tmpl w:val="F8522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2325AC4"/>
    <w:multiLevelType w:val="hybridMultilevel"/>
    <w:tmpl w:val="A9861BAE"/>
    <w:lvl w:ilvl="0" w:tplc="FFFFFFFF">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start w:val="1"/>
      <w:numFmt w:val="decimal"/>
      <w:lvlText w:val="%3."/>
      <w:lvlJc w:val="left"/>
      <w:pPr>
        <w:ind w:left="360" w:hanging="360"/>
      </w:pPr>
    </w:lvl>
    <w:lvl w:ilvl="3" w:tplc="04090017">
      <w:start w:val="1"/>
      <w:numFmt w:val="lowerLetter"/>
      <w:lvlText w:val="%4)"/>
      <w:lvlJc w:val="left"/>
      <w:pPr>
        <w:ind w:left="144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2971A3B"/>
    <w:multiLevelType w:val="hybridMultilevel"/>
    <w:tmpl w:val="FD9E5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444459E"/>
    <w:multiLevelType w:val="hybridMultilevel"/>
    <w:tmpl w:val="1180AC34"/>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45A2DED"/>
    <w:multiLevelType w:val="hybridMultilevel"/>
    <w:tmpl w:val="6F40570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4FA1EA0"/>
    <w:multiLevelType w:val="hybridMultilevel"/>
    <w:tmpl w:val="248EB764"/>
    <w:lvl w:ilvl="0" w:tplc="1F22C37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52A4B06"/>
    <w:multiLevelType w:val="hybridMultilevel"/>
    <w:tmpl w:val="8B9C4D18"/>
    <w:lvl w:ilvl="0" w:tplc="FFFFFFFF">
      <w:start w:val="1"/>
      <w:numFmt w:val="bullet"/>
      <w:lvlText w:val=""/>
      <w:lvlJc w:val="left"/>
      <w:pPr>
        <w:ind w:left="720" w:hanging="360"/>
      </w:pPr>
      <w:rPr>
        <w:rFonts w:ascii="Symbol" w:hAnsi="Symbol" w:hint="default"/>
      </w:rPr>
    </w:lvl>
    <w:lvl w:ilvl="1" w:tplc="04090017">
      <w:start w:val="1"/>
      <w:numFmt w:val="lowerLetter"/>
      <w:lvlText w:val="%2)"/>
      <w:lvlJc w:val="left"/>
      <w:pPr>
        <w:ind w:left="720" w:hanging="360"/>
      </w:pPr>
      <w:rPr>
        <w:rFonts w:hint="default"/>
        <w:b w:val="0"/>
        <w:bCs w:val="0"/>
        <w:color w:val="auto"/>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053D311C"/>
    <w:multiLevelType w:val="hybridMultilevel"/>
    <w:tmpl w:val="92E279D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055D00B0"/>
    <w:multiLevelType w:val="hybridMultilevel"/>
    <w:tmpl w:val="96B28FC6"/>
    <w:lvl w:ilvl="0" w:tplc="04090001">
      <w:start w:val="1"/>
      <w:numFmt w:val="bullet"/>
      <w:lvlText w:val=""/>
      <w:lvlJc w:val="left"/>
      <w:pPr>
        <w:ind w:left="720" w:hanging="360"/>
      </w:pPr>
      <w:rPr>
        <w:rFonts w:ascii="Symbol" w:hAnsi="Symbol" w:hint="default"/>
        <w:color w:val="auto"/>
        <w:sz w:val="20"/>
        <w:szCs w:val="20"/>
      </w:rPr>
    </w:lvl>
    <w:lvl w:ilvl="1" w:tplc="FFFFFFFF">
      <w:start w:val="1"/>
      <w:numFmt w:val="bullet"/>
      <w:lvlText w:val="o"/>
      <w:lvlJc w:val="left"/>
      <w:pPr>
        <w:ind w:left="1440" w:hanging="360"/>
      </w:pPr>
      <w:rPr>
        <w:rFonts w:ascii="Times New Roman" w:hAnsi="Times New Roman" w:cs="Times New Roman" w:hint="default"/>
        <w:sz w:val="20"/>
        <w:szCs w:val="2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05AD5CE2"/>
    <w:multiLevelType w:val="hybridMultilevel"/>
    <w:tmpl w:val="1FF8B40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063D094C"/>
    <w:multiLevelType w:val="hybridMultilevel"/>
    <w:tmpl w:val="5374E2C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069C36DE"/>
    <w:multiLevelType w:val="hybridMultilevel"/>
    <w:tmpl w:val="8DC43152"/>
    <w:lvl w:ilvl="0" w:tplc="60B0BB4C">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739339C"/>
    <w:multiLevelType w:val="hybridMultilevel"/>
    <w:tmpl w:val="E446E9C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07920A1D"/>
    <w:multiLevelType w:val="hybridMultilevel"/>
    <w:tmpl w:val="79229E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8747C49"/>
    <w:multiLevelType w:val="hybridMultilevel"/>
    <w:tmpl w:val="8CF29C7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09287A8F"/>
    <w:multiLevelType w:val="hybridMultilevel"/>
    <w:tmpl w:val="C35EA6D2"/>
    <w:lvl w:ilvl="0" w:tplc="40E29440">
      <w:start w:val="1"/>
      <w:numFmt w:val="decimal"/>
      <w:lvlText w:val="%1."/>
      <w:lvlJc w:val="left"/>
      <w:pPr>
        <w:ind w:left="1440" w:hanging="360"/>
      </w:pPr>
      <w:rPr>
        <w:rFonts w:ascii="Arial" w:eastAsia="Calibri" w:hAnsi="Arial" w:cs="Arial" w:hint="default"/>
        <w:w w:val="100"/>
        <w:sz w:val="22"/>
        <w:szCs w:val="22"/>
        <w:lang w:val="en-US" w:eastAsia="en-US" w:bidi="en-U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0965108E"/>
    <w:multiLevelType w:val="hybridMultilevel"/>
    <w:tmpl w:val="27E62B18"/>
    <w:lvl w:ilvl="0" w:tplc="B09E0A8E">
      <w:start w:val="1"/>
      <w:numFmt w:val="decimal"/>
      <w:lvlText w:val="%1."/>
      <w:lvlJc w:val="left"/>
      <w:pPr>
        <w:ind w:left="2078" w:hanging="360"/>
      </w:pPr>
      <w:rPr>
        <w:rFonts w:ascii="Arial" w:eastAsia="Calibri" w:hAnsi="Arial" w:cs="Arial" w:hint="default"/>
        <w:spacing w:val="-2"/>
        <w:w w:val="100"/>
        <w:sz w:val="22"/>
        <w:szCs w:val="22"/>
        <w:lang w:val="en-US" w:eastAsia="en-US" w:bidi="en-US"/>
      </w:rPr>
    </w:lvl>
    <w:lvl w:ilvl="1" w:tplc="B566A3E2">
      <w:start w:val="1"/>
      <w:numFmt w:val="lowerLetter"/>
      <w:lvlText w:val="%2."/>
      <w:lvlJc w:val="left"/>
      <w:pPr>
        <w:ind w:left="2438" w:hanging="361"/>
      </w:pPr>
      <w:rPr>
        <w:rFonts w:ascii="Arial" w:eastAsia="Calibri" w:hAnsi="Arial" w:cs="Arial" w:hint="default"/>
        <w:spacing w:val="-1"/>
        <w:w w:val="100"/>
        <w:sz w:val="22"/>
        <w:szCs w:val="22"/>
        <w:lang w:val="en-US" w:eastAsia="en-US" w:bidi="en-US"/>
      </w:rPr>
    </w:lvl>
    <w:lvl w:ilvl="2" w:tplc="CAC8F012">
      <w:numFmt w:val="bullet"/>
      <w:lvlText w:val="•"/>
      <w:lvlJc w:val="left"/>
      <w:pPr>
        <w:ind w:left="3508" w:hanging="361"/>
      </w:pPr>
      <w:rPr>
        <w:lang w:val="en-US" w:eastAsia="en-US" w:bidi="en-US"/>
      </w:rPr>
    </w:lvl>
    <w:lvl w:ilvl="3" w:tplc="6B1A6342">
      <w:numFmt w:val="bullet"/>
      <w:lvlText w:val="•"/>
      <w:lvlJc w:val="left"/>
      <w:pPr>
        <w:ind w:left="4577" w:hanging="361"/>
      </w:pPr>
      <w:rPr>
        <w:lang w:val="en-US" w:eastAsia="en-US" w:bidi="en-US"/>
      </w:rPr>
    </w:lvl>
    <w:lvl w:ilvl="4" w:tplc="4AC0F4E0">
      <w:numFmt w:val="bullet"/>
      <w:lvlText w:val="•"/>
      <w:lvlJc w:val="left"/>
      <w:pPr>
        <w:ind w:left="5646" w:hanging="361"/>
      </w:pPr>
      <w:rPr>
        <w:lang w:val="en-US" w:eastAsia="en-US" w:bidi="en-US"/>
      </w:rPr>
    </w:lvl>
    <w:lvl w:ilvl="5" w:tplc="FEF45C4C">
      <w:numFmt w:val="bullet"/>
      <w:lvlText w:val="•"/>
      <w:lvlJc w:val="left"/>
      <w:pPr>
        <w:ind w:left="6715" w:hanging="361"/>
      </w:pPr>
      <w:rPr>
        <w:lang w:val="en-US" w:eastAsia="en-US" w:bidi="en-US"/>
      </w:rPr>
    </w:lvl>
    <w:lvl w:ilvl="6" w:tplc="58EA868A">
      <w:numFmt w:val="bullet"/>
      <w:lvlText w:val="•"/>
      <w:lvlJc w:val="left"/>
      <w:pPr>
        <w:ind w:left="7784" w:hanging="361"/>
      </w:pPr>
      <w:rPr>
        <w:lang w:val="en-US" w:eastAsia="en-US" w:bidi="en-US"/>
      </w:rPr>
    </w:lvl>
    <w:lvl w:ilvl="7" w:tplc="C48CA4B2">
      <w:numFmt w:val="bullet"/>
      <w:lvlText w:val="•"/>
      <w:lvlJc w:val="left"/>
      <w:pPr>
        <w:ind w:left="8853" w:hanging="361"/>
      </w:pPr>
      <w:rPr>
        <w:lang w:val="en-US" w:eastAsia="en-US" w:bidi="en-US"/>
      </w:rPr>
    </w:lvl>
    <w:lvl w:ilvl="8" w:tplc="C4F44BFE">
      <w:numFmt w:val="bullet"/>
      <w:lvlText w:val="•"/>
      <w:lvlJc w:val="left"/>
      <w:pPr>
        <w:ind w:left="9922" w:hanging="361"/>
      </w:pPr>
      <w:rPr>
        <w:lang w:val="en-US" w:eastAsia="en-US" w:bidi="en-US"/>
      </w:rPr>
    </w:lvl>
  </w:abstractNum>
  <w:abstractNum w:abstractNumId="24" w15:restartNumberingAfterBreak="0">
    <w:nsid w:val="09D26693"/>
    <w:multiLevelType w:val="hybridMultilevel"/>
    <w:tmpl w:val="C8D4F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A1151C3"/>
    <w:multiLevelType w:val="hybridMultilevel"/>
    <w:tmpl w:val="76FC45E0"/>
    <w:lvl w:ilvl="0" w:tplc="04090001">
      <w:start w:val="1"/>
      <w:numFmt w:val="bullet"/>
      <w:lvlText w:val=""/>
      <w:lvlJc w:val="left"/>
      <w:pPr>
        <w:tabs>
          <w:tab w:val="num" w:pos="360"/>
        </w:tabs>
        <w:ind w:left="360" w:hanging="360"/>
      </w:pPr>
      <w:rPr>
        <w:rFonts w:ascii="Symbol" w:hAnsi="Symbol" w:hint="default"/>
        <w:strike w:val="0"/>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0ABA3B11"/>
    <w:multiLevelType w:val="hybridMultilevel"/>
    <w:tmpl w:val="3F6EB0F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0AE7003F"/>
    <w:multiLevelType w:val="hybridMultilevel"/>
    <w:tmpl w:val="345C0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B3C1F4F"/>
    <w:multiLevelType w:val="hybridMultilevel"/>
    <w:tmpl w:val="B6EC0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BC11D49"/>
    <w:multiLevelType w:val="hybridMultilevel"/>
    <w:tmpl w:val="89261DC8"/>
    <w:lvl w:ilvl="0" w:tplc="1D1E654C">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0C374A0A"/>
    <w:multiLevelType w:val="hybridMultilevel"/>
    <w:tmpl w:val="8FE498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0C6656A5"/>
    <w:multiLevelType w:val="hybridMultilevel"/>
    <w:tmpl w:val="8EF4B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C9157F0"/>
    <w:multiLevelType w:val="hybridMultilevel"/>
    <w:tmpl w:val="1FF8B40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0D9718EF"/>
    <w:multiLevelType w:val="hybridMultilevel"/>
    <w:tmpl w:val="F2487402"/>
    <w:lvl w:ilvl="0" w:tplc="FFFFFFFF">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0409000F">
      <w:start w:val="1"/>
      <w:numFmt w:val="decimal"/>
      <w:lvlText w:val="%3."/>
      <w:lvlJc w:val="left"/>
      <w:pPr>
        <w:ind w:left="36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0DCB5F89"/>
    <w:multiLevelType w:val="hybridMultilevel"/>
    <w:tmpl w:val="6BF656AA"/>
    <w:lvl w:ilvl="0" w:tplc="FFFFFFFF">
      <w:numFmt w:val="bullet"/>
      <w:pStyle w:val="Level2Bullet"/>
      <w:lvlText w:val="▪"/>
      <w:lvlJc w:val="left"/>
      <w:pPr>
        <w:tabs>
          <w:tab w:val="num" w:pos="1080"/>
        </w:tabs>
        <w:ind w:left="1080" w:hanging="360"/>
      </w:pPr>
      <w:rPr>
        <w:rFonts w:ascii="Times New Roman" w:eastAsia="Times New Roman" w:hAnsi="Times New Roman" w:cs="Times New Roman" w:hint="default"/>
        <w:color w:val="auto"/>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0DFB796D"/>
    <w:multiLevelType w:val="hybridMultilevel"/>
    <w:tmpl w:val="6E96D88A"/>
    <w:lvl w:ilvl="0" w:tplc="FFFFFFFF">
      <w:start w:val="1"/>
      <w:numFmt w:val="decimal"/>
      <w:lvlText w:val="%1."/>
      <w:lvlJc w:val="left"/>
      <w:pPr>
        <w:tabs>
          <w:tab w:val="num" w:pos="360"/>
        </w:tabs>
        <w:ind w:left="360" w:hanging="360"/>
      </w:pPr>
      <w:rPr>
        <w:rFonts w:hint="default"/>
        <w:strike w:val="0"/>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0E197AAA"/>
    <w:multiLevelType w:val="hybridMultilevel"/>
    <w:tmpl w:val="1F2E83C2"/>
    <w:lvl w:ilvl="0" w:tplc="8FB0D92E">
      <w:start w:val="1"/>
      <w:numFmt w:val="decimal"/>
      <w:lvlText w:val="%1."/>
      <w:lvlJc w:val="left"/>
      <w:pPr>
        <w:ind w:left="720" w:hanging="360"/>
      </w:pPr>
      <w:rPr>
        <w:rFonts w:cs="Times New Roman"/>
        <w:snapToGrid/>
        <w:w w:val="105"/>
        <w:sz w:val="22"/>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E2313B9"/>
    <w:multiLevelType w:val="hybridMultilevel"/>
    <w:tmpl w:val="7EE46180"/>
    <w:lvl w:ilvl="0" w:tplc="94E46E88">
      <w:start w:val="1"/>
      <w:numFmt w:val="bullet"/>
      <w:pStyle w:val="Bullet1"/>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0F6671C6"/>
    <w:multiLevelType w:val="hybridMultilevel"/>
    <w:tmpl w:val="61E859CA"/>
    <w:lvl w:ilvl="0" w:tplc="FFFFFFFF">
      <w:start w:val="1"/>
      <w:numFmt w:val="lowerRoman"/>
      <w:lvlText w:val="%1."/>
      <w:lvlJc w:val="right"/>
      <w:pPr>
        <w:ind w:left="2339" w:hanging="360"/>
      </w:pPr>
    </w:lvl>
    <w:lvl w:ilvl="1" w:tplc="FFFFFFFF">
      <w:start w:val="1"/>
      <w:numFmt w:val="lowerLetter"/>
      <w:lvlText w:val="%2."/>
      <w:lvlJc w:val="left"/>
      <w:pPr>
        <w:ind w:left="3059" w:hanging="360"/>
      </w:pPr>
    </w:lvl>
    <w:lvl w:ilvl="2" w:tplc="FFFFFFFF">
      <w:start w:val="1"/>
      <w:numFmt w:val="lowerRoman"/>
      <w:lvlText w:val="%3."/>
      <w:lvlJc w:val="right"/>
      <w:pPr>
        <w:ind w:left="3779" w:hanging="180"/>
      </w:pPr>
    </w:lvl>
    <w:lvl w:ilvl="3" w:tplc="FFFFFFFF" w:tentative="1">
      <w:start w:val="1"/>
      <w:numFmt w:val="decimal"/>
      <w:lvlText w:val="%4."/>
      <w:lvlJc w:val="left"/>
      <w:pPr>
        <w:ind w:left="4499" w:hanging="360"/>
      </w:pPr>
    </w:lvl>
    <w:lvl w:ilvl="4" w:tplc="FFFFFFFF" w:tentative="1">
      <w:start w:val="1"/>
      <w:numFmt w:val="lowerLetter"/>
      <w:lvlText w:val="%5."/>
      <w:lvlJc w:val="left"/>
      <w:pPr>
        <w:ind w:left="5219" w:hanging="360"/>
      </w:pPr>
    </w:lvl>
    <w:lvl w:ilvl="5" w:tplc="FFFFFFFF" w:tentative="1">
      <w:start w:val="1"/>
      <w:numFmt w:val="lowerRoman"/>
      <w:lvlText w:val="%6."/>
      <w:lvlJc w:val="right"/>
      <w:pPr>
        <w:ind w:left="5939" w:hanging="180"/>
      </w:pPr>
    </w:lvl>
    <w:lvl w:ilvl="6" w:tplc="FFFFFFFF" w:tentative="1">
      <w:start w:val="1"/>
      <w:numFmt w:val="decimal"/>
      <w:lvlText w:val="%7."/>
      <w:lvlJc w:val="left"/>
      <w:pPr>
        <w:ind w:left="6659" w:hanging="360"/>
      </w:pPr>
    </w:lvl>
    <w:lvl w:ilvl="7" w:tplc="FFFFFFFF" w:tentative="1">
      <w:start w:val="1"/>
      <w:numFmt w:val="lowerLetter"/>
      <w:lvlText w:val="%8."/>
      <w:lvlJc w:val="left"/>
      <w:pPr>
        <w:ind w:left="7379" w:hanging="360"/>
      </w:pPr>
    </w:lvl>
    <w:lvl w:ilvl="8" w:tplc="FFFFFFFF" w:tentative="1">
      <w:start w:val="1"/>
      <w:numFmt w:val="lowerRoman"/>
      <w:lvlText w:val="%9."/>
      <w:lvlJc w:val="right"/>
      <w:pPr>
        <w:ind w:left="8099" w:hanging="180"/>
      </w:pPr>
    </w:lvl>
  </w:abstractNum>
  <w:abstractNum w:abstractNumId="39" w15:restartNumberingAfterBreak="0">
    <w:nsid w:val="0FEB708C"/>
    <w:multiLevelType w:val="hybridMultilevel"/>
    <w:tmpl w:val="EAF43A40"/>
    <w:lvl w:ilvl="0" w:tplc="04090001">
      <w:start w:val="1"/>
      <w:numFmt w:val="bullet"/>
      <w:lvlText w:val=""/>
      <w:lvlJc w:val="left"/>
      <w:pPr>
        <w:tabs>
          <w:tab w:val="num" w:pos="360"/>
        </w:tabs>
        <w:ind w:left="360" w:hanging="360"/>
      </w:pPr>
      <w:rPr>
        <w:rFonts w:ascii="Symbol" w:hAnsi="Symbol" w:hint="default"/>
        <w:strike w:val="0"/>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10B5204B"/>
    <w:multiLevelType w:val="hybridMultilevel"/>
    <w:tmpl w:val="8258F73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10C4735B"/>
    <w:multiLevelType w:val="hybridMultilevel"/>
    <w:tmpl w:val="6B062354"/>
    <w:lvl w:ilvl="0" w:tplc="FFFFFFFF">
      <w:start w:val="1"/>
      <w:numFmt w:val="decimal"/>
      <w:lvlText w:val="%1."/>
      <w:lvlJc w:val="left"/>
      <w:pPr>
        <w:ind w:left="720"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111033C9"/>
    <w:multiLevelType w:val="hybridMultilevel"/>
    <w:tmpl w:val="E3C830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1AA6A27"/>
    <w:multiLevelType w:val="hybridMultilevel"/>
    <w:tmpl w:val="35324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1C306D6"/>
    <w:multiLevelType w:val="hybridMultilevel"/>
    <w:tmpl w:val="EAAA04A2"/>
    <w:lvl w:ilvl="0" w:tplc="04090001">
      <w:start w:val="1"/>
      <w:numFmt w:val="bullet"/>
      <w:lvlText w:val=""/>
      <w:lvlJc w:val="left"/>
      <w:pPr>
        <w:ind w:left="827" w:hanging="360"/>
      </w:pPr>
      <w:rPr>
        <w:rFonts w:ascii="Symbol" w:hAnsi="Symbol" w:hint="default"/>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45" w15:restartNumberingAfterBreak="0">
    <w:nsid w:val="12904D2C"/>
    <w:multiLevelType w:val="hybridMultilevel"/>
    <w:tmpl w:val="EA24F0C6"/>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12D34CDC"/>
    <w:multiLevelType w:val="hybridMultilevel"/>
    <w:tmpl w:val="9C98F714"/>
    <w:lvl w:ilvl="0" w:tplc="FFFFFFFF">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start w:val="1"/>
      <w:numFmt w:val="decimal"/>
      <w:lvlText w:val="%3."/>
      <w:lvlJc w:val="left"/>
      <w:pPr>
        <w:ind w:left="360" w:hanging="360"/>
      </w:pPr>
    </w:lvl>
    <w:lvl w:ilvl="3" w:tplc="04090017">
      <w:start w:val="1"/>
      <w:numFmt w:val="lowerLetter"/>
      <w:lvlText w:val="%4)"/>
      <w:lvlJc w:val="left"/>
      <w:pPr>
        <w:ind w:left="144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13101223"/>
    <w:multiLevelType w:val="hybridMultilevel"/>
    <w:tmpl w:val="CA606744"/>
    <w:lvl w:ilvl="0" w:tplc="FFFFFFFF">
      <w:start w:val="1"/>
      <w:numFmt w:val="bullet"/>
      <w:lvlText w:val=""/>
      <w:lvlJc w:val="left"/>
      <w:pPr>
        <w:ind w:left="770" w:hanging="360"/>
      </w:pPr>
      <w:rPr>
        <w:rFonts w:ascii="Symbol" w:hAnsi="Symbol" w:hint="default"/>
      </w:rPr>
    </w:lvl>
    <w:lvl w:ilvl="1" w:tplc="04090017">
      <w:start w:val="1"/>
      <w:numFmt w:val="lowerLetter"/>
      <w:lvlText w:val="%2)"/>
      <w:lvlJc w:val="left"/>
      <w:pPr>
        <w:ind w:left="1440" w:hanging="360"/>
      </w:p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48" w15:restartNumberingAfterBreak="0">
    <w:nsid w:val="131E22AF"/>
    <w:multiLevelType w:val="hybridMultilevel"/>
    <w:tmpl w:val="C33A0F6A"/>
    <w:lvl w:ilvl="0" w:tplc="04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9" w15:restartNumberingAfterBreak="0">
    <w:nsid w:val="1491217E"/>
    <w:multiLevelType w:val="hybridMultilevel"/>
    <w:tmpl w:val="CC9C0EF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F7B0BCDC">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14AE1CA1"/>
    <w:multiLevelType w:val="hybridMultilevel"/>
    <w:tmpl w:val="1902CB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151F780B"/>
    <w:multiLevelType w:val="hybridMultilevel"/>
    <w:tmpl w:val="36FE2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525529F"/>
    <w:multiLevelType w:val="hybridMultilevel"/>
    <w:tmpl w:val="1BFCFFB2"/>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3" w15:restartNumberingAfterBreak="0">
    <w:nsid w:val="157270B2"/>
    <w:multiLevelType w:val="hybridMultilevel"/>
    <w:tmpl w:val="008E7E2E"/>
    <w:lvl w:ilvl="0" w:tplc="FFFFFFFF">
      <w:start w:val="1"/>
      <w:numFmt w:val="upperLetter"/>
      <w:lvlText w:val="%1."/>
      <w:lvlJc w:val="left"/>
      <w:pPr>
        <w:ind w:left="520" w:hanging="360"/>
      </w:pPr>
      <w:rPr>
        <w:rFonts w:ascii="Calibri" w:eastAsia="Calibri" w:hAnsi="Calibri" w:cs="Calibri" w:hint="default"/>
        <w:b/>
        <w:bCs/>
        <w:w w:val="100"/>
        <w:sz w:val="22"/>
        <w:szCs w:val="22"/>
        <w:lang w:val="en-US" w:eastAsia="en-US" w:bidi="en-US"/>
      </w:rPr>
    </w:lvl>
    <w:lvl w:ilvl="1" w:tplc="FFFFFFFF">
      <w:start w:val="1"/>
      <w:numFmt w:val="decimal"/>
      <w:lvlText w:val="%2."/>
      <w:lvlJc w:val="left"/>
      <w:pPr>
        <w:ind w:left="880" w:hanging="360"/>
      </w:pPr>
      <w:rPr>
        <w:rFonts w:ascii="Calibri" w:eastAsia="Calibri" w:hAnsi="Calibri" w:cs="Calibri" w:hint="default"/>
        <w:w w:val="100"/>
        <w:sz w:val="22"/>
        <w:szCs w:val="22"/>
        <w:lang w:val="en-US" w:eastAsia="en-US" w:bidi="en-US"/>
      </w:rPr>
    </w:lvl>
    <w:lvl w:ilvl="2" w:tplc="04090001">
      <w:start w:val="1"/>
      <w:numFmt w:val="bullet"/>
      <w:lvlText w:val=""/>
      <w:lvlJc w:val="left"/>
      <w:pPr>
        <w:ind w:left="720" w:hanging="360"/>
      </w:pPr>
      <w:rPr>
        <w:rFonts w:ascii="Symbol" w:hAnsi="Symbol" w:hint="default"/>
      </w:rPr>
    </w:lvl>
    <w:lvl w:ilvl="3" w:tplc="FFFFFFFF">
      <w:start w:val="1"/>
      <w:numFmt w:val="decimal"/>
      <w:lvlText w:val="%4."/>
      <w:lvlJc w:val="left"/>
      <w:pPr>
        <w:ind w:left="1600" w:hanging="360"/>
      </w:pPr>
      <w:rPr>
        <w:rFonts w:ascii="Calibri" w:eastAsia="Calibri" w:hAnsi="Calibri" w:cs="Calibri" w:hint="default"/>
        <w:w w:val="100"/>
        <w:sz w:val="22"/>
        <w:szCs w:val="22"/>
        <w:lang w:val="en-US" w:eastAsia="en-US" w:bidi="en-US"/>
      </w:rPr>
    </w:lvl>
    <w:lvl w:ilvl="4" w:tplc="FFFFFFFF">
      <w:numFmt w:val="bullet"/>
      <w:lvlText w:val="•"/>
      <w:lvlJc w:val="left"/>
      <w:pPr>
        <w:ind w:left="2765" w:hanging="360"/>
      </w:pPr>
      <w:rPr>
        <w:rFonts w:hint="default"/>
        <w:lang w:val="en-US" w:eastAsia="en-US" w:bidi="en-US"/>
      </w:rPr>
    </w:lvl>
    <w:lvl w:ilvl="5" w:tplc="FFFFFFFF">
      <w:numFmt w:val="bullet"/>
      <w:lvlText w:val="•"/>
      <w:lvlJc w:val="left"/>
      <w:pPr>
        <w:ind w:left="3931" w:hanging="360"/>
      </w:pPr>
      <w:rPr>
        <w:rFonts w:hint="default"/>
        <w:lang w:val="en-US" w:eastAsia="en-US" w:bidi="en-US"/>
      </w:rPr>
    </w:lvl>
    <w:lvl w:ilvl="6" w:tplc="FFFFFFFF">
      <w:numFmt w:val="bullet"/>
      <w:lvlText w:val="•"/>
      <w:lvlJc w:val="left"/>
      <w:pPr>
        <w:ind w:left="5097" w:hanging="360"/>
      </w:pPr>
      <w:rPr>
        <w:rFonts w:hint="default"/>
        <w:lang w:val="en-US" w:eastAsia="en-US" w:bidi="en-US"/>
      </w:rPr>
    </w:lvl>
    <w:lvl w:ilvl="7" w:tplc="FFFFFFFF">
      <w:numFmt w:val="bullet"/>
      <w:lvlText w:val="•"/>
      <w:lvlJc w:val="left"/>
      <w:pPr>
        <w:ind w:left="6262" w:hanging="360"/>
      </w:pPr>
      <w:rPr>
        <w:rFonts w:hint="default"/>
        <w:lang w:val="en-US" w:eastAsia="en-US" w:bidi="en-US"/>
      </w:rPr>
    </w:lvl>
    <w:lvl w:ilvl="8" w:tplc="FFFFFFFF">
      <w:numFmt w:val="bullet"/>
      <w:lvlText w:val="•"/>
      <w:lvlJc w:val="left"/>
      <w:pPr>
        <w:ind w:left="7428" w:hanging="360"/>
      </w:pPr>
      <w:rPr>
        <w:rFonts w:hint="default"/>
        <w:lang w:val="en-US" w:eastAsia="en-US" w:bidi="en-US"/>
      </w:rPr>
    </w:lvl>
  </w:abstractNum>
  <w:abstractNum w:abstractNumId="54" w15:restartNumberingAfterBreak="0">
    <w:nsid w:val="1576146F"/>
    <w:multiLevelType w:val="hybridMultilevel"/>
    <w:tmpl w:val="2BFCF036"/>
    <w:lvl w:ilvl="0" w:tplc="FFFFFFFF">
      <w:start w:val="1"/>
      <w:numFmt w:val="decimal"/>
      <w:lvlText w:val="%1."/>
      <w:lvlJc w:val="left"/>
      <w:pPr>
        <w:ind w:left="36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159A6055"/>
    <w:multiLevelType w:val="hybridMultilevel"/>
    <w:tmpl w:val="00C49CC6"/>
    <w:lvl w:ilvl="0" w:tplc="04090001">
      <w:start w:val="1"/>
      <w:numFmt w:val="bullet"/>
      <w:lvlText w:val=""/>
      <w:lvlJc w:val="left"/>
      <w:pPr>
        <w:ind w:left="720" w:hanging="360"/>
      </w:pPr>
      <w:rPr>
        <w:rFonts w:ascii="Symbol" w:hAnsi="Symbol" w:hint="default"/>
        <w:color w:val="auto"/>
        <w:sz w:val="20"/>
        <w:szCs w:val="20"/>
      </w:rPr>
    </w:lvl>
    <w:lvl w:ilvl="1" w:tplc="FFFFFFFF">
      <w:start w:val="1"/>
      <w:numFmt w:val="bullet"/>
      <w:lvlText w:val="o"/>
      <w:lvlJc w:val="left"/>
      <w:pPr>
        <w:ind w:left="1440" w:hanging="360"/>
      </w:pPr>
      <w:rPr>
        <w:rFonts w:ascii="Times New Roman" w:hAnsi="Times New Roman" w:cs="Times New Roman" w:hint="default"/>
        <w:sz w:val="20"/>
        <w:szCs w:val="2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16626FB4"/>
    <w:multiLevelType w:val="hybridMultilevel"/>
    <w:tmpl w:val="85DA6D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16F86562"/>
    <w:multiLevelType w:val="hybridMultilevel"/>
    <w:tmpl w:val="38E632E4"/>
    <w:lvl w:ilvl="0" w:tplc="04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182156AE"/>
    <w:multiLevelType w:val="hybridMultilevel"/>
    <w:tmpl w:val="2FD8D464"/>
    <w:lvl w:ilvl="0" w:tplc="04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188267CD"/>
    <w:multiLevelType w:val="hybridMultilevel"/>
    <w:tmpl w:val="C15677E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18860134"/>
    <w:multiLevelType w:val="hybridMultilevel"/>
    <w:tmpl w:val="98FC99DE"/>
    <w:lvl w:ilvl="0" w:tplc="FFFFFFFF">
      <w:start w:val="1"/>
      <w:numFmt w:val="decimal"/>
      <w:lvlText w:val="%1."/>
      <w:lvlJc w:val="left"/>
      <w:pPr>
        <w:ind w:left="1080" w:hanging="360"/>
      </w:pPr>
    </w:lvl>
    <w:lvl w:ilvl="1" w:tplc="0409000F">
      <w:start w:val="1"/>
      <w:numFmt w:val="decimal"/>
      <w:lvlText w:val="%2."/>
      <w:lvlJc w:val="left"/>
      <w:pPr>
        <w:ind w:left="72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1" w15:restartNumberingAfterBreak="0">
    <w:nsid w:val="18FF35C0"/>
    <w:multiLevelType w:val="hybridMultilevel"/>
    <w:tmpl w:val="9CEA680E"/>
    <w:lvl w:ilvl="0" w:tplc="FFFFFFFF">
      <w:start w:val="1"/>
      <w:numFmt w:val="decimal"/>
      <w:lvlText w:val="%1."/>
      <w:lvlJc w:val="left"/>
      <w:pPr>
        <w:ind w:left="720" w:hanging="360"/>
      </w:pPr>
      <w:rPr>
        <w:rFonts w:cs="Arial" w:hint="default"/>
        <w:strike w:val="0"/>
        <w:color w:val="auto"/>
      </w:rPr>
    </w:lvl>
    <w:lvl w:ilvl="1" w:tplc="FFFFFFFF">
      <w:start w:val="1"/>
      <w:numFmt w:val="lowerLetter"/>
      <w:lvlText w:val="%2."/>
      <w:lvlJc w:val="left"/>
      <w:pPr>
        <w:ind w:left="1440" w:hanging="360"/>
      </w:pPr>
      <w:rPr>
        <w:strik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190B655C"/>
    <w:multiLevelType w:val="hybridMultilevel"/>
    <w:tmpl w:val="EAFC7C2E"/>
    <w:lvl w:ilvl="0" w:tplc="68E47000">
      <w:start w:val="1"/>
      <w:numFmt w:val="decimal"/>
      <w:lvlText w:val="%1."/>
      <w:lvlJc w:val="left"/>
      <w:pPr>
        <w:tabs>
          <w:tab w:val="num" w:pos="720"/>
        </w:tabs>
        <w:ind w:left="720" w:hanging="360"/>
      </w:pPr>
      <w:rPr>
        <w:rFonts w:hint="default"/>
        <w:b w:val="0"/>
        <w:bCs w:val="0"/>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19186E0C"/>
    <w:multiLevelType w:val="hybridMultilevel"/>
    <w:tmpl w:val="1FF8B40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19C67FFB"/>
    <w:multiLevelType w:val="hybridMultilevel"/>
    <w:tmpl w:val="41BC5C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1A4636BF"/>
    <w:multiLevelType w:val="hybridMultilevel"/>
    <w:tmpl w:val="7A267C1A"/>
    <w:lvl w:ilvl="0" w:tplc="04090001">
      <w:start w:val="1"/>
      <w:numFmt w:val="bullet"/>
      <w:lvlText w:val=""/>
      <w:lvlJc w:val="left"/>
      <w:pPr>
        <w:ind w:left="720" w:hanging="360"/>
      </w:pPr>
      <w:rPr>
        <w:rFonts w:ascii="Symbol" w:hAnsi="Symbol" w:hint="default"/>
        <w:color w:val="auto"/>
        <w:sz w:val="20"/>
        <w:szCs w:val="20"/>
      </w:rPr>
    </w:lvl>
    <w:lvl w:ilvl="1" w:tplc="FFFFFFFF">
      <w:start w:val="1"/>
      <w:numFmt w:val="bullet"/>
      <w:lvlText w:val="o"/>
      <w:lvlJc w:val="left"/>
      <w:pPr>
        <w:ind w:left="1440" w:hanging="360"/>
      </w:pPr>
      <w:rPr>
        <w:rFonts w:ascii="Times New Roman" w:hAnsi="Times New Roman" w:cs="Times New Roman" w:hint="default"/>
        <w:sz w:val="20"/>
        <w:szCs w:val="2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1A806870"/>
    <w:multiLevelType w:val="hybridMultilevel"/>
    <w:tmpl w:val="58C022FA"/>
    <w:lvl w:ilvl="0" w:tplc="0409001B">
      <w:start w:val="1"/>
      <w:numFmt w:val="lowerRoman"/>
      <w:lvlText w:val="%1."/>
      <w:lvlJc w:val="righ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7" w15:restartNumberingAfterBreak="0">
    <w:nsid w:val="1BC512FB"/>
    <w:multiLevelType w:val="hybridMultilevel"/>
    <w:tmpl w:val="AA506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1BF955D5"/>
    <w:multiLevelType w:val="hybridMultilevel"/>
    <w:tmpl w:val="2BFCF036"/>
    <w:lvl w:ilvl="0" w:tplc="FFFFFFFF">
      <w:start w:val="1"/>
      <w:numFmt w:val="decimal"/>
      <w:lvlText w:val="%1."/>
      <w:lvlJc w:val="left"/>
      <w:pPr>
        <w:ind w:left="36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1DD05D38"/>
    <w:multiLevelType w:val="hybridMultilevel"/>
    <w:tmpl w:val="14C886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1E2A6BEE"/>
    <w:multiLevelType w:val="hybridMultilevel"/>
    <w:tmpl w:val="395C0592"/>
    <w:lvl w:ilvl="0" w:tplc="0409000F">
      <w:start w:val="1"/>
      <w:numFmt w:val="decimal"/>
      <w:lvlText w:val="%1."/>
      <w:lvlJc w:val="left"/>
      <w:pPr>
        <w:tabs>
          <w:tab w:val="num" w:pos="360"/>
        </w:tabs>
        <w:ind w:left="360" w:hanging="360"/>
      </w:pPr>
      <w:rPr>
        <w:rFonts w:hint="default"/>
        <w:strike w:val="0"/>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1" w15:restartNumberingAfterBreak="0">
    <w:nsid w:val="1E4B5B58"/>
    <w:multiLevelType w:val="hybridMultilevel"/>
    <w:tmpl w:val="670A4968"/>
    <w:lvl w:ilvl="0" w:tplc="04090017">
      <w:start w:val="1"/>
      <w:numFmt w:val="lowerLetter"/>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2" w15:restartNumberingAfterBreak="0">
    <w:nsid w:val="1E8933F0"/>
    <w:multiLevelType w:val="hybridMultilevel"/>
    <w:tmpl w:val="0A281036"/>
    <w:lvl w:ilvl="0" w:tplc="CE2E6DBA">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68227E46">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1EC2327F"/>
    <w:multiLevelType w:val="hybridMultilevel"/>
    <w:tmpl w:val="88EC419C"/>
    <w:lvl w:ilvl="0" w:tplc="04090017">
      <w:start w:val="1"/>
      <w:numFmt w:val="lowerLetter"/>
      <w:lvlText w:val="%1)"/>
      <w:lvlJc w:val="left"/>
      <w:pPr>
        <w:ind w:left="1440" w:hanging="360"/>
      </w:pPr>
      <w:rPr>
        <w:rFonts w:hint="default"/>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4" w15:restartNumberingAfterBreak="0">
    <w:nsid w:val="1F1F14CA"/>
    <w:multiLevelType w:val="hybridMultilevel"/>
    <w:tmpl w:val="D1A431F2"/>
    <w:lvl w:ilvl="0" w:tplc="FFFFFFFF">
      <w:start w:val="1"/>
      <w:numFmt w:val="decimal"/>
      <w:lvlText w:val="%1."/>
      <w:lvlJc w:val="left"/>
      <w:pPr>
        <w:ind w:left="720" w:hanging="360"/>
      </w:pPr>
      <w:rPr>
        <w:rFonts w:cs="Times New Roman" w:hint="default"/>
        <w:snapToGrid/>
        <w:w w:val="105"/>
        <w:sz w:val="22"/>
        <w:szCs w:val="24"/>
      </w:rPr>
    </w:lvl>
    <w:lvl w:ilvl="1" w:tplc="0409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1F4C5E5B"/>
    <w:multiLevelType w:val="hybridMultilevel"/>
    <w:tmpl w:val="FD925AF4"/>
    <w:lvl w:ilvl="0" w:tplc="04090017">
      <w:start w:val="1"/>
      <w:numFmt w:val="lowerLetter"/>
      <w:lvlText w:val="%1)"/>
      <w:lvlJc w:val="left"/>
      <w:pPr>
        <w:ind w:left="1440" w:hanging="360"/>
      </w:pPr>
      <w:rPr>
        <w:rFonts w:hint="default"/>
        <w:b w:val="0"/>
        <w:bCs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1F66478B"/>
    <w:multiLevelType w:val="hybridMultilevel"/>
    <w:tmpl w:val="465A692C"/>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15:restartNumberingAfterBreak="0">
    <w:nsid w:val="1FD848E8"/>
    <w:multiLevelType w:val="multilevel"/>
    <w:tmpl w:val="89FCF158"/>
    <w:lvl w:ilvl="0">
      <w:start w:val="3"/>
      <w:numFmt w:val="upperLetter"/>
      <w:lvlText w:val="%1."/>
      <w:lvlJc w:val="left"/>
      <w:pPr>
        <w:ind w:left="1080" w:hanging="360"/>
      </w:pPr>
      <w:rPr>
        <w:rFonts w:hint="default"/>
        <w:b w:val="0"/>
        <w:bCs/>
      </w:rPr>
    </w:lvl>
    <w:lvl w:ilvl="1">
      <w:start w:val="1"/>
      <w:numFmt w:val="lowerRoman"/>
      <w:lvlText w:val="%2."/>
      <w:lvlJc w:val="left"/>
      <w:pPr>
        <w:ind w:left="1800" w:hanging="360"/>
      </w:pPr>
      <w:rPr>
        <w:rFonts w:hint="default"/>
        <w:b w:val="0"/>
      </w:rPr>
    </w:lvl>
    <w:lvl w:ilvl="2">
      <w:start w:val="1"/>
      <w:numFmt w:val="lowerRoman"/>
      <w:lvlText w:val="%3."/>
      <w:lvlJc w:val="right"/>
      <w:pPr>
        <w:ind w:left="2520" w:hanging="180"/>
      </w:pPr>
      <w:rPr>
        <w:rFonts w:hint="default"/>
        <w:b w:val="0"/>
        <w:bCs/>
      </w:rPr>
    </w:lvl>
    <w:lvl w:ilvl="3">
      <w:start w:val="1"/>
      <w:numFmt w:val="lowerRoman"/>
      <w:lvlText w:val="%4."/>
      <w:lvlJc w:val="right"/>
      <w:pPr>
        <w:ind w:left="1800" w:hanging="360"/>
      </w:p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78" w15:restartNumberingAfterBreak="0">
    <w:nsid w:val="1FDE321A"/>
    <w:multiLevelType w:val="hybridMultilevel"/>
    <w:tmpl w:val="0FEC5652"/>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20256A19"/>
    <w:multiLevelType w:val="hybridMultilevel"/>
    <w:tmpl w:val="445CDAF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0" w15:restartNumberingAfterBreak="0">
    <w:nsid w:val="20B03B94"/>
    <w:multiLevelType w:val="hybridMultilevel"/>
    <w:tmpl w:val="D33E8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0C72960"/>
    <w:multiLevelType w:val="hybridMultilevel"/>
    <w:tmpl w:val="5FBE999A"/>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bullet"/>
      <w:lvlText w:val=""/>
      <w:lvlJc w:val="left"/>
      <w:pPr>
        <w:ind w:left="1803" w:hanging="360"/>
      </w:pPr>
      <w:rPr>
        <w:rFonts w:ascii="Wingdings" w:hAnsi="Wingdings" w:hint="default"/>
      </w:rPr>
    </w:lvl>
    <w:lvl w:ilvl="3" w:tplc="FFFFFFFF" w:tentative="1">
      <w:start w:val="1"/>
      <w:numFmt w:val="bullet"/>
      <w:lvlText w:val=""/>
      <w:lvlJc w:val="left"/>
      <w:pPr>
        <w:ind w:left="2523" w:hanging="360"/>
      </w:pPr>
      <w:rPr>
        <w:rFonts w:ascii="Symbol" w:hAnsi="Symbol" w:hint="default"/>
      </w:rPr>
    </w:lvl>
    <w:lvl w:ilvl="4" w:tplc="FFFFFFFF" w:tentative="1">
      <w:start w:val="1"/>
      <w:numFmt w:val="bullet"/>
      <w:lvlText w:val="o"/>
      <w:lvlJc w:val="left"/>
      <w:pPr>
        <w:ind w:left="3243" w:hanging="360"/>
      </w:pPr>
      <w:rPr>
        <w:rFonts w:ascii="Courier New" w:hAnsi="Courier New" w:cs="Courier New" w:hint="default"/>
      </w:rPr>
    </w:lvl>
    <w:lvl w:ilvl="5" w:tplc="FFFFFFFF" w:tentative="1">
      <w:start w:val="1"/>
      <w:numFmt w:val="bullet"/>
      <w:lvlText w:val=""/>
      <w:lvlJc w:val="left"/>
      <w:pPr>
        <w:ind w:left="3963" w:hanging="360"/>
      </w:pPr>
      <w:rPr>
        <w:rFonts w:ascii="Wingdings" w:hAnsi="Wingdings" w:hint="default"/>
      </w:rPr>
    </w:lvl>
    <w:lvl w:ilvl="6" w:tplc="FFFFFFFF" w:tentative="1">
      <w:start w:val="1"/>
      <w:numFmt w:val="bullet"/>
      <w:lvlText w:val=""/>
      <w:lvlJc w:val="left"/>
      <w:pPr>
        <w:ind w:left="4683" w:hanging="360"/>
      </w:pPr>
      <w:rPr>
        <w:rFonts w:ascii="Symbol" w:hAnsi="Symbol" w:hint="default"/>
      </w:rPr>
    </w:lvl>
    <w:lvl w:ilvl="7" w:tplc="FFFFFFFF" w:tentative="1">
      <w:start w:val="1"/>
      <w:numFmt w:val="bullet"/>
      <w:lvlText w:val="o"/>
      <w:lvlJc w:val="left"/>
      <w:pPr>
        <w:ind w:left="5403" w:hanging="360"/>
      </w:pPr>
      <w:rPr>
        <w:rFonts w:ascii="Courier New" w:hAnsi="Courier New" w:cs="Courier New" w:hint="default"/>
      </w:rPr>
    </w:lvl>
    <w:lvl w:ilvl="8" w:tplc="FFFFFFFF" w:tentative="1">
      <w:start w:val="1"/>
      <w:numFmt w:val="bullet"/>
      <w:lvlText w:val=""/>
      <w:lvlJc w:val="left"/>
      <w:pPr>
        <w:ind w:left="6123" w:hanging="360"/>
      </w:pPr>
      <w:rPr>
        <w:rFonts w:ascii="Wingdings" w:hAnsi="Wingdings" w:hint="default"/>
      </w:rPr>
    </w:lvl>
  </w:abstractNum>
  <w:abstractNum w:abstractNumId="82" w15:restartNumberingAfterBreak="0">
    <w:nsid w:val="22280A1A"/>
    <w:multiLevelType w:val="hybridMultilevel"/>
    <w:tmpl w:val="D70C6BFC"/>
    <w:lvl w:ilvl="0" w:tplc="FFFFFFFF">
      <w:start w:val="1"/>
      <w:numFmt w:val="decimal"/>
      <w:lvlText w:val="%1."/>
      <w:lvlJc w:val="left"/>
      <w:pPr>
        <w:ind w:left="780" w:hanging="360"/>
      </w:pPr>
      <w:rPr>
        <w:rFont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83" w15:restartNumberingAfterBreak="0">
    <w:nsid w:val="2243296E"/>
    <w:multiLevelType w:val="hybridMultilevel"/>
    <w:tmpl w:val="5A8AB962"/>
    <w:lvl w:ilvl="0" w:tplc="FFFFFFFF">
      <w:start w:val="1"/>
      <w:numFmt w:val="decimal"/>
      <w:lvlText w:val="%1."/>
      <w:lvlJc w:val="left"/>
      <w:pPr>
        <w:ind w:left="1440" w:hanging="360"/>
      </w:pPr>
      <w:rPr>
        <w:rFonts w:hint="default"/>
      </w:rPr>
    </w:lvl>
    <w:lvl w:ilvl="1" w:tplc="04090017">
      <w:start w:val="1"/>
      <w:numFmt w:val="lowerLetter"/>
      <w:lvlText w:val="%2)"/>
      <w:lvlJc w:val="left"/>
      <w:pPr>
        <w:ind w:left="720" w:hanging="360"/>
      </w:pPr>
      <w:rPr>
        <w:rFonts w:hint="default"/>
        <w:b w:val="0"/>
        <w:bCs w:val="0"/>
        <w:color w:val="auto"/>
      </w:r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4" w15:restartNumberingAfterBreak="0">
    <w:nsid w:val="237A3A37"/>
    <w:multiLevelType w:val="hybridMultilevel"/>
    <w:tmpl w:val="958A4198"/>
    <w:lvl w:ilvl="0" w:tplc="FFFFFFFF">
      <w:start w:val="1"/>
      <w:numFmt w:val="decimal"/>
      <w:lvlText w:val="%1."/>
      <w:lvlJc w:val="left"/>
      <w:pPr>
        <w:ind w:left="720"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239E254E"/>
    <w:multiLevelType w:val="multilevel"/>
    <w:tmpl w:val="23361B0C"/>
    <w:lvl w:ilvl="0">
      <w:start w:val="3"/>
      <w:numFmt w:val="upperLetter"/>
      <w:lvlText w:val="%1."/>
      <w:lvlJc w:val="left"/>
      <w:pPr>
        <w:ind w:left="1080" w:hanging="360"/>
      </w:pPr>
      <w:rPr>
        <w:rFonts w:hint="default"/>
        <w:b w:val="0"/>
        <w:bCs/>
      </w:rPr>
    </w:lvl>
    <w:lvl w:ilvl="1">
      <w:start w:val="1"/>
      <w:numFmt w:val="lowerRoman"/>
      <w:lvlText w:val="%2."/>
      <w:lvlJc w:val="left"/>
      <w:pPr>
        <w:ind w:left="1800" w:hanging="360"/>
      </w:pPr>
      <w:rPr>
        <w:rFonts w:hint="default"/>
        <w:b w:val="0"/>
      </w:rPr>
    </w:lvl>
    <w:lvl w:ilvl="2">
      <w:start w:val="1"/>
      <w:numFmt w:val="lowerLetter"/>
      <w:lvlText w:val="%3."/>
      <w:lvlJc w:val="left"/>
      <w:pPr>
        <w:ind w:left="1440" w:hanging="360"/>
      </w:p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86" w15:restartNumberingAfterBreak="0">
    <w:nsid w:val="24894550"/>
    <w:multiLevelType w:val="hybridMultilevel"/>
    <w:tmpl w:val="1E621F9A"/>
    <w:lvl w:ilvl="0" w:tplc="0409000F">
      <w:start w:val="1"/>
      <w:numFmt w:val="decimal"/>
      <w:lvlText w:val="%1."/>
      <w:lvlJc w:val="left"/>
      <w:pPr>
        <w:ind w:left="720" w:hanging="360"/>
      </w:pPr>
      <w:rPr>
        <w:rFonts w:hint="default"/>
        <w:strike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24E9492D"/>
    <w:multiLevelType w:val="hybridMultilevel"/>
    <w:tmpl w:val="696CD4F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8" w15:restartNumberingAfterBreak="0">
    <w:nsid w:val="250B5F4F"/>
    <w:multiLevelType w:val="hybridMultilevel"/>
    <w:tmpl w:val="412A5382"/>
    <w:lvl w:ilvl="0" w:tplc="FFFFFFFF">
      <w:start w:val="1"/>
      <w:numFmt w:val="decimal"/>
      <w:lvlText w:val="%1."/>
      <w:lvlJc w:val="left"/>
      <w:pPr>
        <w:ind w:left="720"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25112E92"/>
    <w:multiLevelType w:val="hybridMultilevel"/>
    <w:tmpl w:val="89C83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5F1438E"/>
    <w:multiLevelType w:val="hybridMultilevel"/>
    <w:tmpl w:val="F528C28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26D31672"/>
    <w:multiLevelType w:val="hybridMultilevel"/>
    <w:tmpl w:val="C5B0697C"/>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27250144"/>
    <w:multiLevelType w:val="hybridMultilevel"/>
    <w:tmpl w:val="512087A6"/>
    <w:lvl w:ilvl="0" w:tplc="FFFFFFFF">
      <w:start w:val="1"/>
      <w:numFmt w:val="bullet"/>
      <w:lvlText w:val=""/>
      <w:lvlJc w:val="left"/>
      <w:pPr>
        <w:ind w:left="474" w:hanging="360"/>
      </w:pPr>
      <w:rPr>
        <w:rFonts w:ascii="Symbol" w:hAnsi="Symbol" w:hint="default"/>
      </w:rPr>
    </w:lvl>
    <w:lvl w:ilvl="1" w:tplc="0409001B">
      <w:start w:val="1"/>
      <w:numFmt w:val="lowerRoman"/>
      <w:lvlText w:val="%2."/>
      <w:lvlJc w:val="right"/>
      <w:pPr>
        <w:ind w:left="1194" w:hanging="360"/>
      </w:pPr>
    </w:lvl>
    <w:lvl w:ilvl="2" w:tplc="FFFFFFFF">
      <w:start w:val="1"/>
      <w:numFmt w:val="bullet"/>
      <w:lvlText w:val=""/>
      <w:lvlJc w:val="left"/>
      <w:pPr>
        <w:ind w:left="1914" w:hanging="360"/>
      </w:pPr>
      <w:rPr>
        <w:rFonts w:ascii="Wingdings" w:hAnsi="Wingdings" w:hint="default"/>
      </w:rPr>
    </w:lvl>
    <w:lvl w:ilvl="3" w:tplc="FFFFFFFF" w:tentative="1">
      <w:start w:val="1"/>
      <w:numFmt w:val="bullet"/>
      <w:lvlText w:val=""/>
      <w:lvlJc w:val="left"/>
      <w:pPr>
        <w:ind w:left="2634" w:hanging="360"/>
      </w:pPr>
      <w:rPr>
        <w:rFonts w:ascii="Symbol" w:hAnsi="Symbol" w:hint="default"/>
      </w:rPr>
    </w:lvl>
    <w:lvl w:ilvl="4" w:tplc="FFFFFFFF" w:tentative="1">
      <w:start w:val="1"/>
      <w:numFmt w:val="bullet"/>
      <w:lvlText w:val="o"/>
      <w:lvlJc w:val="left"/>
      <w:pPr>
        <w:ind w:left="3354" w:hanging="360"/>
      </w:pPr>
      <w:rPr>
        <w:rFonts w:ascii="Courier New" w:hAnsi="Courier New" w:cs="Courier New" w:hint="default"/>
      </w:rPr>
    </w:lvl>
    <w:lvl w:ilvl="5" w:tplc="FFFFFFFF" w:tentative="1">
      <w:start w:val="1"/>
      <w:numFmt w:val="bullet"/>
      <w:lvlText w:val=""/>
      <w:lvlJc w:val="left"/>
      <w:pPr>
        <w:ind w:left="4074" w:hanging="360"/>
      </w:pPr>
      <w:rPr>
        <w:rFonts w:ascii="Wingdings" w:hAnsi="Wingdings" w:hint="default"/>
      </w:rPr>
    </w:lvl>
    <w:lvl w:ilvl="6" w:tplc="FFFFFFFF" w:tentative="1">
      <w:start w:val="1"/>
      <w:numFmt w:val="bullet"/>
      <w:lvlText w:val=""/>
      <w:lvlJc w:val="left"/>
      <w:pPr>
        <w:ind w:left="4794" w:hanging="360"/>
      </w:pPr>
      <w:rPr>
        <w:rFonts w:ascii="Symbol" w:hAnsi="Symbol" w:hint="default"/>
      </w:rPr>
    </w:lvl>
    <w:lvl w:ilvl="7" w:tplc="FFFFFFFF" w:tentative="1">
      <w:start w:val="1"/>
      <w:numFmt w:val="bullet"/>
      <w:lvlText w:val="o"/>
      <w:lvlJc w:val="left"/>
      <w:pPr>
        <w:ind w:left="5514" w:hanging="360"/>
      </w:pPr>
      <w:rPr>
        <w:rFonts w:ascii="Courier New" w:hAnsi="Courier New" w:cs="Courier New" w:hint="default"/>
      </w:rPr>
    </w:lvl>
    <w:lvl w:ilvl="8" w:tplc="FFFFFFFF" w:tentative="1">
      <w:start w:val="1"/>
      <w:numFmt w:val="bullet"/>
      <w:lvlText w:val=""/>
      <w:lvlJc w:val="left"/>
      <w:pPr>
        <w:ind w:left="6234" w:hanging="360"/>
      </w:pPr>
      <w:rPr>
        <w:rFonts w:ascii="Wingdings" w:hAnsi="Wingdings" w:hint="default"/>
      </w:rPr>
    </w:lvl>
  </w:abstractNum>
  <w:abstractNum w:abstractNumId="93" w15:restartNumberingAfterBreak="0">
    <w:nsid w:val="27C034B7"/>
    <w:multiLevelType w:val="hybridMultilevel"/>
    <w:tmpl w:val="D416F0E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286E466C"/>
    <w:multiLevelType w:val="hybridMultilevel"/>
    <w:tmpl w:val="07185E74"/>
    <w:lvl w:ilvl="0" w:tplc="04090001">
      <w:start w:val="1"/>
      <w:numFmt w:val="bullet"/>
      <w:lvlText w:val=""/>
      <w:lvlJc w:val="left"/>
      <w:pPr>
        <w:ind w:left="720" w:hanging="360"/>
      </w:pPr>
      <w:rPr>
        <w:rFonts w:ascii="Symbol" w:hAnsi="Symbol" w:hint="default"/>
        <w:color w:val="auto"/>
        <w:sz w:val="20"/>
        <w:szCs w:val="20"/>
      </w:rPr>
    </w:lvl>
    <w:lvl w:ilvl="1" w:tplc="FFFFFFFF">
      <w:start w:val="1"/>
      <w:numFmt w:val="bullet"/>
      <w:lvlText w:val="o"/>
      <w:lvlJc w:val="left"/>
      <w:pPr>
        <w:ind w:left="1440" w:hanging="360"/>
      </w:pPr>
      <w:rPr>
        <w:rFonts w:ascii="Times New Roman" w:hAnsi="Times New Roman" w:cs="Times New Roman" w:hint="default"/>
        <w:sz w:val="20"/>
        <w:szCs w:val="2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28730F14"/>
    <w:multiLevelType w:val="hybridMultilevel"/>
    <w:tmpl w:val="3508CD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28AA3A22"/>
    <w:multiLevelType w:val="hybridMultilevel"/>
    <w:tmpl w:val="51049554"/>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7" w15:restartNumberingAfterBreak="0">
    <w:nsid w:val="29E44326"/>
    <w:multiLevelType w:val="hybridMultilevel"/>
    <w:tmpl w:val="93C0C62A"/>
    <w:lvl w:ilvl="0" w:tplc="04090017">
      <w:start w:val="1"/>
      <w:numFmt w:val="lowerLetter"/>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8" w15:restartNumberingAfterBreak="0">
    <w:nsid w:val="2A801D31"/>
    <w:multiLevelType w:val="hybridMultilevel"/>
    <w:tmpl w:val="AF2A577C"/>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15:restartNumberingAfterBreak="0">
    <w:nsid w:val="2AFA67E8"/>
    <w:multiLevelType w:val="hybridMultilevel"/>
    <w:tmpl w:val="75DE40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15:restartNumberingAfterBreak="0">
    <w:nsid w:val="2B1756A6"/>
    <w:multiLevelType w:val="hybridMultilevel"/>
    <w:tmpl w:val="51827DFA"/>
    <w:lvl w:ilvl="0" w:tplc="FFFFFFFF">
      <w:start w:val="1"/>
      <w:numFmt w:val="bullet"/>
      <w:lvlText w:val=""/>
      <w:lvlJc w:val="left"/>
      <w:pPr>
        <w:ind w:left="720" w:hanging="360"/>
      </w:pPr>
      <w:rPr>
        <w:rFonts w:ascii="Symbol" w:hAnsi="Symbol" w:hint="default"/>
      </w:rPr>
    </w:lvl>
    <w:lvl w:ilvl="1" w:tplc="04090017">
      <w:start w:val="1"/>
      <w:numFmt w:val="lowerLetter"/>
      <w:lvlText w:val="%2)"/>
      <w:lvlJc w:val="left"/>
      <w:pPr>
        <w:ind w:left="720" w:hanging="360"/>
      </w:pPr>
      <w:rPr>
        <w:rFonts w:hint="default"/>
        <w:b w:val="0"/>
        <w:bCs w:val="0"/>
        <w:color w:val="auto"/>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1" w15:restartNumberingAfterBreak="0">
    <w:nsid w:val="2BC42F82"/>
    <w:multiLevelType w:val="hybridMultilevel"/>
    <w:tmpl w:val="8346B05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15:restartNumberingAfterBreak="0">
    <w:nsid w:val="2CD771BB"/>
    <w:multiLevelType w:val="hybridMultilevel"/>
    <w:tmpl w:val="72C8E1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2DD16BFF"/>
    <w:multiLevelType w:val="hybridMultilevel"/>
    <w:tmpl w:val="52F28E5A"/>
    <w:lvl w:ilvl="0" w:tplc="0409000F">
      <w:start w:val="1"/>
      <w:numFmt w:val="decimal"/>
      <w:lvlText w:val="%1."/>
      <w:lvlJc w:val="left"/>
      <w:pPr>
        <w:ind w:left="720" w:hanging="360"/>
      </w:pPr>
      <w:rPr>
        <w:rFonts w:hint="default"/>
        <w:strike w:val="0"/>
        <w:color w:val="auto"/>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4" w15:restartNumberingAfterBreak="0">
    <w:nsid w:val="2F534ECD"/>
    <w:multiLevelType w:val="hybridMultilevel"/>
    <w:tmpl w:val="ACB642F4"/>
    <w:lvl w:ilvl="0" w:tplc="04090001">
      <w:start w:val="1"/>
      <w:numFmt w:val="bullet"/>
      <w:lvlText w:val=""/>
      <w:lvlJc w:val="left"/>
      <w:pPr>
        <w:tabs>
          <w:tab w:val="num" w:pos="360"/>
        </w:tabs>
        <w:ind w:left="360" w:hanging="360"/>
      </w:pPr>
      <w:rPr>
        <w:rFonts w:ascii="Symbol" w:hAnsi="Symbol" w:hint="default"/>
        <w:strike w:val="0"/>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5" w15:restartNumberingAfterBreak="0">
    <w:nsid w:val="2F5F0B37"/>
    <w:multiLevelType w:val="hybridMultilevel"/>
    <w:tmpl w:val="1556FC1E"/>
    <w:lvl w:ilvl="0" w:tplc="04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6" w15:restartNumberingAfterBreak="0">
    <w:nsid w:val="2FA62939"/>
    <w:multiLevelType w:val="hybridMultilevel"/>
    <w:tmpl w:val="2D289FD2"/>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7" w15:restartNumberingAfterBreak="0">
    <w:nsid w:val="2FCE3233"/>
    <w:multiLevelType w:val="hybridMultilevel"/>
    <w:tmpl w:val="4A9A8A70"/>
    <w:lvl w:ilvl="0" w:tplc="FFFFFFFF">
      <w:start w:val="1"/>
      <w:numFmt w:val="decimal"/>
      <w:lvlText w:val="%1."/>
      <w:lvlJc w:val="left"/>
      <w:pPr>
        <w:ind w:left="720" w:hanging="360"/>
      </w:pPr>
      <w:rPr>
        <w:b w:val="0"/>
        <w:bCs w:val="0"/>
      </w:rPr>
    </w:lvl>
    <w:lvl w:ilvl="1" w:tplc="04090017">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2FFA3CF3"/>
    <w:multiLevelType w:val="hybridMultilevel"/>
    <w:tmpl w:val="BFB886A8"/>
    <w:lvl w:ilvl="0" w:tplc="5080BA14">
      <w:start w:val="1"/>
      <w:numFmt w:val="decimal"/>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309F05BE"/>
    <w:multiLevelType w:val="hybridMultilevel"/>
    <w:tmpl w:val="CDF84342"/>
    <w:lvl w:ilvl="0" w:tplc="1754328E">
      <w:start w:val="8"/>
      <w:numFmt w:val="decimal"/>
      <w:lvlText w:val="%1."/>
      <w:lvlJc w:val="left"/>
      <w:pPr>
        <w:ind w:left="720" w:hanging="360"/>
      </w:pPr>
      <w:rPr>
        <w:rFonts w:cs="Arial"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0F720EC"/>
    <w:multiLevelType w:val="hybridMultilevel"/>
    <w:tmpl w:val="06B6B90E"/>
    <w:lvl w:ilvl="0" w:tplc="0409000F">
      <w:start w:val="1"/>
      <w:numFmt w:val="decimal"/>
      <w:lvlText w:val="%1."/>
      <w:lvlJc w:val="left"/>
      <w:pPr>
        <w:tabs>
          <w:tab w:val="num" w:pos="360"/>
        </w:tabs>
        <w:ind w:left="360" w:hanging="360"/>
      </w:pPr>
      <w:rPr>
        <w:rFonts w:hint="default"/>
      </w:rPr>
    </w:lvl>
    <w:lvl w:ilvl="1" w:tplc="FFFFFFFF">
      <w:start w:val="1"/>
      <w:numFmt w:val="bullet"/>
      <w:lvlText w:val="o"/>
      <w:lvlJc w:val="left"/>
      <w:pPr>
        <w:tabs>
          <w:tab w:val="num" w:pos="360"/>
        </w:tabs>
        <w:ind w:left="360" w:hanging="360"/>
      </w:pPr>
      <w:rPr>
        <w:rFonts w:ascii="Courier New" w:hAnsi="Courier New" w:cs="Courier New" w:hint="default"/>
      </w:rPr>
    </w:lvl>
    <w:lvl w:ilvl="2" w:tplc="FFFFFFFF">
      <w:start w:val="1"/>
      <w:numFmt w:val="bullet"/>
      <w:lvlText w:val=""/>
      <w:lvlJc w:val="left"/>
      <w:pPr>
        <w:tabs>
          <w:tab w:val="num" w:pos="1080"/>
        </w:tabs>
        <w:ind w:left="1080" w:hanging="360"/>
      </w:pPr>
      <w:rPr>
        <w:rFonts w:ascii="Wingdings" w:hAnsi="Wingdings" w:hint="default"/>
      </w:rPr>
    </w:lvl>
    <w:lvl w:ilvl="3" w:tplc="FFFFFFFF" w:tentative="1">
      <w:start w:val="1"/>
      <w:numFmt w:val="bullet"/>
      <w:lvlText w:val=""/>
      <w:lvlJc w:val="left"/>
      <w:pPr>
        <w:tabs>
          <w:tab w:val="num" w:pos="1800"/>
        </w:tabs>
        <w:ind w:left="1800" w:hanging="360"/>
      </w:pPr>
      <w:rPr>
        <w:rFonts w:ascii="Symbol" w:hAnsi="Symbol" w:hint="default"/>
      </w:rPr>
    </w:lvl>
    <w:lvl w:ilvl="4" w:tplc="FFFFFFFF" w:tentative="1">
      <w:start w:val="1"/>
      <w:numFmt w:val="bullet"/>
      <w:lvlText w:val="o"/>
      <w:lvlJc w:val="left"/>
      <w:pPr>
        <w:tabs>
          <w:tab w:val="num" w:pos="2520"/>
        </w:tabs>
        <w:ind w:left="2520" w:hanging="360"/>
      </w:pPr>
      <w:rPr>
        <w:rFonts w:ascii="Courier New" w:hAnsi="Courier New" w:cs="Courier New"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cs="Courier New" w:hint="default"/>
      </w:rPr>
    </w:lvl>
    <w:lvl w:ilvl="8" w:tplc="FFFFFFFF" w:tentative="1">
      <w:start w:val="1"/>
      <w:numFmt w:val="bullet"/>
      <w:lvlText w:val=""/>
      <w:lvlJc w:val="left"/>
      <w:pPr>
        <w:tabs>
          <w:tab w:val="num" w:pos="5400"/>
        </w:tabs>
        <w:ind w:left="5400" w:hanging="360"/>
      </w:pPr>
      <w:rPr>
        <w:rFonts w:ascii="Wingdings" w:hAnsi="Wingdings" w:hint="default"/>
      </w:rPr>
    </w:lvl>
  </w:abstractNum>
  <w:abstractNum w:abstractNumId="111" w15:restartNumberingAfterBreak="0">
    <w:nsid w:val="3105466E"/>
    <w:multiLevelType w:val="hybridMultilevel"/>
    <w:tmpl w:val="61E859CA"/>
    <w:lvl w:ilvl="0" w:tplc="0409001B">
      <w:start w:val="1"/>
      <w:numFmt w:val="lowerRoman"/>
      <w:lvlText w:val="%1."/>
      <w:lvlJc w:val="right"/>
      <w:pPr>
        <w:ind w:left="2339" w:hanging="360"/>
      </w:pPr>
    </w:lvl>
    <w:lvl w:ilvl="1" w:tplc="04090019">
      <w:start w:val="1"/>
      <w:numFmt w:val="lowerLetter"/>
      <w:lvlText w:val="%2."/>
      <w:lvlJc w:val="left"/>
      <w:pPr>
        <w:ind w:left="3059" w:hanging="360"/>
      </w:pPr>
    </w:lvl>
    <w:lvl w:ilvl="2" w:tplc="0409001B">
      <w:start w:val="1"/>
      <w:numFmt w:val="lowerRoman"/>
      <w:lvlText w:val="%3."/>
      <w:lvlJc w:val="right"/>
      <w:pPr>
        <w:ind w:left="3779" w:hanging="180"/>
      </w:pPr>
    </w:lvl>
    <w:lvl w:ilvl="3" w:tplc="0409000F" w:tentative="1">
      <w:start w:val="1"/>
      <w:numFmt w:val="decimal"/>
      <w:lvlText w:val="%4."/>
      <w:lvlJc w:val="left"/>
      <w:pPr>
        <w:ind w:left="4499" w:hanging="360"/>
      </w:pPr>
    </w:lvl>
    <w:lvl w:ilvl="4" w:tplc="04090019" w:tentative="1">
      <w:start w:val="1"/>
      <w:numFmt w:val="lowerLetter"/>
      <w:lvlText w:val="%5."/>
      <w:lvlJc w:val="left"/>
      <w:pPr>
        <w:ind w:left="5219" w:hanging="360"/>
      </w:pPr>
    </w:lvl>
    <w:lvl w:ilvl="5" w:tplc="0409001B" w:tentative="1">
      <w:start w:val="1"/>
      <w:numFmt w:val="lowerRoman"/>
      <w:lvlText w:val="%6."/>
      <w:lvlJc w:val="right"/>
      <w:pPr>
        <w:ind w:left="5939" w:hanging="180"/>
      </w:pPr>
    </w:lvl>
    <w:lvl w:ilvl="6" w:tplc="0409000F" w:tentative="1">
      <w:start w:val="1"/>
      <w:numFmt w:val="decimal"/>
      <w:lvlText w:val="%7."/>
      <w:lvlJc w:val="left"/>
      <w:pPr>
        <w:ind w:left="6659" w:hanging="360"/>
      </w:pPr>
    </w:lvl>
    <w:lvl w:ilvl="7" w:tplc="04090019" w:tentative="1">
      <w:start w:val="1"/>
      <w:numFmt w:val="lowerLetter"/>
      <w:lvlText w:val="%8."/>
      <w:lvlJc w:val="left"/>
      <w:pPr>
        <w:ind w:left="7379" w:hanging="360"/>
      </w:pPr>
    </w:lvl>
    <w:lvl w:ilvl="8" w:tplc="0409001B" w:tentative="1">
      <w:start w:val="1"/>
      <w:numFmt w:val="lowerRoman"/>
      <w:lvlText w:val="%9."/>
      <w:lvlJc w:val="right"/>
      <w:pPr>
        <w:ind w:left="8099" w:hanging="180"/>
      </w:pPr>
    </w:lvl>
  </w:abstractNum>
  <w:abstractNum w:abstractNumId="112" w15:restartNumberingAfterBreak="0">
    <w:nsid w:val="3211028C"/>
    <w:multiLevelType w:val="hybridMultilevel"/>
    <w:tmpl w:val="C052A6AC"/>
    <w:lvl w:ilvl="0" w:tplc="C45EE4F0">
      <w:start w:val="1"/>
      <w:numFmt w:val="decimal"/>
      <w:lvlText w:val="%1."/>
      <w:lvlJc w:val="left"/>
      <w:pPr>
        <w:ind w:left="720" w:hanging="360"/>
      </w:pPr>
      <w:rPr>
        <w:rFonts w:cs="Arial" w:hint="default"/>
        <w:strike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32162CE7"/>
    <w:multiLevelType w:val="hybridMultilevel"/>
    <w:tmpl w:val="7B1C8558"/>
    <w:lvl w:ilvl="0" w:tplc="0409000F">
      <w:start w:val="1"/>
      <w:numFmt w:val="decimal"/>
      <w:lvlText w:val="%1."/>
      <w:lvlJc w:val="left"/>
      <w:pPr>
        <w:tabs>
          <w:tab w:val="num" w:pos="360"/>
        </w:tabs>
        <w:ind w:left="360" w:hanging="360"/>
      </w:pPr>
      <w:rPr>
        <w:rFonts w:hint="default"/>
        <w:strike w:val="0"/>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4" w15:restartNumberingAfterBreak="0">
    <w:nsid w:val="32727DDB"/>
    <w:multiLevelType w:val="hybridMultilevel"/>
    <w:tmpl w:val="A2DE9C2C"/>
    <w:lvl w:ilvl="0" w:tplc="3FC286A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32BC1480"/>
    <w:multiLevelType w:val="hybridMultilevel"/>
    <w:tmpl w:val="EB5837E2"/>
    <w:lvl w:ilvl="0" w:tplc="04090001">
      <w:start w:val="1"/>
      <w:numFmt w:val="bullet"/>
      <w:lvlText w:val=""/>
      <w:lvlJc w:val="left"/>
      <w:pPr>
        <w:ind w:left="720" w:hanging="360"/>
      </w:pPr>
      <w:rPr>
        <w:rFonts w:ascii="Symbol" w:hAnsi="Symbol" w:hint="default"/>
        <w:color w:val="auto"/>
        <w:sz w:val="20"/>
        <w:szCs w:val="20"/>
      </w:rPr>
    </w:lvl>
    <w:lvl w:ilvl="1" w:tplc="FFFFFFFF">
      <w:start w:val="1"/>
      <w:numFmt w:val="bullet"/>
      <w:lvlText w:val="o"/>
      <w:lvlJc w:val="left"/>
      <w:pPr>
        <w:ind w:left="1440" w:hanging="360"/>
      </w:pPr>
      <w:rPr>
        <w:rFonts w:ascii="Times New Roman" w:hAnsi="Times New Roman" w:cs="Times New Roman" w:hint="default"/>
        <w:sz w:val="20"/>
        <w:szCs w:val="2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6" w15:restartNumberingAfterBreak="0">
    <w:nsid w:val="32E37BC4"/>
    <w:multiLevelType w:val="hybridMultilevel"/>
    <w:tmpl w:val="A4A6F5F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7" w15:restartNumberingAfterBreak="0">
    <w:nsid w:val="335F7F0A"/>
    <w:multiLevelType w:val="hybridMultilevel"/>
    <w:tmpl w:val="BBDC8AC8"/>
    <w:lvl w:ilvl="0" w:tplc="04090017">
      <w:start w:val="1"/>
      <w:numFmt w:val="lowerLetter"/>
      <w:lvlText w:val="%1)"/>
      <w:lvlJc w:val="left"/>
      <w:pPr>
        <w:ind w:left="720" w:hanging="360"/>
      </w:pPr>
      <w:rPr>
        <w:rFonts w:hint="default"/>
        <w:b w:val="0"/>
        <w:bCs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8" w15:restartNumberingAfterBreak="0">
    <w:nsid w:val="33F333EE"/>
    <w:multiLevelType w:val="hybridMultilevel"/>
    <w:tmpl w:val="CB7CD3F4"/>
    <w:lvl w:ilvl="0" w:tplc="04090019">
      <w:start w:val="1"/>
      <w:numFmt w:val="lowerLetter"/>
      <w:lvlText w:val="%1."/>
      <w:lvlJc w:val="left"/>
      <w:pPr>
        <w:ind w:left="2207" w:hanging="360"/>
      </w:pPr>
    </w:lvl>
    <w:lvl w:ilvl="1" w:tplc="04090019">
      <w:start w:val="1"/>
      <w:numFmt w:val="lowerLetter"/>
      <w:lvlText w:val="%2."/>
      <w:lvlJc w:val="left"/>
      <w:pPr>
        <w:ind w:left="2927" w:hanging="360"/>
      </w:pPr>
    </w:lvl>
    <w:lvl w:ilvl="2" w:tplc="0409001B">
      <w:start w:val="1"/>
      <w:numFmt w:val="lowerRoman"/>
      <w:lvlText w:val="%3."/>
      <w:lvlJc w:val="right"/>
      <w:pPr>
        <w:ind w:left="3647" w:hanging="180"/>
      </w:pPr>
    </w:lvl>
    <w:lvl w:ilvl="3" w:tplc="0409000F" w:tentative="1">
      <w:start w:val="1"/>
      <w:numFmt w:val="decimal"/>
      <w:lvlText w:val="%4."/>
      <w:lvlJc w:val="left"/>
      <w:pPr>
        <w:ind w:left="4367" w:hanging="360"/>
      </w:pPr>
    </w:lvl>
    <w:lvl w:ilvl="4" w:tplc="04090019" w:tentative="1">
      <w:start w:val="1"/>
      <w:numFmt w:val="lowerLetter"/>
      <w:lvlText w:val="%5."/>
      <w:lvlJc w:val="left"/>
      <w:pPr>
        <w:ind w:left="5087" w:hanging="360"/>
      </w:pPr>
    </w:lvl>
    <w:lvl w:ilvl="5" w:tplc="0409001B" w:tentative="1">
      <w:start w:val="1"/>
      <w:numFmt w:val="lowerRoman"/>
      <w:lvlText w:val="%6."/>
      <w:lvlJc w:val="right"/>
      <w:pPr>
        <w:ind w:left="5807" w:hanging="180"/>
      </w:pPr>
    </w:lvl>
    <w:lvl w:ilvl="6" w:tplc="0409000F" w:tentative="1">
      <w:start w:val="1"/>
      <w:numFmt w:val="decimal"/>
      <w:lvlText w:val="%7."/>
      <w:lvlJc w:val="left"/>
      <w:pPr>
        <w:ind w:left="6527" w:hanging="360"/>
      </w:pPr>
    </w:lvl>
    <w:lvl w:ilvl="7" w:tplc="04090019" w:tentative="1">
      <w:start w:val="1"/>
      <w:numFmt w:val="lowerLetter"/>
      <w:lvlText w:val="%8."/>
      <w:lvlJc w:val="left"/>
      <w:pPr>
        <w:ind w:left="7247" w:hanging="360"/>
      </w:pPr>
    </w:lvl>
    <w:lvl w:ilvl="8" w:tplc="0409001B" w:tentative="1">
      <w:start w:val="1"/>
      <w:numFmt w:val="lowerRoman"/>
      <w:lvlText w:val="%9."/>
      <w:lvlJc w:val="right"/>
      <w:pPr>
        <w:ind w:left="7967" w:hanging="180"/>
      </w:pPr>
    </w:lvl>
  </w:abstractNum>
  <w:abstractNum w:abstractNumId="119" w15:restartNumberingAfterBreak="0">
    <w:nsid w:val="34223D33"/>
    <w:multiLevelType w:val="hybridMultilevel"/>
    <w:tmpl w:val="1EA63F8A"/>
    <w:lvl w:ilvl="0" w:tplc="04090001">
      <w:start w:val="1"/>
      <w:numFmt w:val="bullet"/>
      <w:lvlText w:val=""/>
      <w:lvlJc w:val="left"/>
      <w:pPr>
        <w:ind w:left="474" w:hanging="360"/>
      </w:pPr>
      <w:rPr>
        <w:rFonts w:ascii="Symbol" w:hAnsi="Symbol" w:hint="default"/>
      </w:rPr>
    </w:lvl>
    <w:lvl w:ilvl="1" w:tplc="0409001B">
      <w:start w:val="1"/>
      <w:numFmt w:val="lowerRoman"/>
      <w:lvlText w:val="%2."/>
      <w:lvlJc w:val="right"/>
      <w:pPr>
        <w:ind w:left="1194" w:hanging="360"/>
      </w:pPr>
    </w:lvl>
    <w:lvl w:ilvl="2" w:tplc="04090005">
      <w:start w:val="1"/>
      <w:numFmt w:val="bullet"/>
      <w:lvlText w:val=""/>
      <w:lvlJc w:val="left"/>
      <w:pPr>
        <w:ind w:left="1914" w:hanging="360"/>
      </w:pPr>
      <w:rPr>
        <w:rFonts w:ascii="Wingdings" w:hAnsi="Wingdings" w:hint="default"/>
      </w:rPr>
    </w:lvl>
    <w:lvl w:ilvl="3" w:tplc="0F86E8E4">
      <w:start w:val="1"/>
      <w:numFmt w:val="decimal"/>
      <w:lvlText w:val="(%4)"/>
      <w:lvlJc w:val="right"/>
      <w:pPr>
        <w:ind w:left="2634" w:hanging="360"/>
      </w:pPr>
      <w:rPr>
        <w:rFonts w:hint="default"/>
      </w:rPr>
    </w:lvl>
    <w:lvl w:ilvl="4" w:tplc="04090003">
      <w:start w:val="1"/>
      <w:numFmt w:val="bullet"/>
      <w:lvlText w:val="o"/>
      <w:lvlJc w:val="left"/>
      <w:pPr>
        <w:ind w:left="3354" w:hanging="360"/>
      </w:pPr>
      <w:rPr>
        <w:rFonts w:ascii="Courier New" w:hAnsi="Courier New" w:cs="Courier New" w:hint="default"/>
      </w:rPr>
    </w:lvl>
    <w:lvl w:ilvl="5" w:tplc="C8D8B4FE">
      <w:start w:val="1"/>
      <w:numFmt w:val="decimal"/>
      <w:lvlText w:val="%6."/>
      <w:lvlJc w:val="left"/>
      <w:pPr>
        <w:ind w:left="4074" w:hanging="360"/>
      </w:pPr>
      <w:rPr>
        <w:rFonts w:hint="default"/>
      </w:rPr>
    </w:lvl>
    <w:lvl w:ilvl="6" w:tplc="DCAA2442">
      <w:start w:val="1"/>
      <w:numFmt w:val="lowerLetter"/>
      <w:lvlText w:val="%7)"/>
      <w:lvlJc w:val="left"/>
      <w:pPr>
        <w:ind w:left="4794" w:hanging="360"/>
      </w:pPr>
      <w:rPr>
        <w:rFonts w:hint="default"/>
      </w:rPr>
    </w:lvl>
    <w:lvl w:ilvl="7" w:tplc="04090003" w:tentative="1">
      <w:start w:val="1"/>
      <w:numFmt w:val="bullet"/>
      <w:lvlText w:val="o"/>
      <w:lvlJc w:val="left"/>
      <w:pPr>
        <w:ind w:left="5514" w:hanging="360"/>
      </w:pPr>
      <w:rPr>
        <w:rFonts w:ascii="Courier New" w:hAnsi="Courier New" w:cs="Courier New" w:hint="default"/>
      </w:rPr>
    </w:lvl>
    <w:lvl w:ilvl="8" w:tplc="04090005" w:tentative="1">
      <w:start w:val="1"/>
      <w:numFmt w:val="bullet"/>
      <w:lvlText w:val=""/>
      <w:lvlJc w:val="left"/>
      <w:pPr>
        <w:ind w:left="6234" w:hanging="360"/>
      </w:pPr>
      <w:rPr>
        <w:rFonts w:ascii="Wingdings" w:hAnsi="Wingdings" w:hint="default"/>
      </w:rPr>
    </w:lvl>
  </w:abstractNum>
  <w:abstractNum w:abstractNumId="120" w15:restartNumberingAfterBreak="0">
    <w:nsid w:val="34793C0F"/>
    <w:multiLevelType w:val="hybridMultilevel"/>
    <w:tmpl w:val="15ACD504"/>
    <w:lvl w:ilvl="0" w:tplc="FFFFFFFF">
      <w:start w:val="1"/>
      <w:numFmt w:val="upperLetter"/>
      <w:lvlText w:val="%1."/>
      <w:lvlJc w:val="left"/>
      <w:pPr>
        <w:ind w:left="1440" w:hanging="360"/>
      </w:pPr>
    </w:lvl>
    <w:lvl w:ilvl="1" w:tplc="FFFFFFFF">
      <w:start w:val="1"/>
      <w:numFmt w:val="lowerLetter"/>
      <w:lvlText w:val="%2."/>
      <w:lvlJc w:val="left"/>
      <w:pPr>
        <w:ind w:left="2160" w:hanging="360"/>
      </w:pPr>
    </w:lvl>
    <w:lvl w:ilvl="2" w:tplc="04090019">
      <w:start w:val="1"/>
      <w:numFmt w:val="lowerLetter"/>
      <w:lvlText w:val="%3."/>
      <w:lvlJc w:val="left"/>
      <w:pPr>
        <w:ind w:left="144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1" w15:restartNumberingAfterBreak="0">
    <w:nsid w:val="347C2659"/>
    <w:multiLevelType w:val="hybridMultilevel"/>
    <w:tmpl w:val="DEDE69F4"/>
    <w:lvl w:ilvl="0" w:tplc="FFFFFFFF">
      <w:start w:val="1"/>
      <w:numFmt w:val="decimal"/>
      <w:lvlText w:val="%1."/>
      <w:lvlJc w:val="left"/>
      <w:pPr>
        <w:ind w:left="720" w:hanging="360"/>
      </w:pPr>
      <w:rPr>
        <w:rFonts w:hint="default"/>
        <w:b w:val="0"/>
        <w:bCs w:val="0"/>
        <w:color w:val="auto"/>
      </w:rPr>
    </w:lvl>
    <w:lvl w:ilvl="1" w:tplc="04090017">
      <w:start w:val="1"/>
      <w:numFmt w:val="lowerLetter"/>
      <w:lvlText w:val="%2)"/>
      <w:lvlJc w:val="left"/>
      <w:pPr>
        <w:ind w:left="1440" w:hanging="360"/>
      </w:pPr>
    </w:lvl>
    <w:lvl w:ilvl="2" w:tplc="FFFFFFFF">
      <w:start w:val="1"/>
      <w:numFmt w:val="bullet"/>
      <w:lvlText w:val=""/>
      <w:lvlJc w:val="left"/>
      <w:pPr>
        <w:ind w:left="1803" w:hanging="360"/>
      </w:pPr>
      <w:rPr>
        <w:rFonts w:ascii="Wingdings" w:hAnsi="Wingdings" w:hint="default"/>
      </w:rPr>
    </w:lvl>
    <w:lvl w:ilvl="3" w:tplc="FFFFFFFF" w:tentative="1">
      <w:start w:val="1"/>
      <w:numFmt w:val="bullet"/>
      <w:lvlText w:val=""/>
      <w:lvlJc w:val="left"/>
      <w:pPr>
        <w:ind w:left="2523" w:hanging="360"/>
      </w:pPr>
      <w:rPr>
        <w:rFonts w:ascii="Symbol" w:hAnsi="Symbol" w:hint="default"/>
      </w:rPr>
    </w:lvl>
    <w:lvl w:ilvl="4" w:tplc="FFFFFFFF" w:tentative="1">
      <w:start w:val="1"/>
      <w:numFmt w:val="bullet"/>
      <w:lvlText w:val="o"/>
      <w:lvlJc w:val="left"/>
      <w:pPr>
        <w:ind w:left="3243" w:hanging="360"/>
      </w:pPr>
      <w:rPr>
        <w:rFonts w:ascii="Courier New" w:hAnsi="Courier New" w:cs="Courier New" w:hint="default"/>
      </w:rPr>
    </w:lvl>
    <w:lvl w:ilvl="5" w:tplc="FFFFFFFF" w:tentative="1">
      <w:start w:val="1"/>
      <w:numFmt w:val="bullet"/>
      <w:lvlText w:val=""/>
      <w:lvlJc w:val="left"/>
      <w:pPr>
        <w:ind w:left="3963" w:hanging="360"/>
      </w:pPr>
      <w:rPr>
        <w:rFonts w:ascii="Wingdings" w:hAnsi="Wingdings" w:hint="default"/>
      </w:rPr>
    </w:lvl>
    <w:lvl w:ilvl="6" w:tplc="FFFFFFFF" w:tentative="1">
      <w:start w:val="1"/>
      <w:numFmt w:val="bullet"/>
      <w:lvlText w:val=""/>
      <w:lvlJc w:val="left"/>
      <w:pPr>
        <w:ind w:left="4683" w:hanging="360"/>
      </w:pPr>
      <w:rPr>
        <w:rFonts w:ascii="Symbol" w:hAnsi="Symbol" w:hint="default"/>
      </w:rPr>
    </w:lvl>
    <w:lvl w:ilvl="7" w:tplc="FFFFFFFF" w:tentative="1">
      <w:start w:val="1"/>
      <w:numFmt w:val="bullet"/>
      <w:lvlText w:val="o"/>
      <w:lvlJc w:val="left"/>
      <w:pPr>
        <w:ind w:left="5403" w:hanging="360"/>
      </w:pPr>
      <w:rPr>
        <w:rFonts w:ascii="Courier New" w:hAnsi="Courier New" w:cs="Courier New" w:hint="default"/>
      </w:rPr>
    </w:lvl>
    <w:lvl w:ilvl="8" w:tplc="FFFFFFFF" w:tentative="1">
      <w:start w:val="1"/>
      <w:numFmt w:val="bullet"/>
      <w:lvlText w:val=""/>
      <w:lvlJc w:val="left"/>
      <w:pPr>
        <w:ind w:left="6123" w:hanging="360"/>
      </w:pPr>
      <w:rPr>
        <w:rFonts w:ascii="Wingdings" w:hAnsi="Wingdings" w:hint="default"/>
      </w:rPr>
    </w:lvl>
  </w:abstractNum>
  <w:abstractNum w:abstractNumId="122" w15:restartNumberingAfterBreak="0">
    <w:nsid w:val="353E44EF"/>
    <w:multiLevelType w:val="hybridMultilevel"/>
    <w:tmpl w:val="95AC8B4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3" w15:restartNumberingAfterBreak="0">
    <w:nsid w:val="35C20ACF"/>
    <w:multiLevelType w:val="hybridMultilevel"/>
    <w:tmpl w:val="194E23DE"/>
    <w:lvl w:ilvl="0" w:tplc="75E0863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35F95AFC"/>
    <w:multiLevelType w:val="hybridMultilevel"/>
    <w:tmpl w:val="2BFCF036"/>
    <w:lvl w:ilvl="0" w:tplc="FFFFFFFF">
      <w:start w:val="1"/>
      <w:numFmt w:val="decimal"/>
      <w:lvlText w:val="%1."/>
      <w:lvlJc w:val="left"/>
      <w:pPr>
        <w:ind w:left="36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5" w15:restartNumberingAfterBreak="0">
    <w:nsid w:val="360E0104"/>
    <w:multiLevelType w:val="hybridMultilevel"/>
    <w:tmpl w:val="6A746A06"/>
    <w:lvl w:ilvl="0" w:tplc="0409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6" w15:restartNumberingAfterBreak="0">
    <w:nsid w:val="361C04A1"/>
    <w:multiLevelType w:val="hybridMultilevel"/>
    <w:tmpl w:val="F580F478"/>
    <w:lvl w:ilvl="0" w:tplc="FFFFFFFF">
      <w:start w:val="1"/>
      <w:numFmt w:val="bullet"/>
      <w:lvlText w:val=""/>
      <w:lvlJc w:val="left"/>
      <w:pPr>
        <w:ind w:left="474" w:hanging="360"/>
      </w:pPr>
      <w:rPr>
        <w:rFonts w:ascii="Symbol" w:hAnsi="Symbol" w:hint="default"/>
      </w:rPr>
    </w:lvl>
    <w:lvl w:ilvl="1" w:tplc="FFFFFFFF">
      <w:start w:val="1"/>
      <w:numFmt w:val="bullet"/>
      <w:lvlText w:val="o"/>
      <w:lvlJc w:val="left"/>
      <w:pPr>
        <w:ind w:left="1194" w:hanging="360"/>
      </w:pPr>
      <w:rPr>
        <w:rFonts w:ascii="Courier New" w:hAnsi="Courier New" w:cs="Courier New" w:hint="default"/>
      </w:rPr>
    </w:lvl>
    <w:lvl w:ilvl="2" w:tplc="0F86E8E4">
      <w:start w:val="1"/>
      <w:numFmt w:val="decimal"/>
      <w:lvlText w:val="(%3)"/>
      <w:lvlJc w:val="right"/>
      <w:pPr>
        <w:ind w:left="1914" w:hanging="360"/>
      </w:pPr>
      <w:rPr>
        <w:rFonts w:hint="default"/>
      </w:rPr>
    </w:lvl>
    <w:lvl w:ilvl="3" w:tplc="FFFFFFFF" w:tentative="1">
      <w:start w:val="1"/>
      <w:numFmt w:val="bullet"/>
      <w:lvlText w:val=""/>
      <w:lvlJc w:val="left"/>
      <w:pPr>
        <w:ind w:left="2634" w:hanging="360"/>
      </w:pPr>
      <w:rPr>
        <w:rFonts w:ascii="Symbol" w:hAnsi="Symbol" w:hint="default"/>
      </w:rPr>
    </w:lvl>
    <w:lvl w:ilvl="4" w:tplc="FFFFFFFF" w:tentative="1">
      <w:start w:val="1"/>
      <w:numFmt w:val="bullet"/>
      <w:lvlText w:val="o"/>
      <w:lvlJc w:val="left"/>
      <w:pPr>
        <w:ind w:left="3354" w:hanging="360"/>
      </w:pPr>
      <w:rPr>
        <w:rFonts w:ascii="Courier New" w:hAnsi="Courier New" w:cs="Courier New" w:hint="default"/>
      </w:rPr>
    </w:lvl>
    <w:lvl w:ilvl="5" w:tplc="FFFFFFFF" w:tentative="1">
      <w:start w:val="1"/>
      <w:numFmt w:val="bullet"/>
      <w:lvlText w:val=""/>
      <w:lvlJc w:val="left"/>
      <w:pPr>
        <w:ind w:left="4074" w:hanging="360"/>
      </w:pPr>
      <w:rPr>
        <w:rFonts w:ascii="Wingdings" w:hAnsi="Wingdings" w:hint="default"/>
      </w:rPr>
    </w:lvl>
    <w:lvl w:ilvl="6" w:tplc="FFFFFFFF" w:tentative="1">
      <w:start w:val="1"/>
      <w:numFmt w:val="bullet"/>
      <w:lvlText w:val=""/>
      <w:lvlJc w:val="left"/>
      <w:pPr>
        <w:ind w:left="4794" w:hanging="360"/>
      </w:pPr>
      <w:rPr>
        <w:rFonts w:ascii="Symbol" w:hAnsi="Symbol" w:hint="default"/>
      </w:rPr>
    </w:lvl>
    <w:lvl w:ilvl="7" w:tplc="FFFFFFFF" w:tentative="1">
      <w:start w:val="1"/>
      <w:numFmt w:val="bullet"/>
      <w:lvlText w:val="o"/>
      <w:lvlJc w:val="left"/>
      <w:pPr>
        <w:ind w:left="5514" w:hanging="360"/>
      </w:pPr>
      <w:rPr>
        <w:rFonts w:ascii="Courier New" w:hAnsi="Courier New" w:cs="Courier New" w:hint="default"/>
      </w:rPr>
    </w:lvl>
    <w:lvl w:ilvl="8" w:tplc="FFFFFFFF" w:tentative="1">
      <w:start w:val="1"/>
      <w:numFmt w:val="bullet"/>
      <w:lvlText w:val=""/>
      <w:lvlJc w:val="left"/>
      <w:pPr>
        <w:ind w:left="6234" w:hanging="360"/>
      </w:pPr>
      <w:rPr>
        <w:rFonts w:ascii="Wingdings" w:hAnsi="Wingdings" w:hint="default"/>
      </w:rPr>
    </w:lvl>
  </w:abstractNum>
  <w:abstractNum w:abstractNumId="127" w15:restartNumberingAfterBreak="0">
    <w:nsid w:val="36395C31"/>
    <w:multiLevelType w:val="multilevel"/>
    <w:tmpl w:val="D5A49804"/>
    <w:lvl w:ilvl="0">
      <w:start w:val="1"/>
      <w:numFmt w:val="decimal"/>
      <w:lvlText w:val="(%1)"/>
      <w:lvlJc w:val="left"/>
      <w:pPr>
        <w:tabs>
          <w:tab w:val="num" w:pos="360"/>
        </w:tabs>
        <w:ind w:left="360" w:hanging="360"/>
      </w:pPr>
      <w:rPr>
        <w:rFonts w:hint="default"/>
      </w:rPr>
    </w:lvl>
    <w:lvl w:ilvl="1">
      <w:start w:val="1"/>
      <w:numFmt w:val="lowerLetter"/>
      <w:pStyle w:val="Paraa"/>
      <w:lvlText w:val="(%2)"/>
      <w:lvlJc w:val="left"/>
      <w:pPr>
        <w:tabs>
          <w:tab w:val="num" w:pos="720"/>
        </w:tabs>
        <w:ind w:left="720" w:hanging="360"/>
      </w:pPr>
      <w:rPr>
        <w:rFonts w:hint="default"/>
        <w:b w:val="0"/>
        <w:i w:val="0"/>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8" w15:restartNumberingAfterBreak="0">
    <w:nsid w:val="36C613E3"/>
    <w:multiLevelType w:val="hybridMultilevel"/>
    <w:tmpl w:val="4C1AE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36EC4B78"/>
    <w:multiLevelType w:val="hybridMultilevel"/>
    <w:tmpl w:val="DCA8B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3735329E"/>
    <w:multiLevelType w:val="hybridMultilevel"/>
    <w:tmpl w:val="485AF1B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1" w15:restartNumberingAfterBreak="0">
    <w:nsid w:val="3740510F"/>
    <w:multiLevelType w:val="hybridMultilevel"/>
    <w:tmpl w:val="ED52F67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2" w15:restartNumberingAfterBreak="0">
    <w:nsid w:val="38530C65"/>
    <w:multiLevelType w:val="hybridMultilevel"/>
    <w:tmpl w:val="5F965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385E3F9D"/>
    <w:multiLevelType w:val="hybridMultilevel"/>
    <w:tmpl w:val="4C40C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38D74AF7"/>
    <w:multiLevelType w:val="hybridMultilevel"/>
    <w:tmpl w:val="5CACB606"/>
    <w:lvl w:ilvl="0" w:tplc="9F1A53DC">
      <w:start w:val="1"/>
      <w:numFmt w:val="lowerLetter"/>
      <w:lvlText w:val="%1)"/>
      <w:lvlJc w:val="left"/>
      <w:pPr>
        <w:ind w:left="1080" w:hanging="360"/>
      </w:pPr>
      <w:rPr>
        <w:rFonts w:hint="default"/>
        <w:b w:val="0"/>
        <w:bCs/>
        <w:i w:val="0"/>
        <w:i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15:restartNumberingAfterBreak="0">
    <w:nsid w:val="39256DC2"/>
    <w:multiLevelType w:val="multilevel"/>
    <w:tmpl w:val="94C4AFB8"/>
    <w:lvl w:ilvl="0">
      <w:start w:val="1"/>
      <w:numFmt w:val="decimal"/>
      <w:suff w:val="space"/>
      <w:lvlText w:val="CHAPTER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36" w15:restartNumberingAfterBreak="0">
    <w:nsid w:val="392E4655"/>
    <w:multiLevelType w:val="hybridMultilevel"/>
    <w:tmpl w:val="3E36F5D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39C3391C"/>
    <w:multiLevelType w:val="hybridMultilevel"/>
    <w:tmpl w:val="61E859CA"/>
    <w:lvl w:ilvl="0" w:tplc="FFFFFFFF">
      <w:start w:val="1"/>
      <w:numFmt w:val="lowerRoman"/>
      <w:lvlText w:val="%1."/>
      <w:lvlJc w:val="right"/>
      <w:pPr>
        <w:ind w:left="2339" w:hanging="360"/>
      </w:pPr>
    </w:lvl>
    <w:lvl w:ilvl="1" w:tplc="FFFFFFFF">
      <w:start w:val="1"/>
      <w:numFmt w:val="lowerLetter"/>
      <w:lvlText w:val="%2."/>
      <w:lvlJc w:val="left"/>
      <w:pPr>
        <w:ind w:left="3059" w:hanging="360"/>
      </w:pPr>
    </w:lvl>
    <w:lvl w:ilvl="2" w:tplc="FFFFFFFF">
      <w:start w:val="1"/>
      <w:numFmt w:val="lowerRoman"/>
      <w:lvlText w:val="%3."/>
      <w:lvlJc w:val="right"/>
      <w:pPr>
        <w:ind w:left="3779" w:hanging="180"/>
      </w:pPr>
    </w:lvl>
    <w:lvl w:ilvl="3" w:tplc="FFFFFFFF" w:tentative="1">
      <w:start w:val="1"/>
      <w:numFmt w:val="decimal"/>
      <w:lvlText w:val="%4."/>
      <w:lvlJc w:val="left"/>
      <w:pPr>
        <w:ind w:left="4499" w:hanging="360"/>
      </w:pPr>
    </w:lvl>
    <w:lvl w:ilvl="4" w:tplc="FFFFFFFF" w:tentative="1">
      <w:start w:val="1"/>
      <w:numFmt w:val="lowerLetter"/>
      <w:lvlText w:val="%5."/>
      <w:lvlJc w:val="left"/>
      <w:pPr>
        <w:ind w:left="5219" w:hanging="360"/>
      </w:pPr>
    </w:lvl>
    <w:lvl w:ilvl="5" w:tplc="FFFFFFFF" w:tentative="1">
      <w:start w:val="1"/>
      <w:numFmt w:val="lowerRoman"/>
      <w:lvlText w:val="%6."/>
      <w:lvlJc w:val="right"/>
      <w:pPr>
        <w:ind w:left="5939" w:hanging="180"/>
      </w:pPr>
    </w:lvl>
    <w:lvl w:ilvl="6" w:tplc="FFFFFFFF" w:tentative="1">
      <w:start w:val="1"/>
      <w:numFmt w:val="decimal"/>
      <w:lvlText w:val="%7."/>
      <w:lvlJc w:val="left"/>
      <w:pPr>
        <w:ind w:left="6659" w:hanging="360"/>
      </w:pPr>
    </w:lvl>
    <w:lvl w:ilvl="7" w:tplc="FFFFFFFF" w:tentative="1">
      <w:start w:val="1"/>
      <w:numFmt w:val="lowerLetter"/>
      <w:lvlText w:val="%8."/>
      <w:lvlJc w:val="left"/>
      <w:pPr>
        <w:ind w:left="7379" w:hanging="360"/>
      </w:pPr>
    </w:lvl>
    <w:lvl w:ilvl="8" w:tplc="FFFFFFFF" w:tentative="1">
      <w:start w:val="1"/>
      <w:numFmt w:val="lowerRoman"/>
      <w:lvlText w:val="%9."/>
      <w:lvlJc w:val="right"/>
      <w:pPr>
        <w:ind w:left="8099" w:hanging="180"/>
      </w:pPr>
    </w:lvl>
  </w:abstractNum>
  <w:abstractNum w:abstractNumId="138" w15:restartNumberingAfterBreak="0">
    <w:nsid w:val="3A685AFC"/>
    <w:multiLevelType w:val="hybridMultilevel"/>
    <w:tmpl w:val="F9CA60D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9" w15:restartNumberingAfterBreak="0">
    <w:nsid w:val="3A6A357D"/>
    <w:multiLevelType w:val="hybridMultilevel"/>
    <w:tmpl w:val="57802D4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0" w15:restartNumberingAfterBreak="0">
    <w:nsid w:val="3AAE5635"/>
    <w:multiLevelType w:val="hybridMultilevel"/>
    <w:tmpl w:val="9D4CD6E0"/>
    <w:lvl w:ilvl="0" w:tplc="0409000F">
      <w:start w:val="1"/>
      <w:numFmt w:val="decimal"/>
      <w:lvlText w:val="%1."/>
      <w:lvlJc w:val="left"/>
      <w:pPr>
        <w:ind w:left="720" w:hanging="360"/>
      </w:pPr>
      <w:rPr>
        <w:rFonts w:hint="default"/>
        <w:strike w:val="0"/>
        <w:color w:val="auto"/>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1" w15:restartNumberingAfterBreak="0">
    <w:nsid w:val="3B4B79CD"/>
    <w:multiLevelType w:val="hybridMultilevel"/>
    <w:tmpl w:val="7C08C4CA"/>
    <w:lvl w:ilvl="0" w:tplc="02805C0C">
      <w:start w:val="1"/>
      <w:numFmt w:val="lowerLetter"/>
      <w:lvlText w:val="%1)"/>
      <w:lvlJc w:val="left"/>
      <w:pPr>
        <w:ind w:left="1440" w:hanging="360"/>
      </w:pPr>
      <w:rPr>
        <w:rFonts w:hint="default"/>
        <w:b w:val="0"/>
        <w:bCs w:val="0"/>
        <w:i w:val="0"/>
        <w:iCs w:val="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2" w15:restartNumberingAfterBreak="0">
    <w:nsid w:val="3D00721B"/>
    <w:multiLevelType w:val="hybridMultilevel"/>
    <w:tmpl w:val="E26C0C2E"/>
    <w:lvl w:ilvl="0" w:tplc="04090001">
      <w:start w:val="1"/>
      <w:numFmt w:val="bullet"/>
      <w:pStyle w:val="00BulletList"/>
      <w:lvlText w:val=""/>
      <w:lvlJc w:val="left"/>
      <w:pPr>
        <w:tabs>
          <w:tab w:val="num" w:pos="1440"/>
        </w:tabs>
        <w:ind w:left="1440" w:hanging="720"/>
      </w:pPr>
      <w:rPr>
        <w:rFonts w:ascii="Symbol" w:hAnsi="Symbol" w:hint="default"/>
      </w:rPr>
    </w:lvl>
    <w:lvl w:ilvl="1" w:tplc="245404CC"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3D603BEE"/>
    <w:multiLevelType w:val="hybridMultilevel"/>
    <w:tmpl w:val="757A2B9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4" w15:restartNumberingAfterBreak="0">
    <w:nsid w:val="3DB04180"/>
    <w:multiLevelType w:val="hybridMultilevel"/>
    <w:tmpl w:val="FF2E350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5" w15:restartNumberingAfterBreak="0">
    <w:nsid w:val="3DBB638E"/>
    <w:multiLevelType w:val="hybridMultilevel"/>
    <w:tmpl w:val="1F92A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3EAE48C0"/>
    <w:multiLevelType w:val="hybridMultilevel"/>
    <w:tmpl w:val="8C2E6C2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7" w15:restartNumberingAfterBreak="0">
    <w:nsid w:val="3EBC7E46"/>
    <w:multiLevelType w:val="hybridMultilevel"/>
    <w:tmpl w:val="D4C2A38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8" w15:restartNumberingAfterBreak="0">
    <w:nsid w:val="3EF928FE"/>
    <w:multiLevelType w:val="hybridMultilevel"/>
    <w:tmpl w:val="1FF8B40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9" w15:restartNumberingAfterBreak="0">
    <w:nsid w:val="3F34794B"/>
    <w:multiLevelType w:val="hybridMultilevel"/>
    <w:tmpl w:val="1FF8B4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3F4907CF"/>
    <w:multiLevelType w:val="hybridMultilevel"/>
    <w:tmpl w:val="6E589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3FB82E81"/>
    <w:multiLevelType w:val="hybridMultilevel"/>
    <w:tmpl w:val="ACCA4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3FD64584"/>
    <w:multiLevelType w:val="hybridMultilevel"/>
    <w:tmpl w:val="1B7A60D8"/>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3" w15:restartNumberingAfterBreak="0">
    <w:nsid w:val="40153713"/>
    <w:multiLevelType w:val="hybridMultilevel"/>
    <w:tmpl w:val="AC9C9308"/>
    <w:lvl w:ilvl="0" w:tplc="0409000F">
      <w:start w:val="1"/>
      <w:numFmt w:val="decimal"/>
      <w:lvlText w:val="%1."/>
      <w:lvlJc w:val="left"/>
      <w:pPr>
        <w:tabs>
          <w:tab w:val="num" w:pos="720"/>
        </w:tabs>
        <w:ind w:left="360" w:hanging="360"/>
      </w:pPr>
      <w:rPr>
        <w:rFonts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40694E08"/>
    <w:multiLevelType w:val="hybridMultilevel"/>
    <w:tmpl w:val="E4D0C504"/>
    <w:lvl w:ilvl="0" w:tplc="FFFFFFFF">
      <w:start w:val="1"/>
      <w:numFmt w:val="bullet"/>
      <w:lvlText w:val=""/>
      <w:lvlJc w:val="left"/>
      <w:pPr>
        <w:tabs>
          <w:tab w:val="num" w:pos="720"/>
        </w:tabs>
        <w:ind w:left="720" w:hanging="360"/>
      </w:pPr>
      <w:rPr>
        <w:rFonts w:ascii="Symbol" w:hAnsi="Symbol" w:hint="default"/>
        <w:color w:val="auto"/>
      </w:rPr>
    </w:lvl>
    <w:lvl w:ilvl="1" w:tplc="04090017">
      <w:start w:val="1"/>
      <w:numFmt w:val="lowerLetter"/>
      <w:lvlText w:val="%2)"/>
      <w:lvlJc w:val="left"/>
      <w:pPr>
        <w:ind w:left="1440" w:hanging="360"/>
      </w:pPr>
    </w:lvl>
    <w:lvl w:ilvl="2" w:tplc="FFFFFFFF">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55" w15:restartNumberingAfterBreak="0">
    <w:nsid w:val="409555E1"/>
    <w:multiLevelType w:val="hybridMultilevel"/>
    <w:tmpl w:val="CA44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40D2070E"/>
    <w:multiLevelType w:val="hybridMultilevel"/>
    <w:tmpl w:val="86D64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4115792E"/>
    <w:multiLevelType w:val="hybridMultilevel"/>
    <w:tmpl w:val="D35A9EE4"/>
    <w:lvl w:ilvl="0" w:tplc="FFFFFFFF">
      <w:start w:val="1"/>
      <w:numFmt w:val="decimal"/>
      <w:lvlText w:val="%1."/>
      <w:lvlJc w:val="left"/>
      <w:pPr>
        <w:ind w:left="720" w:hanging="360"/>
      </w:pPr>
      <w:rPr>
        <w:rFonts w:cs="Times New Roman" w:hint="default"/>
        <w:snapToGrid/>
        <w:w w:val="105"/>
        <w:sz w:val="22"/>
        <w:szCs w:val="24"/>
      </w:rPr>
    </w:lvl>
    <w:lvl w:ilvl="1" w:tplc="0409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8" w15:restartNumberingAfterBreak="0">
    <w:nsid w:val="415A571B"/>
    <w:multiLevelType w:val="hybridMultilevel"/>
    <w:tmpl w:val="0F9C46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415A5E65"/>
    <w:multiLevelType w:val="hybridMultilevel"/>
    <w:tmpl w:val="EC760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417E2F1B"/>
    <w:multiLevelType w:val="hybridMultilevel"/>
    <w:tmpl w:val="548E63C2"/>
    <w:lvl w:ilvl="0" w:tplc="FFFFFFFF">
      <w:start w:val="1"/>
      <w:numFmt w:val="decimal"/>
      <w:lvlText w:val="%1."/>
      <w:lvlJc w:val="left"/>
      <w:pPr>
        <w:ind w:left="720"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1" w15:restartNumberingAfterBreak="0">
    <w:nsid w:val="41AD3FBF"/>
    <w:multiLevelType w:val="hybridMultilevel"/>
    <w:tmpl w:val="7F542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41B45400"/>
    <w:multiLevelType w:val="hybridMultilevel"/>
    <w:tmpl w:val="AA3C3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41BB6A6E"/>
    <w:multiLevelType w:val="hybridMultilevel"/>
    <w:tmpl w:val="1FF8B40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4" w15:restartNumberingAfterBreak="0">
    <w:nsid w:val="429F0AD9"/>
    <w:multiLevelType w:val="hybridMultilevel"/>
    <w:tmpl w:val="12607392"/>
    <w:lvl w:ilvl="0" w:tplc="FFFFFFFF">
      <w:start w:val="1"/>
      <w:numFmt w:val="decimal"/>
      <w:lvlText w:val="%1."/>
      <w:lvlJc w:val="left"/>
      <w:pPr>
        <w:ind w:left="1438" w:hanging="360"/>
      </w:pPr>
      <w:rPr>
        <w:rFonts w:hint="default"/>
      </w:rPr>
    </w:lvl>
    <w:lvl w:ilvl="1" w:tplc="04090003" w:tentative="1">
      <w:start w:val="1"/>
      <w:numFmt w:val="bullet"/>
      <w:lvlText w:val="o"/>
      <w:lvlJc w:val="left"/>
      <w:pPr>
        <w:ind w:left="2158" w:hanging="360"/>
      </w:pPr>
      <w:rPr>
        <w:rFonts w:ascii="Courier New" w:hAnsi="Courier New" w:cs="Courier New" w:hint="default"/>
      </w:rPr>
    </w:lvl>
    <w:lvl w:ilvl="2" w:tplc="04090005" w:tentative="1">
      <w:start w:val="1"/>
      <w:numFmt w:val="bullet"/>
      <w:lvlText w:val=""/>
      <w:lvlJc w:val="left"/>
      <w:pPr>
        <w:ind w:left="2878" w:hanging="360"/>
      </w:pPr>
      <w:rPr>
        <w:rFonts w:ascii="Wingdings" w:hAnsi="Wingdings" w:hint="default"/>
      </w:rPr>
    </w:lvl>
    <w:lvl w:ilvl="3" w:tplc="04090001" w:tentative="1">
      <w:start w:val="1"/>
      <w:numFmt w:val="bullet"/>
      <w:lvlText w:val=""/>
      <w:lvlJc w:val="left"/>
      <w:pPr>
        <w:ind w:left="3598" w:hanging="360"/>
      </w:pPr>
      <w:rPr>
        <w:rFonts w:ascii="Symbol" w:hAnsi="Symbol" w:hint="default"/>
      </w:rPr>
    </w:lvl>
    <w:lvl w:ilvl="4" w:tplc="04090003" w:tentative="1">
      <w:start w:val="1"/>
      <w:numFmt w:val="bullet"/>
      <w:lvlText w:val="o"/>
      <w:lvlJc w:val="left"/>
      <w:pPr>
        <w:ind w:left="4318" w:hanging="360"/>
      </w:pPr>
      <w:rPr>
        <w:rFonts w:ascii="Courier New" w:hAnsi="Courier New" w:cs="Courier New" w:hint="default"/>
      </w:rPr>
    </w:lvl>
    <w:lvl w:ilvl="5" w:tplc="04090005" w:tentative="1">
      <w:start w:val="1"/>
      <w:numFmt w:val="bullet"/>
      <w:lvlText w:val=""/>
      <w:lvlJc w:val="left"/>
      <w:pPr>
        <w:ind w:left="5038" w:hanging="360"/>
      </w:pPr>
      <w:rPr>
        <w:rFonts w:ascii="Wingdings" w:hAnsi="Wingdings" w:hint="default"/>
      </w:rPr>
    </w:lvl>
    <w:lvl w:ilvl="6" w:tplc="04090001" w:tentative="1">
      <w:start w:val="1"/>
      <w:numFmt w:val="bullet"/>
      <w:lvlText w:val=""/>
      <w:lvlJc w:val="left"/>
      <w:pPr>
        <w:ind w:left="5758" w:hanging="360"/>
      </w:pPr>
      <w:rPr>
        <w:rFonts w:ascii="Symbol" w:hAnsi="Symbol" w:hint="default"/>
      </w:rPr>
    </w:lvl>
    <w:lvl w:ilvl="7" w:tplc="04090003" w:tentative="1">
      <w:start w:val="1"/>
      <w:numFmt w:val="bullet"/>
      <w:lvlText w:val="o"/>
      <w:lvlJc w:val="left"/>
      <w:pPr>
        <w:ind w:left="6478" w:hanging="360"/>
      </w:pPr>
      <w:rPr>
        <w:rFonts w:ascii="Courier New" w:hAnsi="Courier New" w:cs="Courier New" w:hint="default"/>
      </w:rPr>
    </w:lvl>
    <w:lvl w:ilvl="8" w:tplc="04090005" w:tentative="1">
      <w:start w:val="1"/>
      <w:numFmt w:val="bullet"/>
      <w:lvlText w:val=""/>
      <w:lvlJc w:val="left"/>
      <w:pPr>
        <w:ind w:left="7198" w:hanging="360"/>
      </w:pPr>
      <w:rPr>
        <w:rFonts w:ascii="Wingdings" w:hAnsi="Wingdings" w:hint="default"/>
      </w:rPr>
    </w:lvl>
  </w:abstractNum>
  <w:abstractNum w:abstractNumId="165" w15:restartNumberingAfterBreak="0">
    <w:nsid w:val="42BF61DB"/>
    <w:multiLevelType w:val="hybridMultilevel"/>
    <w:tmpl w:val="6E96D88A"/>
    <w:lvl w:ilvl="0" w:tplc="FFFFFFFF">
      <w:start w:val="1"/>
      <w:numFmt w:val="decimal"/>
      <w:lvlText w:val="%1."/>
      <w:lvlJc w:val="left"/>
      <w:pPr>
        <w:tabs>
          <w:tab w:val="num" w:pos="360"/>
        </w:tabs>
        <w:ind w:left="360" w:hanging="360"/>
      </w:pPr>
      <w:rPr>
        <w:rFonts w:hint="default"/>
        <w:strike w:val="0"/>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6" w15:restartNumberingAfterBreak="0">
    <w:nsid w:val="42F31765"/>
    <w:multiLevelType w:val="hybridMultilevel"/>
    <w:tmpl w:val="E806F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43014540"/>
    <w:multiLevelType w:val="hybridMultilevel"/>
    <w:tmpl w:val="457051AA"/>
    <w:lvl w:ilvl="0" w:tplc="04090017">
      <w:start w:val="1"/>
      <w:numFmt w:val="lowerLetter"/>
      <w:lvlText w:val="%1)"/>
      <w:lvlJc w:val="left"/>
      <w:pPr>
        <w:ind w:left="720" w:hanging="360"/>
      </w:pPr>
      <w:rPr>
        <w:rFonts w:hint="default"/>
        <w:b w:val="0"/>
        <w:bCs w:val="0"/>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8" w15:restartNumberingAfterBreak="0">
    <w:nsid w:val="445071E7"/>
    <w:multiLevelType w:val="hybridMultilevel"/>
    <w:tmpl w:val="4300D16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35F08CB2">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9" w15:restartNumberingAfterBreak="0">
    <w:nsid w:val="446E6750"/>
    <w:multiLevelType w:val="hybridMultilevel"/>
    <w:tmpl w:val="86FE2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454D6B47"/>
    <w:multiLevelType w:val="hybridMultilevel"/>
    <w:tmpl w:val="0770BFB4"/>
    <w:lvl w:ilvl="0" w:tplc="04090001">
      <w:start w:val="1"/>
      <w:numFmt w:val="bullet"/>
      <w:lvlText w:val=""/>
      <w:lvlJc w:val="left"/>
      <w:pPr>
        <w:ind w:left="720" w:hanging="360"/>
      </w:pPr>
      <w:rPr>
        <w:rFonts w:ascii="Symbol" w:hAnsi="Symbol" w:hint="default"/>
        <w:color w:val="auto"/>
        <w:sz w:val="20"/>
        <w:szCs w:val="20"/>
      </w:rPr>
    </w:lvl>
    <w:lvl w:ilvl="1" w:tplc="FFFFFFFF">
      <w:start w:val="1"/>
      <w:numFmt w:val="bullet"/>
      <w:lvlText w:val="o"/>
      <w:lvlJc w:val="left"/>
      <w:pPr>
        <w:ind w:left="1440" w:hanging="360"/>
      </w:pPr>
      <w:rPr>
        <w:rFonts w:ascii="Times New Roman" w:hAnsi="Times New Roman" w:cs="Times New Roman" w:hint="default"/>
        <w:sz w:val="20"/>
        <w:szCs w:val="2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1" w15:restartNumberingAfterBreak="0">
    <w:nsid w:val="45A17877"/>
    <w:multiLevelType w:val="hybridMultilevel"/>
    <w:tmpl w:val="A50EA638"/>
    <w:lvl w:ilvl="0" w:tplc="0409000B">
      <w:start w:val="1"/>
      <w:numFmt w:val="bullet"/>
      <w:lvlText w:val=""/>
      <w:lvlJc w:val="left"/>
      <w:pPr>
        <w:ind w:left="144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2" w15:restartNumberingAfterBreak="0">
    <w:nsid w:val="45EA6294"/>
    <w:multiLevelType w:val="hybridMultilevel"/>
    <w:tmpl w:val="C7F23AFA"/>
    <w:lvl w:ilvl="0" w:tplc="0409000F">
      <w:start w:val="1"/>
      <w:numFmt w:val="decimal"/>
      <w:lvlText w:val="%1."/>
      <w:lvlJc w:val="left"/>
      <w:pPr>
        <w:ind w:left="770" w:hanging="360"/>
      </w:pPr>
      <w:rPr>
        <w:rFonts w:hint="default"/>
      </w:rPr>
    </w:lvl>
    <w:lvl w:ilvl="1" w:tplc="FFFFFFFF" w:tentative="1">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173" w15:restartNumberingAfterBreak="0">
    <w:nsid w:val="46253371"/>
    <w:multiLevelType w:val="hybridMultilevel"/>
    <w:tmpl w:val="59F0B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46823F93"/>
    <w:multiLevelType w:val="hybridMultilevel"/>
    <w:tmpl w:val="69FEA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472A5F0F"/>
    <w:multiLevelType w:val="hybridMultilevel"/>
    <w:tmpl w:val="FF7E2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475B2B09"/>
    <w:multiLevelType w:val="hybridMultilevel"/>
    <w:tmpl w:val="82905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478E5D73"/>
    <w:multiLevelType w:val="hybridMultilevel"/>
    <w:tmpl w:val="166EBA42"/>
    <w:lvl w:ilvl="0" w:tplc="FFFFFFFF">
      <w:start w:val="1"/>
      <w:numFmt w:val="bullet"/>
      <w:pStyle w:val="Level1BulletChar"/>
      <w:lvlText w:val=""/>
      <w:lvlJc w:val="left"/>
      <w:pPr>
        <w:tabs>
          <w:tab w:val="num" w:pos="810"/>
        </w:tabs>
        <w:ind w:left="810" w:hanging="720"/>
      </w:pPr>
      <w:rPr>
        <w:rFonts w:ascii="Symbol" w:hAnsi="Symbol" w:hint="default"/>
        <w:color w:val="auto"/>
      </w:rPr>
    </w:lvl>
    <w:lvl w:ilvl="1" w:tplc="DD80F874">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8" w15:restartNumberingAfterBreak="0">
    <w:nsid w:val="47A66D09"/>
    <w:multiLevelType w:val="hybridMultilevel"/>
    <w:tmpl w:val="634AAB9A"/>
    <w:lvl w:ilvl="0" w:tplc="C78AAAD6">
      <w:start w:val="1"/>
      <w:numFmt w:val="bullet"/>
      <w:lvlText w:val=""/>
      <w:lvlJc w:val="left"/>
      <w:pPr>
        <w:ind w:left="720" w:hanging="360"/>
      </w:pPr>
      <w:rPr>
        <w:rFonts w:ascii="Symbol" w:hAnsi="Symbol" w:hint="default"/>
        <w:strike w:val="0"/>
        <w:color w:val="auto"/>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482B6CBF"/>
    <w:multiLevelType w:val="hybridMultilevel"/>
    <w:tmpl w:val="6510950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0" w15:restartNumberingAfterBreak="0">
    <w:nsid w:val="485829F4"/>
    <w:multiLevelType w:val="hybridMultilevel"/>
    <w:tmpl w:val="54F6F61E"/>
    <w:lvl w:ilvl="0" w:tplc="04090001">
      <w:start w:val="1"/>
      <w:numFmt w:val="bullet"/>
      <w:lvlText w:val=""/>
      <w:lvlJc w:val="left"/>
      <w:pPr>
        <w:ind w:left="720" w:hanging="360"/>
      </w:pPr>
      <w:rPr>
        <w:rFonts w:ascii="Symbol" w:hAnsi="Symbol" w:hint="default"/>
        <w:b w:val="0"/>
        <w:bCs w:val="0"/>
        <w:strike w:val="0"/>
        <w:color w:val="auto"/>
      </w:rPr>
    </w:lvl>
    <w:lvl w:ilvl="1" w:tplc="FFFFFFFF">
      <w:start w:val="1"/>
      <w:numFmt w:val="lowerLetter"/>
      <w:lvlText w:val="%2)"/>
      <w:lvlJc w:val="left"/>
      <w:pPr>
        <w:ind w:left="1440" w:hanging="360"/>
      </w:pPr>
    </w:lvl>
    <w:lvl w:ilvl="2" w:tplc="FFFFFFFF">
      <w:start w:val="1"/>
      <w:numFmt w:val="bullet"/>
      <w:lvlText w:val=""/>
      <w:lvlJc w:val="left"/>
      <w:pPr>
        <w:ind w:left="1803" w:hanging="360"/>
      </w:pPr>
      <w:rPr>
        <w:rFonts w:ascii="Wingdings" w:hAnsi="Wingdings" w:hint="default"/>
      </w:rPr>
    </w:lvl>
    <w:lvl w:ilvl="3" w:tplc="FFFFFFFF" w:tentative="1">
      <w:start w:val="1"/>
      <w:numFmt w:val="bullet"/>
      <w:lvlText w:val=""/>
      <w:lvlJc w:val="left"/>
      <w:pPr>
        <w:ind w:left="2523" w:hanging="360"/>
      </w:pPr>
      <w:rPr>
        <w:rFonts w:ascii="Symbol" w:hAnsi="Symbol" w:hint="default"/>
      </w:rPr>
    </w:lvl>
    <w:lvl w:ilvl="4" w:tplc="FFFFFFFF" w:tentative="1">
      <w:start w:val="1"/>
      <w:numFmt w:val="bullet"/>
      <w:lvlText w:val="o"/>
      <w:lvlJc w:val="left"/>
      <w:pPr>
        <w:ind w:left="3243" w:hanging="360"/>
      </w:pPr>
      <w:rPr>
        <w:rFonts w:ascii="Courier New" w:hAnsi="Courier New" w:cs="Courier New" w:hint="default"/>
      </w:rPr>
    </w:lvl>
    <w:lvl w:ilvl="5" w:tplc="FFFFFFFF" w:tentative="1">
      <w:start w:val="1"/>
      <w:numFmt w:val="bullet"/>
      <w:lvlText w:val=""/>
      <w:lvlJc w:val="left"/>
      <w:pPr>
        <w:ind w:left="3963" w:hanging="360"/>
      </w:pPr>
      <w:rPr>
        <w:rFonts w:ascii="Wingdings" w:hAnsi="Wingdings" w:hint="default"/>
      </w:rPr>
    </w:lvl>
    <w:lvl w:ilvl="6" w:tplc="FFFFFFFF" w:tentative="1">
      <w:start w:val="1"/>
      <w:numFmt w:val="bullet"/>
      <w:lvlText w:val=""/>
      <w:lvlJc w:val="left"/>
      <w:pPr>
        <w:ind w:left="4683" w:hanging="360"/>
      </w:pPr>
      <w:rPr>
        <w:rFonts w:ascii="Symbol" w:hAnsi="Symbol" w:hint="default"/>
      </w:rPr>
    </w:lvl>
    <w:lvl w:ilvl="7" w:tplc="FFFFFFFF" w:tentative="1">
      <w:start w:val="1"/>
      <w:numFmt w:val="bullet"/>
      <w:lvlText w:val="o"/>
      <w:lvlJc w:val="left"/>
      <w:pPr>
        <w:ind w:left="5403" w:hanging="360"/>
      </w:pPr>
      <w:rPr>
        <w:rFonts w:ascii="Courier New" w:hAnsi="Courier New" w:cs="Courier New" w:hint="default"/>
      </w:rPr>
    </w:lvl>
    <w:lvl w:ilvl="8" w:tplc="FFFFFFFF" w:tentative="1">
      <w:start w:val="1"/>
      <w:numFmt w:val="bullet"/>
      <w:lvlText w:val=""/>
      <w:lvlJc w:val="left"/>
      <w:pPr>
        <w:ind w:left="6123" w:hanging="360"/>
      </w:pPr>
      <w:rPr>
        <w:rFonts w:ascii="Wingdings" w:hAnsi="Wingdings" w:hint="default"/>
      </w:rPr>
    </w:lvl>
  </w:abstractNum>
  <w:abstractNum w:abstractNumId="181" w15:restartNumberingAfterBreak="0">
    <w:nsid w:val="489C52E8"/>
    <w:multiLevelType w:val="hybridMultilevel"/>
    <w:tmpl w:val="9B54542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3827"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2" w15:restartNumberingAfterBreak="0">
    <w:nsid w:val="48DA16D9"/>
    <w:multiLevelType w:val="hybridMultilevel"/>
    <w:tmpl w:val="89E2471A"/>
    <w:lvl w:ilvl="0" w:tplc="0409000F">
      <w:start w:val="1"/>
      <w:numFmt w:val="decimal"/>
      <w:lvlText w:val="%1."/>
      <w:lvlJc w:val="left"/>
      <w:pPr>
        <w:ind w:left="2321" w:hanging="360"/>
      </w:pPr>
    </w:lvl>
    <w:lvl w:ilvl="1" w:tplc="FFFFFFFF" w:tentative="1">
      <w:start w:val="1"/>
      <w:numFmt w:val="lowerLetter"/>
      <w:lvlText w:val="%2."/>
      <w:lvlJc w:val="left"/>
      <w:pPr>
        <w:ind w:left="3041" w:hanging="360"/>
      </w:pPr>
    </w:lvl>
    <w:lvl w:ilvl="2" w:tplc="FFFFFFFF" w:tentative="1">
      <w:start w:val="1"/>
      <w:numFmt w:val="lowerRoman"/>
      <w:lvlText w:val="%3."/>
      <w:lvlJc w:val="right"/>
      <w:pPr>
        <w:ind w:left="3761" w:hanging="180"/>
      </w:pPr>
    </w:lvl>
    <w:lvl w:ilvl="3" w:tplc="FFFFFFFF" w:tentative="1">
      <w:start w:val="1"/>
      <w:numFmt w:val="decimal"/>
      <w:lvlText w:val="%4."/>
      <w:lvlJc w:val="left"/>
      <w:pPr>
        <w:ind w:left="4481" w:hanging="360"/>
      </w:pPr>
    </w:lvl>
    <w:lvl w:ilvl="4" w:tplc="FFFFFFFF" w:tentative="1">
      <w:start w:val="1"/>
      <w:numFmt w:val="lowerLetter"/>
      <w:lvlText w:val="%5."/>
      <w:lvlJc w:val="left"/>
      <w:pPr>
        <w:ind w:left="5201" w:hanging="360"/>
      </w:pPr>
    </w:lvl>
    <w:lvl w:ilvl="5" w:tplc="FFFFFFFF" w:tentative="1">
      <w:start w:val="1"/>
      <w:numFmt w:val="lowerRoman"/>
      <w:lvlText w:val="%6."/>
      <w:lvlJc w:val="right"/>
      <w:pPr>
        <w:ind w:left="5921" w:hanging="180"/>
      </w:pPr>
    </w:lvl>
    <w:lvl w:ilvl="6" w:tplc="FFFFFFFF" w:tentative="1">
      <w:start w:val="1"/>
      <w:numFmt w:val="decimal"/>
      <w:lvlText w:val="%7."/>
      <w:lvlJc w:val="left"/>
      <w:pPr>
        <w:ind w:left="6641" w:hanging="360"/>
      </w:pPr>
    </w:lvl>
    <w:lvl w:ilvl="7" w:tplc="FFFFFFFF" w:tentative="1">
      <w:start w:val="1"/>
      <w:numFmt w:val="lowerLetter"/>
      <w:lvlText w:val="%8."/>
      <w:lvlJc w:val="left"/>
      <w:pPr>
        <w:ind w:left="7361" w:hanging="360"/>
      </w:pPr>
    </w:lvl>
    <w:lvl w:ilvl="8" w:tplc="FFFFFFFF" w:tentative="1">
      <w:start w:val="1"/>
      <w:numFmt w:val="lowerRoman"/>
      <w:lvlText w:val="%9."/>
      <w:lvlJc w:val="right"/>
      <w:pPr>
        <w:ind w:left="8081" w:hanging="180"/>
      </w:pPr>
    </w:lvl>
  </w:abstractNum>
  <w:abstractNum w:abstractNumId="183" w15:restartNumberingAfterBreak="0">
    <w:nsid w:val="49200B1C"/>
    <w:multiLevelType w:val="hybridMultilevel"/>
    <w:tmpl w:val="14A07FF8"/>
    <w:lvl w:ilvl="0" w:tplc="FFFFFFFF">
      <w:start w:val="1"/>
      <w:numFmt w:val="bullet"/>
      <w:lvlText w:val=""/>
      <w:lvlJc w:val="left"/>
      <w:pPr>
        <w:ind w:left="360" w:hanging="360"/>
      </w:pPr>
      <w:rPr>
        <w:rFonts w:ascii="Symbol" w:hAnsi="Symbol" w:hint="default"/>
      </w:rPr>
    </w:lvl>
    <w:lvl w:ilvl="1" w:tplc="04090017">
      <w:start w:val="1"/>
      <w:numFmt w:val="lowerLetter"/>
      <w:lvlText w:val="%2)"/>
      <w:lvlJc w:val="left"/>
      <w:pPr>
        <w:ind w:left="144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4" w15:restartNumberingAfterBreak="0">
    <w:nsid w:val="49B31EE5"/>
    <w:multiLevelType w:val="hybridMultilevel"/>
    <w:tmpl w:val="E3CA7E6E"/>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85" w15:restartNumberingAfterBreak="0">
    <w:nsid w:val="49F7588A"/>
    <w:multiLevelType w:val="hybridMultilevel"/>
    <w:tmpl w:val="C5166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49F916C3"/>
    <w:multiLevelType w:val="hybridMultilevel"/>
    <w:tmpl w:val="9E9434F0"/>
    <w:lvl w:ilvl="0" w:tplc="0409000F">
      <w:start w:val="1"/>
      <w:numFmt w:val="decimal"/>
      <w:lvlText w:val="%1."/>
      <w:lvlJc w:val="left"/>
      <w:pPr>
        <w:tabs>
          <w:tab w:val="num" w:pos="360"/>
        </w:tabs>
        <w:ind w:left="36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7" w15:restartNumberingAfterBreak="0">
    <w:nsid w:val="4A0142A3"/>
    <w:multiLevelType w:val="hybridMultilevel"/>
    <w:tmpl w:val="37FADD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4A155096"/>
    <w:multiLevelType w:val="hybridMultilevel"/>
    <w:tmpl w:val="86701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4A933B30"/>
    <w:multiLevelType w:val="hybridMultilevel"/>
    <w:tmpl w:val="A544A3B2"/>
    <w:lvl w:ilvl="0" w:tplc="FFFFFFFF">
      <w:start w:val="1"/>
      <w:numFmt w:val="bullet"/>
      <w:lvlText w:val="-"/>
      <w:lvlJc w:val="left"/>
      <w:pPr>
        <w:ind w:left="720" w:hanging="360"/>
      </w:pPr>
      <w:rPr>
        <w:rFonts w:ascii="Times New Roman" w:hAnsi="Times New Roman" w:cs="Times New Roman" w:hint="default"/>
        <w:color w:val="auto"/>
        <w:sz w:val="20"/>
        <w:szCs w:val="20"/>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0" w15:restartNumberingAfterBreak="0">
    <w:nsid w:val="4D6B36AC"/>
    <w:multiLevelType w:val="multilevel"/>
    <w:tmpl w:val="BDC6F192"/>
    <w:lvl w:ilvl="0">
      <w:start w:val="1"/>
      <w:numFmt w:val="upperLetter"/>
      <w:lvlText w:val="%1."/>
      <w:lvlJc w:val="left"/>
      <w:pPr>
        <w:ind w:left="360" w:hanging="360"/>
      </w:pPr>
      <w:rPr>
        <w:rFonts w:ascii="Arial" w:hAnsi="Arial" w:cs="Arial" w:hint="default"/>
        <w:b/>
        <w:bCs/>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i."/>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1" w15:restartNumberingAfterBreak="0">
    <w:nsid w:val="4DA0406B"/>
    <w:multiLevelType w:val="hybridMultilevel"/>
    <w:tmpl w:val="4E78CB04"/>
    <w:lvl w:ilvl="0" w:tplc="FFFFFFFF">
      <w:start w:val="1"/>
      <w:numFmt w:val="decimal"/>
      <w:lvlText w:val="%1."/>
      <w:lvlJc w:val="left"/>
      <w:pPr>
        <w:tabs>
          <w:tab w:val="num" w:pos="720"/>
        </w:tabs>
        <w:ind w:left="720" w:hanging="360"/>
      </w:pPr>
      <w:rPr>
        <w:rFonts w:hint="default"/>
        <w:b w:val="0"/>
        <w:bCs w:val="0"/>
        <w:color w:val="auto"/>
      </w:rPr>
    </w:lvl>
    <w:lvl w:ilvl="1" w:tplc="EFC6039A">
      <w:start w:val="1"/>
      <w:numFmt w:val="lowerLetter"/>
      <w:lvlText w:val="%2)"/>
      <w:lvlJc w:val="left"/>
      <w:pPr>
        <w:ind w:left="1440" w:hanging="360"/>
      </w:pPr>
      <w:rPr>
        <w:rFonts w:hint="default"/>
        <w:b w:val="0"/>
        <w:bCs w:val="0"/>
        <w:strike w:val="0"/>
        <w:color w:val="auto"/>
      </w:rPr>
    </w:lvl>
    <w:lvl w:ilvl="2" w:tplc="FFFFFFFF">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92" w15:restartNumberingAfterBreak="0">
    <w:nsid w:val="4DBF51AD"/>
    <w:multiLevelType w:val="hybridMultilevel"/>
    <w:tmpl w:val="A3DA531A"/>
    <w:lvl w:ilvl="0" w:tplc="FFFFFFFF">
      <w:start w:val="1"/>
      <w:numFmt w:val="upperLetter"/>
      <w:lvlText w:val="%1."/>
      <w:lvlJc w:val="left"/>
      <w:pPr>
        <w:ind w:left="520" w:hanging="360"/>
      </w:pPr>
      <w:rPr>
        <w:rFonts w:ascii="Calibri" w:eastAsia="Calibri" w:hAnsi="Calibri" w:cs="Calibri" w:hint="default"/>
        <w:b/>
        <w:bCs/>
        <w:w w:val="100"/>
        <w:sz w:val="22"/>
        <w:szCs w:val="22"/>
        <w:lang w:val="en-US" w:eastAsia="en-US" w:bidi="en-US"/>
      </w:rPr>
    </w:lvl>
    <w:lvl w:ilvl="1" w:tplc="FFFFFFFF">
      <w:start w:val="1"/>
      <w:numFmt w:val="decimal"/>
      <w:lvlText w:val="%2."/>
      <w:lvlJc w:val="left"/>
      <w:pPr>
        <w:ind w:left="880" w:hanging="360"/>
      </w:pPr>
      <w:rPr>
        <w:rFonts w:ascii="Arial" w:eastAsia="Calibri" w:hAnsi="Arial" w:cs="Arial" w:hint="default"/>
        <w:w w:val="100"/>
        <w:sz w:val="22"/>
        <w:szCs w:val="22"/>
        <w:lang w:val="en-US" w:eastAsia="en-US" w:bidi="en-US"/>
      </w:rPr>
    </w:lvl>
    <w:lvl w:ilvl="2" w:tplc="04090017">
      <w:start w:val="1"/>
      <w:numFmt w:val="lowerLetter"/>
      <w:lvlText w:val="%3)"/>
      <w:lvlJc w:val="left"/>
      <w:pPr>
        <w:ind w:left="1440" w:hanging="360"/>
      </w:pPr>
    </w:lvl>
    <w:lvl w:ilvl="3" w:tplc="FFFFFFFF">
      <w:start w:val="1"/>
      <w:numFmt w:val="decimal"/>
      <w:lvlText w:val="%4."/>
      <w:lvlJc w:val="left"/>
      <w:pPr>
        <w:ind w:left="1240" w:hanging="360"/>
      </w:pPr>
      <w:rPr>
        <w:rFonts w:hint="default"/>
        <w:lang w:val="en-US" w:eastAsia="en-US" w:bidi="en-US"/>
      </w:rPr>
    </w:lvl>
    <w:lvl w:ilvl="4" w:tplc="FFFFFFFF">
      <w:start w:val="1"/>
      <w:numFmt w:val="lowerRoman"/>
      <w:lvlText w:val="%5."/>
      <w:lvlJc w:val="left"/>
      <w:pPr>
        <w:ind w:left="2457" w:hanging="360"/>
      </w:pPr>
      <w:rPr>
        <w:rFonts w:ascii="Calibri" w:eastAsia="Calibri" w:hAnsi="Calibri" w:cs="Calibri" w:hint="default"/>
        <w:spacing w:val="-1"/>
        <w:w w:val="100"/>
        <w:sz w:val="22"/>
        <w:szCs w:val="22"/>
        <w:lang w:val="en-US" w:eastAsia="en-US" w:bidi="en-US"/>
      </w:rPr>
    </w:lvl>
    <w:lvl w:ilvl="5" w:tplc="FFFFFFFF">
      <w:numFmt w:val="bullet"/>
      <w:lvlText w:val="•"/>
      <w:lvlJc w:val="left"/>
      <w:pPr>
        <w:ind w:left="3674" w:hanging="360"/>
      </w:pPr>
      <w:rPr>
        <w:rFonts w:hint="default"/>
        <w:lang w:val="en-US" w:eastAsia="en-US" w:bidi="en-US"/>
      </w:rPr>
    </w:lvl>
    <w:lvl w:ilvl="6" w:tplc="FFFFFFFF">
      <w:numFmt w:val="bullet"/>
      <w:lvlText w:val="•"/>
      <w:lvlJc w:val="left"/>
      <w:pPr>
        <w:ind w:left="4891" w:hanging="360"/>
      </w:pPr>
      <w:rPr>
        <w:rFonts w:hint="default"/>
        <w:lang w:val="en-US" w:eastAsia="en-US" w:bidi="en-US"/>
      </w:rPr>
    </w:lvl>
    <w:lvl w:ilvl="7" w:tplc="FFFFFFFF">
      <w:numFmt w:val="bullet"/>
      <w:lvlText w:val="•"/>
      <w:lvlJc w:val="left"/>
      <w:pPr>
        <w:ind w:left="6108" w:hanging="360"/>
      </w:pPr>
      <w:rPr>
        <w:rFonts w:hint="default"/>
        <w:lang w:val="en-US" w:eastAsia="en-US" w:bidi="en-US"/>
      </w:rPr>
    </w:lvl>
    <w:lvl w:ilvl="8" w:tplc="FFFFFFFF">
      <w:numFmt w:val="bullet"/>
      <w:lvlText w:val="•"/>
      <w:lvlJc w:val="left"/>
      <w:pPr>
        <w:ind w:left="7325" w:hanging="360"/>
      </w:pPr>
      <w:rPr>
        <w:rFonts w:hint="default"/>
        <w:lang w:val="en-US" w:eastAsia="en-US" w:bidi="en-US"/>
      </w:rPr>
    </w:lvl>
  </w:abstractNum>
  <w:abstractNum w:abstractNumId="193" w15:restartNumberingAfterBreak="0">
    <w:nsid w:val="50B73ACA"/>
    <w:multiLevelType w:val="hybridMultilevel"/>
    <w:tmpl w:val="832A7106"/>
    <w:lvl w:ilvl="0" w:tplc="5C5A468C">
      <w:start w:val="1"/>
      <w:numFmt w:val="bullet"/>
      <w:pStyle w:val="BulletFirstIndented"/>
      <w:lvlText w:val=""/>
      <w:lvlJc w:val="left"/>
      <w:pPr>
        <w:ind w:left="-21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0" w:hanging="360"/>
      </w:pPr>
      <w:rPr>
        <w:rFonts w:ascii="Symbol" w:hAnsi="Symbol" w:hint="default"/>
      </w:rPr>
    </w:lvl>
    <w:lvl w:ilvl="4" w:tplc="04090003">
      <w:start w:val="1"/>
      <w:numFmt w:val="bullet"/>
      <w:lvlText w:val="o"/>
      <w:lvlJc w:val="left"/>
      <w:pPr>
        <w:ind w:left="720" w:hanging="360"/>
      </w:pPr>
      <w:rPr>
        <w:rFonts w:ascii="Courier New" w:hAnsi="Courier New" w:cs="Courier New" w:hint="default"/>
      </w:rPr>
    </w:lvl>
    <w:lvl w:ilvl="5" w:tplc="04090005">
      <w:start w:val="1"/>
      <w:numFmt w:val="bullet"/>
      <w:lvlText w:val=""/>
      <w:lvlJc w:val="left"/>
      <w:pPr>
        <w:ind w:left="1440" w:hanging="360"/>
      </w:pPr>
      <w:rPr>
        <w:rFonts w:ascii="Wingdings" w:hAnsi="Wingdings" w:hint="default"/>
      </w:rPr>
    </w:lvl>
    <w:lvl w:ilvl="6" w:tplc="04090001">
      <w:start w:val="1"/>
      <w:numFmt w:val="bullet"/>
      <w:lvlText w:val=""/>
      <w:lvlJc w:val="left"/>
      <w:pPr>
        <w:ind w:left="2160" w:hanging="360"/>
      </w:pPr>
      <w:rPr>
        <w:rFonts w:ascii="Symbol" w:hAnsi="Symbol" w:hint="default"/>
      </w:rPr>
    </w:lvl>
    <w:lvl w:ilvl="7" w:tplc="04090003">
      <w:start w:val="1"/>
      <w:numFmt w:val="bullet"/>
      <w:lvlText w:val="o"/>
      <w:lvlJc w:val="left"/>
      <w:pPr>
        <w:ind w:left="2880" w:hanging="360"/>
      </w:pPr>
      <w:rPr>
        <w:rFonts w:ascii="Courier New" w:hAnsi="Courier New" w:cs="Courier New" w:hint="default"/>
      </w:rPr>
    </w:lvl>
    <w:lvl w:ilvl="8" w:tplc="04090005">
      <w:start w:val="1"/>
      <w:numFmt w:val="bullet"/>
      <w:lvlText w:val=""/>
      <w:lvlJc w:val="left"/>
      <w:pPr>
        <w:ind w:left="3600" w:hanging="360"/>
      </w:pPr>
      <w:rPr>
        <w:rFonts w:ascii="Wingdings" w:hAnsi="Wingdings" w:hint="default"/>
      </w:rPr>
    </w:lvl>
  </w:abstractNum>
  <w:abstractNum w:abstractNumId="194" w15:restartNumberingAfterBreak="0">
    <w:nsid w:val="50C022EB"/>
    <w:multiLevelType w:val="hybridMultilevel"/>
    <w:tmpl w:val="3800AA7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bullet"/>
      <w:lvlText w:val=""/>
      <w:lvlJc w:val="left"/>
      <w:pPr>
        <w:ind w:left="1803" w:hanging="360"/>
      </w:pPr>
      <w:rPr>
        <w:rFonts w:ascii="Wingdings" w:hAnsi="Wingdings" w:hint="default"/>
      </w:rPr>
    </w:lvl>
    <w:lvl w:ilvl="3" w:tplc="FFFFFFFF" w:tentative="1">
      <w:start w:val="1"/>
      <w:numFmt w:val="bullet"/>
      <w:lvlText w:val=""/>
      <w:lvlJc w:val="left"/>
      <w:pPr>
        <w:ind w:left="2523" w:hanging="360"/>
      </w:pPr>
      <w:rPr>
        <w:rFonts w:ascii="Symbol" w:hAnsi="Symbol" w:hint="default"/>
      </w:rPr>
    </w:lvl>
    <w:lvl w:ilvl="4" w:tplc="FFFFFFFF" w:tentative="1">
      <w:start w:val="1"/>
      <w:numFmt w:val="bullet"/>
      <w:lvlText w:val="o"/>
      <w:lvlJc w:val="left"/>
      <w:pPr>
        <w:ind w:left="3243" w:hanging="360"/>
      </w:pPr>
      <w:rPr>
        <w:rFonts w:ascii="Courier New" w:hAnsi="Courier New" w:cs="Courier New" w:hint="default"/>
      </w:rPr>
    </w:lvl>
    <w:lvl w:ilvl="5" w:tplc="FFFFFFFF" w:tentative="1">
      <w:start w:val="1"/>
      <w:numFmt w:val="bullet"/>
      <w:lvlText w:val=""/>
      <w:lvlJc w:val="left"/>
      <w:pPr>
        <w:ind w:left="3963" w:hanging="360"/>
      </w:pPr>
      <w:rPr>
        <w:rFonts w:ascii="Wingdings" w:hAnsi="Wingdings" w:hint="default"/>
      </w:rPr>
    </w:lvl>
    <w:lvl w:ilvl="6" w:tplc="FFFFFFFF" w:tentative="1">
      <w:start w:val="1"/>
      <w:numFmt w:val="bullet"/>
      <w:lvlText w:val=""/>
      <w:lvlJc w:val="left"/>
      <w:pPr>
        <w:ind w:left="4683" w:hanging="360"/>
      </w:pPr>
      <w:rPr>
        <w:rFonts w:ascii="Symbol" w:hAnsi="Symbol" w:hint="default"/>
      </w:rPr>
    </w:lvl>
    <w:lvl w:ilvl="7" w:tplc="FFFFFFFF" w:tentative="1">
      <w:start w:val="1"/>
      <w:numFmt w:val="bullet"/>
      <w:lvlText w:val="o"/>
      <w:lvlJc w:val="left"/>
      <w:pPr>
        <w:ind w:left="5403" w:hanging="360"/>
      </w:pPr>
      <w:rPr>
        <w:rFonts w:ascii="Courier New" w:hAnsi="Courier New" w:cs="Courier New" w:hint="default"/>
      </w:rPr>
    </w:lvl>
    <w:lvl w:ilvl="8" w:tplc="FFFFFFFF" w:tentative="1">
      <w:start w:val="1"/>
      <w:numFmt w:val="bullet"/>
      <w:lvlText w:val=""/>
      <w:lvlJc w:val="left"/>
      <w:pPr>
        <w:ind w:left="6123" w:hanging="360"/>
      </w:pPr>
      <w:rPr>
        <w:rFonts w:ascii="Wingdings" w:hAnsi="Wingdings" w:hint="default"/>
      </w:rPr>
    </w:lvl>
  </w:abstractNum>
  <w:abstractNum w:abstractNumId="195" w15:restartNumberingAfterBreak="0">
    <w:nsid w:val="519A3D3A"/>
    <w:multiLevelType w:val="hybridMultilevel"/>
    <w:tmpl w:val="8C2CE9DC"/>
    <w:lvl w:ilvl="0" w:tplc="471EDC2A">
      <w:start w:val="1"/>
      <w:numFmt w:val="decimal"/>
      <w:lvlText w:val="%1."/>
      <w:lvlJc w:val="left"/>
      <w:pPr>
        <w:ind w:left="720" w:hanging="360"/>
      </w:pPr>
      <w:rPr>
        <w:rFonts w:cs="Times New Roman"/>
        <w:b w:val="0"/>
        <w:bCs w:val="0"/>
        <w:i w:val="0"/>
        <w:iCs w:val="0"/>
        <w:snapToGrid/>
        <w:w w:val="105"/>
        <w:sz w:val="22"/>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52067B65"/>
    <w:multiLevelType w:val="hybridMultilevel"/>
    <w:tmpl w:val="1FF8B40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7" w15:restartNumberingAfterBreak="0">
    <w:nsid w:val="52C06429"/>
    <w:multiLevelType w:val="hybridMultilevel"/>
    <w:tmpl w:val="698CBC68"/>
    <w:lvl w:ilvl="0" w:tplc="FFFFFFFF">
      <w:start w:val="1"/>
      <w:numFmt w:val="decimal"/>
      <w:lvlText w:val="%1."/>
      <w:lvlJc w:val="left"/>
      <w:pPr>
        <w:ind w:left="720" w:hanging="360"/>
      </w:pPr>
      <w:rPr>
        <w:rFonts w:cs="Times New Roman" w:hint="default"/>
        <w:snapToGrid/>
        <w:w w:val="105"/>
        <w:sz w:val="22"/>
        <w:szCs w:val="24"/>
      </w:rPr>
    </w:lvl>
    <w:lvl w:ilvl="1" w:tplc="0409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8" w15:restartNumberingAfterBreak="0">
    <w:nsid w:val="52F96761"/>
    <w:multiLevelType w:val="hybridMultilevel"/>
    <w:tmpl w:val="6B10A9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532E5574"/>
    <w:multiLevelType w:val="hybridMultilevel"/>
    <w:tmpl w:val="170EC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53C9181B"/>
    <w:multiLevelType w:val="hybridMultilevel"/>
    <w:tmpl w:val="D2327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549D64C5"/>
    <w:multiLevelType w:val="hybridMultilevel"/>
    <w:tmpl w:val="2BFCF036"/>
    <w:lvl w:ilvl="0" w:tplc="FFFFFFFF">
      <w:start w:val="1"/>
      <w:numFmt w:val="decimal"/>
      <w:lvlText w:val="%1."/>
      <w:lvlJc w:val="left"/>
      <w:pPr>
        <w:ind w:left="36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2" w15:restartNumberingAfterBreak="0">
    <w:nsid w:val="550F61DC"/>
    <w:multiLevelType w:val="hybridMultilevel"/>
    <w:tmpl w:val="2C40DE6E"/>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3" w15:restartNumberingAfterBreak="0">
    <w:nsid w:val="55210D12"/>
    <w:multiLevelType w:val="hybridMultilevel"/>
    <w:tmpl w:val="2BFCF036"/>
    <w:lvl w:ilvl="0" w:tplc="FFFFFFFF">
      <w:start w:val="1"/>
      <w:numFmt w:val="decimal"/>
      <w:lvlText w:val="%1."/>
      <w:lvlJc w:val="left"/>
      <w:pPr>
        <w:ind w:left="36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4" w15:restartNumberingAfterBreak="0">
    <w:nsid w:val="55321A0C"/>
    <w:multiLevelType w:val="hybridMultilevel"/>
    <w:tmpl w:val="E9142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55F43332"/>
    <w:multiLevelType w:val="hybridMultilevel"/>
    <w:tmpl w:val="4E9881AC"/>
    <w:lvl w:ilvl="0" w:tplc="F0DE188C">
      <w:start w:val="1"/>
      <w:numFmt w:val="lowerLetter"/>
      <w:lvlText w:val="%1)"/>
      <w:lvlJc w:val="left"/>
      <w:pPr>
        <w:ind w:left="1600" w:hanging="360"/>
      </w:pPr>
    </w:lvl>
    <w:lvl w:ilvl="1" w:tplc="FFFFFFFF">
      <w:start w:val="1"/>
      <w:numFmt w:val="lowerLetter"/>
      <w:lvlText w:val="%2."/>
      <w:lvlJc w:val="left"/>
      <w:pPr>
        <w:ind w:left="2320" w:hanging="360"/>
      </w:pPr>
    </w:lvl>
    <w:lvl w:ilvl="2" w:tplc="FFFFFFFF">
      <w:start w:val="1"/>
      <w:numFmt w:val="lowerRoman"/>
      <w:lvlText w:val="%3."/>
      <w:lvlJc w:val="right"/>
      <w:pPr>
        <w:ind w:left="3040" w:hanging="180"/>
      </w:pPr>
    </w:lvl>
    <w:lvl w:ilvl="3" w:tplc="FFFFFFFF" w:tentative="1">
      <w:start w:val="1"/>
      <w:numFmt w:val="decimal"/>
      <w:lvlText w:val="%4."/>
      <w:lvlJc w:val="left"/>
      <w:pPr>
        <w:ind w:left="3760" w:hanging="360"/>
      </w:pPr>
    </w:lvl>
    <w:lvl w:ilvl="4" w:tplc="FFFFFFFF" w:tentative="1">
      <w:start w:val="1"/>
      <w:numFmt w:val="lowerLetter"/>
      <w:lvlText w:val="%5."/>
      <w:lvlJc w:val="left"/>
      <w:pPr>
        <w:ind w:left="4480" w:hanging="360"/>
      </w:pPr>
    </w:lvl>
    <w:lvl w:ilvl="5" w:tplc="FFFFFFFF" w:tentative="1">
      <w:start w:val="1"/>
      <w:numFmt w:val="lowerRoman"/>
      <w:lvlText w:val="%6."/>
      <w:lvlJc w:val="right"/>
      <w:pPr>
        <w:ind w:left="5200" w:hanging="180"/>
      </w:pPr>
    </w:lvl>
    <w:lvl w:ilvl="6" w:tplc="FFFFFFFF" w:tentative="1">
      <w:start w:val="1"/>
      <w:numFmt w:val="decimal"/>
      <w:lvlText w:val="%7."/>
      <w:lvlJc w:val="left"/>
      <w:pPr>
        <w:ind w:left="5920" w:hanging="360"/>
      </w:pPr>
    </w:lvl>
    <w:lvl w:ilvl="7" w:tplc="FFFFFFFF" w:tentative="1">
      <w:start w:val="1"/>
      <w:numFmt w:val="lowerLetter"/>
      <w:lvlText w:val="%8."/>
      <w:lvlJc w:val="left"/>
      <w:pPr>
        <w:ind w:left="6640" w:hanging="360"/>
      </w:pPr>
    </w:lvl>
    <w:lvl w:ilvl="8" w:tplc="FFFFFFFF" w:tentative="1">
      <w:start w:val="1"/>
      <w:numFmt w:val="lowerRoman"/>
      <w:lvlText w:val="%9."/>
      <w:lvlJc w:val="right"/>
      <w:pPr>
        <w:ind w:left="7360" w:hanging="180"/>
      </w:pPr>
    </w:lvl>
  </w:abstractNum>
  <w:abstractNum w:abstractNumId="206" w15:restartNumberingAfterBreak="0">
    <w:nsid w:val="5615283A"/>
    <w:multiLevelType w:val="hybridMultilevel"/>
    <w:tmpl w:val="8F0C624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7" w15:restartNumberingAfterBreak="0">
    <w:nsid w:val="566949D0"/>
    <w:multiLevelType w:val="hybridMultilevel"/>
    <w:tmpl w:val="61E859CA"/>
    <w:lvl w:ilvl="0" w:tplc="FFFFFFFF">
      <w:start w:val="1"/>
      <w:numFmt w:val="lowerRoman"/>
      <w:lvlText w:val="%1."/>
      <w:lvlJc w:val="right"/>
      <w:pPr>
        <w:ind w:left="2339" w:hanging="360"/>
      </w:pPr>
    </w:lvl>
    <w:lvl w:ilvl="1" w:tplc="FFFFFFFF">
      <w:start w:val="1"/>
      <w:numFmt w:val="lowerLetter"/>
      <w:lvlText w:val="%2."/>
      <w:lvlJc w:val="left"/>
      <w:pPr>
        <w:ind w:left="3059" w:hanging="360"/>
      </w:pPr>
    </w:lvl>
    <w:lvl w:ilvl="2" w:tplc="FFFFFFFF">
      <w:start w:val="1"/>
      <w:numFmt w:val="lowerRoman"/>
      <w:lvlText w:val="%3."/>
      <w:lvlJc w:val="right"/>
      <w:pPr>
        <w:ind w:left="3779" w:hanging="180"/>
      </w:pPr>
    </w:lvl>
    <w:lvl w:ilvl="3" w:tplc="FFFFFFFF" w:tentative="1">
      <w:start w:val="1"/>
      <w:numFmt w:val="decimal"/>
      <w:lvlText w:val="%4."/>
      <w:lvlJc w:val="left"/>
      <w:pPr>
        <w:ind w:left="4499" w:hanging="360"/>
      </w:pPr>
    </w:lvl>
    <w:lvl w:ilvl="4" w:tplc="FFFFFFFF" w:tentative="1">
      <w:start w:val="1"/>
      <w:numFmt w:val="lowerLetter"/>
      <w:lvlText w:val="%5."/>
      <w:lvlJc w:val="left"/>
      <w:pPr>
        <w:ind w:left="5219" w:hanging="360"/>
      </w:pPr>
    </w:lvl>
    <w:lvl w:ilvl="5" w:tplc="FFFFFFFF" w:tentative="1">
      <w:start w:val="1"/>
      <w:numFmt w:val="lowerRoman"/>
      <w:lvlText w:val="%6."/>
      <w:lvlJc w:val="right"/>
      <w:pPr>
        <w:ind w:left="5939" w:hanging="180"/>
      </w:pPr>
    </w:lvl>
    <w:lvl w:ilvl="6" w:tplc="FFFFFFFF" w:tentative="1">
      <w:start w:val="1"/>
      <w:numFmt w:val="decimal"/>
      <w:lvlText w:val="%7."/>
      <w:lvlJc w:val="left"/>
      <w:pPr>
        <w:ind w:left="6659" w:hanging="360"/>
      </w:pPr>
    </w:lvl>
    <w:lvl w:ilvl="7" w:tplc="FFFFFFFF" w:tentative="1">
      <w:start w:val="1"/>
      <w:numFmt w:val="lowerLetter"/>
      <w:lvlText w:val="%8."/>
      <w:lvlJc w:val="left"/>
      <w:pPr>
        <w:ind w:left="7379" w:hanging="360"/>
      </w:pPr>
    </w:lvl>
    <w:lvl w:ilvl="8" w:tplc="FFFFFFFF" w:tentative="1">
      <w:start w:val="1"/>
      <w:numFmt w:val="lowerRoman"/>
      <w:lvlText w:val="%9."/>
      <w:lvlJc w:val="right"/>
      <w:pPr>
        <w:ind w:left="8099" w:hanging="180"/>
      </w:pPr>
    </w:lvl>
  </w:abstractNum>
  <w:abstractNum w:abstractNumId="208" w15:restartNumberingAfterBreak="0">
    <w:nsid w:val="56A3733F"/>
    <w:multiLevelType w:val="hybridMultilevel"/>
    <w:tmpl w:val="3E967212"/>
    <w:lvl w:ilvl="0" w:tplc="43AA42B0">
      <w:start w:val="1"/>
      <w:numFmt w:val="decimal"/>
      <w:lvlText w:val="%1."/>
      <w:lvlJc w:val="left"/>
      <w:pPr>
        <w:tabs>
          <w:tab w:val="num" w:pos="360"/>
        </w:tabs>
        <w:ind w:left="360" w:hanging="360"/>
      </w:pPr>
      <w:rPr>
        <w:rFonts w:hint="default"/>
        <w:strike w:val="0"/>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09" w15:restartNumberingAfterBreak="0">
    <w:nsid w:val="56FB1CB2"/>
    <w:multiLevelType w:val="hybridMultilevel"/>
    <w:tmpl w:val="06B0E9D2"/>
    <w:lvl w:ilvl="0" w:tplc="FFFFFFFF">
      <w:start w:val="1"/>
      <w:numFmt w:val="decimal"/>
      <w:lvlText w:val="%1."/>
      <w:lvlJc w:val="left"/>
      <w:pPr>
        <w:ind w:left="720" w:hanging="360"/>
      </w:pPr>
    </w:lvl>
    <w:lvl w:ilvl="1" w:tplc="04090017">
      <w:start w:val="1"/>
      <w:numFmt w:val="lowerLetter"/>
      <w:lvlText w:val="%2)"/>
      <w:lvlJc w:val="left"/>
      <w:pPr>
        <w:ind w:left="1440" w:hanging="360"/>
      </w:pPr>
      <w:rPr>
        <w:rFonts w:hint="default"/>
        <w:b w:val="0"/>
        <w:bCs w:val="0"/>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0" w15:restartNumberingAfterBreak="0">
    <w:nsid w:val="5709499A"/>
    <w:multiLevelType w:val="hybridMultilevel"/>
    <w:tmpl w:val="E6BC4A4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1" w15:restartNumberingAfterBreak="0">
    <w:nsid w:val="57547163"/>
    <w:multiLevelType w:val="hybridMultilevel"/>
    <w:tmpl w:val="826859C8"/>
    <w:lvl w:ilvl="0" w:tplc="0409000F">
      <w:start w:val="1"/>
      <w:numFmt w:val="decimal"/>
      <w:lvlText w:val="%1."/>
      <w:lvlJc w:val="left"/>
      <w:pPr>
        <w:ind w:left="770" w:hanging="360"/>
      </w:pPr>
      <w:rPr>
        <w:rFonts w:hint="default"/>
      </w:rPr>
    </w:lvl>
    <w:lvl w:ilvl="1" w:tplc="FFFFFFFF">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212" w15:restartNumberingAfterBreak="0">
    <w:nsid w:val="57715651"/>
    <w:multiLevelType w:val="hybridMultilevel"/>
    <w:tmpl w:val="91063BA6"/>
    <w:lvl w:ilvl="0" w:tplc="04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3" w15:restartNumberingAfterBreak="0">
    <w:nsid w:val="57B46890"/>
    <w:multiLevelType w:val="hybridMultilevel"/>
    <w:tmpl w:val="1FF8B40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4" w15:restartNumberingAfterBreak="0">
    <w:nsid w:val="57E42096"/>
    <w:multiLevelType w:val="hybridMultilevel"/>
    <w:tmpl w:val="7348255A"/>
    <w:lvl w:ilvl="0" w:tplc="04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5" w15:restartNumberingAfterBreak="0">
    <w:nsid w:val="582B3A77"/>
    <w:multiLevelType w:val="hybridMultilevel"/>
    <w:tmpl w:val="90742006"/>
    <w:lvl w:ilvl="0" w:tplc="04090001">
      <w:start w:val="1"/>
      <w:numFmt w:val="bullet"/>
      <w:lvlText w:val=""/>
      <w:lvlJc w:val="left"/>
      <w:pPr>
        <w:ind w:left="720" w:hanging="360"/>
      </w:pPr>
      <w:rPr>
        <w:rFonts w:ascii="Symbol" w:hAnsi="Symbol" w:hint="default"/>
        <w:color w:val="auto"/>
        <w:sz w:val="20"/>
        <w:szCs w:val="20"/>
      </w:rPr>
    </w:lvl>
    <w:lvl w:ilvl="1" w:tplc="FFFFFFFF">
      <w:start w:val="1"/>
      <w:numFmt w:val="bullet"/>
      <w:lvlText w:val="o"/>
      <w:lvlJc w:val="left"/>
      <w:pPr>
        <w:ind w:left="1440" w:hanging="360"/>
      </w:pPr>
      <w:rPr>
        <w:rFonts w:ascii="Times New Roman" w:hAnsi="Times New Roman" w:cs="Times New Roman" w:hint="default"/>
        <w:sz w:val="20"/>
        <w:szCs w:val="2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6" w15:restartNumberingAfterBreak="0">
    <w:nsid w:val="587F4CB6"/>
    <w:multiLevelType w:val="hybridMultilevel"/>
    <w:tmpl w:val="2F681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59013948"/>
    <w:multiLevelType w:val="hybridMultilevel"/>
    <w:tmpl w:val="5E7895A6"/>
    <w:lvl w:ilvl="0" w:tplc="7B1E94E2">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59A97307"/>
    <w:multiLevelType w:val="hybridMultilevel"/>
    <w:tmpl w:val="5F00036A"/>
    <w:lvl w:ilvl="0" w:tplc="FFFFFFFF">
      <w:start w:val="1"/>
      <w:numFmt w:val="decimal"/>
      <w:lvlText w:val="%1."/>
      <w:lvlJc w:val="left"/>
      <w:pPr>
        <w:ind w:left="720" w:hanging="360"/>
      </w:pPr>
      <w:rPr>
        <w:rFonts w:hint="default"/>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5A75021E"/>
    <w:multiLevelType w:val="hybridMultilevel"/>
    <w:tmpl w:val="E31A1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5A955FD0"/>
    <w:multiLevelType w:val="hybridMultilevel"/>
    <w:tmpl w:val="FE2C7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5AA54835"/>
    <w:multiLevelType w:val="hybridMultilevel"/>
    <w:tmpl w:val="48540DBE"/>
    <w:lvl w:ilvl="0" w:tplc="FFFFFFFF">
      <w:start w:val="1"/>
      <w:numFmt w:val="decimal"/>
      <w:lvlText w:val="%1."/>
      <w:lvlJc w:val="left"/>
      <w:pPr>
        <w:ind w:left="1440" w:hanging="360"/>
      </w:pPr>
      <w:rPr>
        <w:rFonts w:hint="default"/>
      </w:rPr>
    </w:lvl>
    <w:lvl w:ilvl="1" w:tplc="04090017">
      <w:start w:val="1"/>
      <w:numFmt w:val="lowerLetter"/>
      <w:lvlText w:val="%2)"/>
      <w:lvlJc w:val="left"/>
      <w:pPr>
        <w:ind w:left="720" w:hanging="360"/>
      </w:pPr>
      <w:rPr>
        <w:rFonts w:hint="default"/>
        <w:b w:val="0"/>
        <w:bCs w:val="0"/>
        <w:color w:val="auto"/>
      </w:r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2" w15:restartNumberingAfterBreak="0">
    <w:nsid w:val="5AA961C0"/>
    <w:multiLevelType w:val="hybridMultilevel"/>
    <w:tmpl w:val="C526BF24"/>
    <w:lvl w:ilvl="0" w:tplc="04090019">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3" w15:restartNumberingAfterBreak="0">
    <w:nsid w:val="5B36667F"/>
    <w:multiLevelType w:val="multilevel"/>
    <w:tmpl w:val="1858446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b w:val="0"/>
        <w:bCs w:val="0"/>
        <w:strike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4" w15:restartNumberingAfterBreak="0">
    <w:nsid w:val="5B5E7A77"/>
    <w:multiLevelType w:val="hybridMultilevel"/>
    <w:tmpl w:val="041AC9B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5" w15:restartNumberingAfterBreak="0">
    <w:nsid w:val="5C242D5E"/>
    <w:multiLevelType w:val="hybridMultilevel"/>
    <w:tmpl w:val="77965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5D4F72C9"/>
    <w:multiLevelType w:val="hybridMultilevel"/>
    <w:tmpl w:val="09A2DE78"/>
    <w:lvl w:ilvl="0" w:tplc="04090017">
      <w:start w:val="1"/>
      <w:numFmt w:val="lowerLetter"/>
      <w:lvlText w:val="%1)"/>
      <w:lvlJc w:val="left"/>
      <w:pPr>
        <w:ind w:left="1440" w:hanging="360"/>
      </w:pPr>
      <w:rPr>
        <w:rFonts w:hint="default"/>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7" w15:restartNumberingAfterBreak="0">
    <w:nsid w:val="5D5668B8"/>
    <w:multiLevelType w:val="hybridMultilevel"/>
    <w:tmpl w:val="FAB81804"/>
    <w:lvl w:ilvl="0" w:tplc="09542702">
      <w:start w:val="1"/>
      <w:numFmt w:val="bullet"/>
      <w:pStyle w:val="Normalbullet"/>
      <w:lvlText w:val=""/>
      <w:lvlJc w:val="left"/>
      <w:pPr>
        <w:ind w:left="1800" w:hanging="360"/>
      </w:pPr>
      <w:rPr>
        <w:rFonts w:ascii="Symbol" w:hAnsi="Symbol" w:hint="default"/>
        <w:b w:val="0"/>
        <w:sz w:val="20"/>
        <w:szCs w:val="20"/>
      </w:rPr>
    </w:lvl>
    <w:lvl w:ilvl="1" w:tplc="0409000F">
      <w:start w:val="1"/>
      <w:numFmt w:val="decimal"/>
      <w:lvlText w:val="%2."/>
      <w:lvlJc w:val="left"/>
      <w:pPr>
        <w:ind w:left="2520" w:hanging="360"/>
      </w:pPr>
      <w:rPr>
        <w:rFonts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8" w15:restartNumberingAfterBreak="0">
    <w:nsid w:val="5DAF3BBB"/>
    <w:multiLevelType w:val="hybridMultilevel"/>
    <w:tmpl w:val="1F4892F0"/>
    <w:lvl w:ilvl="0" w:tplc="04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9" w15:restartNumberingAfterBreak="0">
    <w:nsid w:val="5F60338C"/>
    <w:multiLevelType w:val="hybridMultilevel"/>
    <w:tmpl w:val="61E859CA"/>
    <w:lvl w:ilvl="0" w:tplc="FFFFFFFF">
      <w:start w:val="1"/>
      <w:numFmt w:val="lowerRoman"/>
      <w:lvlText w:val="%1."/>
      <w:lvlJc w:val="right"/>
      <w:pPr>
        <w:ind w:left="2339" w:hanging="360"/>
      </w:pPr>
    </w:lvl>
    <w:lvl w:ilvl="1" w:tplc="FFFFFFFF">
      <w:start w:val="1"/>
      <w:numFmt w:val="lowerLetter"/>
      <w:lvlText w:val="%2."/>
      <w:lvlJc w:val="left"/>
      <w:pPr>
        <w:ind w:left="3059" w:hanging="360"/>
      </w:pPr>
    </w:lvl>
    <w:lvl w:ilvl="2" w:tplc="FFFFFFFF">
      <w:start w:val="1"/>
      <w:numFmt w:val="lowerRoman"/>
      <w:lvlText w:val="%3."/>
      <w:lvlJc w:val="right"/>
      <w:pPr>
        <w:ind w:left="3779" w:hanging="180"/>
      </w:pPr>
    </w:lvl>
    <w:lvl w:ilvl="3" w:tplc="FFFFFFFF" w:tentative="1">
      <w:start w:val="1"/>
      <w:numFmt w:val="decimal"/>
      <w:lvlText w:val="%4."/>
      <w:lvlJc w:val="left"/>
      <w:pPr>
        <w:ind w:left="4499" w:hanging="360"/>
      </w:pPr>
    </w:lvl>
    <w:lvl w:ilvl="4" w:tplc="FFFFFFFF" w:tentative="1">
      <w:start w:val="1"/>
      <w:numFmt w:val="lowerLetter"/>
      <w:lvlText w:val="%5."/>
      <w:lvlJc w:val="left"/>
      <w:pPr>
        <w:ind w:left="5219" w:hanging="360"/>
      </w:pPr>
    </w:lvl>
    <w:lvl w:ilvl="5" w:tplc="FFFFFFFF" w:tentative="1">
      <w:start w:val="1"/>
      <w:numFmt w:val="lowerRoman"/>
      <w:lvlText w:val="%6."/>
      <w:lvlJc w:val="right"/>
      <w:pPr>
        <w:ind w:left="5939" w:hanging="180"/>
      </w:pPr>
    </w:lvl>
    <w:lvl w:ilvl="6" w:tplc="FFFFFFFF" w:tentative="1">
      <w:start w:val="1"/>
      <w:numFmt w:val="decimal"/>
      <w:lvlText w:val="%7."/>
      <w:lvlJc w:val="left"/>
      <w:pPr>
        <w:ind w:left="6659" w:hanging="360"/>
      </w:pPr>
    </w:lvl>
    <w:lvl w:ilvl="7" w:tplc="FFFFFFFF" w:tentative="1">
      <w:start w:val="1"/>
      <w:numFmt w:val="lowerLetter"/>
      <w:lvlText w:val="%8."/>
      <w:lvlJc w:val="left"/>
      <w:pPr>
        <w:ind w:left="7379" w:hanging="360"/>
      </w:pPr>
    </w:lvl>
    <w:lvl w:ilvl="8" w:tplc="FFFFFFFF" w:tentative="1">
      <w:start w:val="1"/>
      <w:numFmt w:val="lowerRoman"/>
      <w:lvlText w:val="%9."/>
      <w:lvlJc w:val="right"/>
      <w:pPr>
        <w:ind w:left="8099" w:hanging="180"/>
      </w:pPr>
    </w:lvl>
  </w:abstractNum>
  <w:abstractNum w:abstractNumId="230" w15:restartNumberingAfterBreak="0">
    <w:nsid w:val="60281D98"/>
    <w:multiLevelType w:val="hybridMultilevel"/>
    <w:tmpl w:val="2F5C5130"/>
    <w:lvl w:ilvl="0" w:tplc="38685658">
      <w:start w:val="1"/>
      <w:numFmt w:val="decimal"/>
      <w:lvlText w:val="%1."/>
      <w:lvlJc w:val="left"/>
      <w:pPr>
        <w:ind w:left="720" w:hanging="360"/>
      </w:pPr>
      <w:rPr>
        <w:rFonts w:ascii="Arial" w:eastAsia="Calibri" w:hAnsi="Arial" w:cs="Arial" w:hint="default"/>
        <w:spacing w:val="-2"/>
        <w:w w:val="100"/>
        <w:sz w:val="22"/>
        <w:szCs w:val="22"/>
        <w:lang w:val="en-US" w:eastAsia="en-US" w:bidi="en-US"/>
      </w:rPr>
    </w:lvl>
    <w:lvl w:ilvl="1" w:tplc="FC445BC0">
      <w:numFmt w:val="bullet"/>
      <w:lvlText w:val="•"/>
      <w:lvlJc w:val="left"/>
      <w:pPr>
        <w:ind w:left="1720" w:hanging="360"/>
      </w:pPr>
      <w:rPr>
        <w:rFonts w:hint="default"/>
        <w:lang w:val="en-US" w:eastAsia="en-US" w:bidi="en-US"/>
      </w:rPr>
    </w:lvl>
    <w:lvl w:ilvl="2" w:tplc="72827A2A">
      <w:numFmt w:val="bullet"/>
      <w:lvlText w:val="•"/>
      <w:lvlJc w:val="left"/>
      <w:pPr>
        <w:ind w:left="2718" w:hanging="360"/>
      </w:pPr>
      <w:rPr>
        <w:rFonts w:hint="default"/>
        <w:lang w:val="en-US" w:eastAsia="en-US" w:bidi="en-US"/>
      </w:rPr>
    </w:lvl>
    <w:lvl w:ilvl="3" w:tplc="0ADE606A">
      <w:numFmt w:val="bullet"/>
      <w:lvlText w:val="•"/>
      <w:lvlJc w:val="left"/>
      <w:pPr>
        <w:ind w:left="3716" w:hanging="360"/>
      </w:pPr>
      <w:rPr>
        <w:rFonts w:hint="default"/>
        <w:lang w:val="en-US" w:eastAsia="en-US" w:bidi="en-US"/>
      </w:rPr>
    </w:lvl>
    <w:lvl w:ilvl="4" w:tplc="16D65624">
      <w:numFmt w:val="bullet"/>
      <w:lvlText w:val="•"/>
      <w:lvlJc w:val="left"/>
      <w:pPr>
        <w:ind w:left="4714" w:hanging="360"/>
      </w:pPr>
      <w:rPr>
        <w:rFonts w:hint="default"/>
        <w:lang w:val="en-US" w:eastAsia="en-US" w:bidi="en-US"/>
      </w:rPr>
    </w:lvl>
    <w:lvl w:ilvl="5" w:tplc="08C4C956">
      <w:numFmt w:val="bullet"/>
      <w:lvlText w:val="•"/>
      <w:lvlJc w:val="left"/>
      <w:pPr>
        <w:ind w:left="5712" w:hanging="360"/>
      </w:pPr>
      <w:rPr>
        <w:rFonts w:hint="default"/>
        <w:lang w:val="en-US" w:eastAsia="en-US" w:bidi="en-US"/>
      </w:rPr>
    </w:lvl>
    <w:lvl w:ilvl="6" w:tplc="60B22B00">
      <w:numFmt w:val="bullet"/>
      <w:lvlText w:val="•"/>
      <w:lvlJc w:val="left"/>
      <w:pPr>
        <w:ind w:left="6710" w:hanging="360"/>
      </w:pPr>
      <w:rPr>
        <w:rFonts w:hint="default"/>
        <w:lang w:val="en-US" w:eastAsia="en-US" w:bidi="en-US"/>
      </w:rPr>
    </w:lvl>
    <w:lvl w:ilvl="7" w:tplc="2C8A1CF2">
      <w:numFmt w:val="bullet"/>
      <w:lvlText w:val="•"/>
      <w:lvlJc w:val="left"/>
      <w:pPr>
        <w:ind w:left="7708" w:hanging="360"/>
      </w:pPr>
      <w:rPr>
        <w:rFonts w:hint="default"/>
        <w:lang w:val="en-US" w:eastAsia="en-US" w:bidi="en-US"/>
      </w:rPr>
    </w:lvl>
    <w:lvl w:ilvl="8" w:tplc="C546AA2E">
      <w:numFmt w:val="bullet"/>
      <w:lvlText w:val="•"/>
      <w:lvlJc w:val="left"/>
      <w:pPr>
        <w:ind w:left="8706" w:hanging="360"/>
      </w:pPr>
      <w:rPr>
        <w:rFonts w:hint="default"/>
        <w:lang w:val="en-US" w:eastAsia="en-US" w:bidi="en-US"/>
      </w:rPr>
    </w:lvl>
  </w:abstractNum>
  <w:abstractNum w:abstractNumId="231" w15:restartNumberingAfterBreak="0">
    <w:nsid w:val="611F2505"/>
    <w:multiLevelType w:val="hybridMultilevel"/>
    <w:tmpl w:val="F09E5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612D3EE8"/>
    <w:multiLevelType w:val="multilevel"/>
    <w:tmpl w:val="1C008EBA"/>
    <w:lvl w:ilvl="0">
      <w:start w:val="1"/>
      <w:numFmt w:val="upperLetter"/>
      <w:lvlText w:val="%1."/>
      <w:lvlJc w:val="left"/>
      <w:pPr>
        <w:ind w:left="720" w:hanging="360"/>
      </w:pPr>
      <w:rPr>
        <w:rFonts w:hint="default"/>
      </w:rPr>
    </w:lvl>
    <w:lvl w:ilvl="1">
      <w:start w:val="1"/>
      <w:numFmt w:val="decimal"/>
      <w:lvlText w:val="%2."/>
      <w:lvlJc w:val="left"/>
      <w:pPr>
        <w:ind w:left="1440" w:hanging="360"/>
      </w:pPr>
      <w:rPr>
        <w:b w:val="0"/>
        <w:bCs/>
      </w:rPr>
    </w:lvl>
    <w:lvl w:ilvl="2">
      <w:start w:val="1"/>
      <w:numFmt w:val="lowerRoman"/>
      <w:lvlText w:val="%3."/>
      <w:lvlJc w:val="right"/>
      <w:pPr>
        <w:ind w:left="2160" w:hanging="180"/>
      </w:pPr>
      <w:rPr>
        <w:rFonts w:hint="default"/>
        <w:b w:val="0"/>
        <w:bCs/>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3" w15:restartNumberingAfterBreak="0">
    <w:nsid w:val="61AD6BF2"/>
    <w:multiLevelType w:val="hybridMultilevel"/>
    <w:tmpl w:val="16D42654"/>
    <w:lvl w:ilvl="0" w:tplc="EDB0FE60">
      <w:start w:val="1"/>
      <w:numFmt w:val="decimal"/>
      <w:lvlText w:val="%1."/>
      <w:lvlJc w:val="left"/>
      <w:pPr>
        <w:ind w:left="720" w:hanging="360"/>
      </w:pPr>
      <w:rPr>
        <w:rFonts w:hint="default"/>
        <w:i w:val="0"/>
        <w:i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4" w15:restartNumberingAfterBreak="0">
    <w:nsid w:val="61D14DB8"/>
    <w:multiLevelType w:val="hybridMultilevel"/>
    <w:tmpl w:val="A1D4E4E8"/>
    <w:lvl w:ilvl="0" w:tplc="FFFFFFFF">
      <w:start w:val="1"/>
      <w:numFmt w:val="decimal"/>
      <w:lvlText w:val="%1."/>
      <w:lvlJc w:val="left"/>
      <w:pPr>
        <w:ind w:left="720" w:hanging="360"/>
      </w:pPr>
      <w:rPr>
        <w:rFonts w:hint="default"/>
        <w:b w:val="0"/>
        <w:bCs w:val="0"/>
        <w:strike w:val="0"/>
        <w:color w:val="auto"/>
      </w:rPr>
    </w:lvl>
    <w:lvl w:ilvl="1" w:tplc="FFFFFFFF">
      <w:start w:val="1"/>
      <w:numFmt w:val="lowerLetter"/>
      <w:lvlText w:val="%2)"/>
      <w:lvlJc w:val="left"/>
      <w:pPr>
        <w:ind w:left="1440" w:hanging="360"/>
      </w:pPr>
    </w:lvl>
    <w:lvl w:ilvl="2" w:tplc="FFFFFFFF">
      <w:start w:val="1"/>
      <w:numFmt w:val="bullet"/>
      <w:lvlText w:val=""/>
      <w:lvlJc w:val="left"/>
      <w:pPr>
        <w:ind w:left="1803" w:hanging="360"/>
      </w:pPr>
      <w:rPr>
        <w:rFonts w:ascii="Wingdings" w:hAnsi="Wingdings" w:hint="default"/>
      </w:rPr>
    </w:lvl>
    <w:lvl w:ilvl="3" w:tplc="FFFFFFFF" w:tentative="1">
      <w:start w:val="1"/>
      <w:numFmt w:val="bullet"/>
      <w:lvlText w:val=""/>
      <w:lvlJc w:val="left"/>
      <w:pPr>
        <w:ind w:left="2523" w:hanging="360"/>
      </w:pPr>
      <w:rPr>
        <w:rFonts w:ascii="Symbol" w:hAnsi="Symbol" w:hint="default"/>
      </w:rPr>
    </w:lvl>
    <w:lvl w:ilvl="4" w:tplc="FFFFFFFF" w:tentative="1">
      <w:start w:val="1"/>
      <w:numFmt w:val="bullet"/>
      <w:lvlText w:val="o"/>
      <w:lvlJc w:val="left"/>
      <w:pPr>
        <w:ind w:left="3243" w:hanging="360"/>
      </w:pPr>
      <w:rPr>
        <w:rFonts w:ascii="Courier New" w:hAnsi="Courier New" w:cs="Courier New" w:hint="default"/>
      </w:rPr>
    </w:lvl>
    <w:lvl w:ilvl="5" w:tplc="FFFFFFFF" w:tentative="1">
      <w:start w:val="1"/>
      <w:numFmt w:val="bullet"/>
      <w:lvlText w:val=""/>
      <w:lvlJc w:val="left"/>
      <w:pPr>
        <w:ind w:left="3963" w:hanging="360"/>
      </w:pPr>
      <w:rPr>
        <w:rFonts w:ascii="Wingdings" w:hAnsi="Wingdings" w:hint="default"/>
      </w:rPr>
    </w:lvl>
    <w:lvl w:ilvl="6" w:tplc="FFFFFFFF" w:tentative="1">
      <w:start w:val="1"/>
      <w:numFmt w:val="bullet"/>
      <w:lvlText w:val=""/>
      <w:lvlJc w:val="left"/>
      <w:pPr>
        <w:ind w:left="4683" w:hanging="360"/>
      </w:pPr>
      <w:rPr>
        <w:rFonts w:ascii="Symbol" w:hAnsi="Symbol" w:hint="default"/>
      </w:rPr>
    </w:lvl>
    <w:lvl w:ilvl="7" w:tplc="FFFFFFFF" w:tentative="1">
      <w:start w:val="1"/>
      <w:numFmt w:val="bullet"/>
      <w:lvlText w:val="o"/>
      <w:lvlJc w:val="left"/>
      <w:pPr>
        <w:ind w:left="5403" w:hanging="360"/>
      </w:pPr>
      <w:rPr>
        <w:rFonts w:ascii="Courier New" w:hAnsi="Courier New" w:cs="Courier New" w:hint="default"/>
      </w:rPr>
    </w:lvl>
    <w:lvl w:ilvl="8" w:tplc="FFFFFFFF" w:tentative="1">
      <w:start w:val="1"/>
      <w:numFmt w:val="bullet"/>
      <w:lvlText w:val=""/>
      <w:lvlJc w:val="left"/>
      <w:pPr>
        <w:ind w:left="6123" w:hanging="360"/>
      </w:pPr>
      <w:rPr>
        <w:rFonts w:ascii="Wingdings" w:hAnsi="Wingdings" w:hint="default"/>
      </w:rPr>
    </w:lvl>
  </w:abstractNum>
  <w:abstractNum w:abstractNumId="235" w15:restartNumberingAfterBreak="0">
    <w:nsid w:val="624E205E"/>
    <w:multiLevelType w:val="hybridMultilevel"/>
    <w:tmpl w:val="F68E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626A56F3"/>
    <w:multiLevelType w:val="hybridMultilevel"/>
    <w:tmpl w:val="1FF8B40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7" w15:restartNumberingAfterBreak="0">
    <w:nsid w:val="628E318A"/>
    <w:multiLevelType w:val="hybridMultilevel"/>
    <w:tmpl w:val="0D8610C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bullet"/>
      <w:lvlText w:val=""/>
      <w:lvlJc w:val="left"/>
      <w:pPr>
        <w:ind w:left="1803" w:hanging="360"/>
      </w:pPr>
      <w:rPr>
        <w:rFonts w:ascii="Wingdings" w:hAnsi="Wingdings" w:hint="default"/>
      </w:rPr>
    </w:lvl>
    <w:lvl w:ilvl="3" w:tplc="FFFFFFFF" w:tentative="1">
      <w:start w:val="1"/>
      <w:numFmt w:val="bullet"/>
      <w:lvlText w:val=""/>
      <w:lvlJc w:val="left"/>
      <w:pPr>
        <w:ind w:left="2523" w:hanging="360"/>
      </w:pPr>
      <w:rPr>
        <w:rFonts w:ascii="Symbol" w:hAnsi="Symbol" w:hint="default"/>
      </w:rPr>
    </w:lvl>
    <w:lvl w:ilvl="4" w:tplc="FFFFFFFF" w:tentative="1">
      <w:start w:val="1"/>
      <w:numFmt w:val="bullet"/>
      <w:lvlText w:val="o"/>
      <w:lvlJc w:val="left"/>
      <w:pPr>
        <w:ind w:left="3243" w:hanging="360"/>
      </w:pPr>
      <w:rPr>
        <w:rFonts w:ascii="Courier New" w:hAnsi="Courier New" w:cs="Courier New" w:hint="default"/>
      </w:rPr>
    </w:lvl>
    <w:lvl w:ilvl="5" w:tplc="FFFFFFFF" w:tentative="1">
      <w:start w:val="1"/>
      <w:numFmt w:val="bullet"/>
      <w:lvlText w:val=""/>
      <w:lvlJc w:val="left"/>
      <w:pPr>
        <w:ind w:left="3963" w:hanging="360"/>
      </w:pPr>
      <w:rPr>
        <w:rFonts w:ascii="Wingdings" w:hAnsi="Wingdings" w:hint="default"/>
      </w:rPr>
    </w:lvl>
    <w:lvl w:ilvl="6" w:tplc="FFFFFFFF" w:tentative="1">
      <w:start w:val="1"/>
      <w:numFmt w:val="bullet"/>
      <w:lvlText w:val=""/>
      <w:lvlJc w:val="left"/>
      <w:pPr>
        <w:ind w:left="4683" w:hanging="360"/>
      </w:pPr>
      <w:rPr>
        <w:rFonts w:ascii="Symbol" w:hAnsi="Symbol" w:hint="default"/>
      </w:rPr>
    </w:lvl>
    <w:lvl w:ilvl="7" w:tplc="FFFFFFFF" w:tentative="1">
      <w:start w:val="1"/>
      <w:numFmt w:val="bullet"/>
      <w:lvlText w:val="o"/>
      <w:lvlJc w:val="left"/>
      <w:pPr>
        <w:ind w:left="5403" w:hanging="360"/>
      </w:pPr>
      <w:rPr>
        <w:rFonts w:ascii="Courier New" w:hAnsi="Courier New" w:cs="Courier New" w:hint="default"/>
      </w:rPr>
    </w:lvl>
    <w:lvl w:ilvl="8" w:tplc="FFFFFFFF" w:tentative="1">
      <w:start w:val="1"/>
      <w:numFmt w:val="bullet"/>
      <w:lvlText w:val=""/>
      <w:lvlJc w:val="left"/>
      <w:pPr>
        <w:ind w:left="6123" w:hanging="360"/>
      </w:pPr>
      <w:rPr>
        <w:rFonts w:ascii="Wingdings" w:hAnsi="Wingdings" w:hint="default"/>
      </w:rPr>
    </w:lvl>
  </w:abstractNum>
  <w:abstractNum w:abstractNumId="238" w15:restartNumberingAfterBreak="0">
    <w:nsid w:val="62BC0B99"/>
    <w:multiLevelType w:val="hybridMultilevel"/>
    <w:tmpl w:val="2BFCF036"/>
    <w:lvl w:ilvl="0" w:tplc="FFFFFFFF">
      <w:start w:val="1"/>
      <w:numFmt w:val="decimal"/>
      <w:lvlText w:val="%1."/>
      <w:lvlJc w:val="left"/>
      <w:pPr>
        <w:ind w:left="36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9" w15:restartNumberingAfterBreak="0">
    <w:nsid w:val="62BF78B7"/>
    <w:multiLevelType w:val="hybridMultilevel"/>
    <w:tmpl w:val="A352100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0" w15:restartNumberingAfterBreak="0">
    <w:nsid w:val="63AC1C9C"/>
    <w:multiLevelType w:val="hybridMultilevel"/>
    <w:tmpl w:val="5448B2C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1" w15:restartNumberingAfterBreak="0">
    <w:nsid w:val="643062C1"/>
    <w:multiLevelType w:val="hybridMultilevel"/>
    <w:tmpl w:val="7B84D2A6"/>
    <w:lvl w:ilvl="0" w:tplc="0409000F">
      <w:start w:val="1"/>
      <w:numFmt w:val="decimal"/>
      <w:lvlText w:val="%1."/>
      <w:lvlJc w:val="left"/>
      <w:pPr>
        <w:ind w:left="720" w:hanging="360"/>
      </w:pPr>
      <w:rPr>
        <w:rFonts w:hint="default"/>
        <w:strike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2" w15:restartNumberingAfterBreak="0">
    <w:nsid w:val="6449219D"/>
    <w:multiLevelType w:val="hybridMultilevel"/>
    <w:tmpl w:val="2C52A4F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3" w15:restartNumberingAfterBreak="0">
    <w:nsid w:val="64C80E37"/>
    <w:multiLevelType w:val="hybridMultilevel"/>
    <w:tmpl w:val="1346A584"/>
    <w:lvl w:ilvl="0" w:tplc="04090017">
      <w:start w:val="1"/>
      <w:numFmt w:val="lowerLetter"/>
      <w:lvlText w:val="%1)"/>
      <w:lvlJc w:val="left"/>
      <w:pPr>
        <w:ind w:left="720" w:hanging="360"/>
      </w:pPr>
      <w:rPr>
        <w:rFonts w:hint="default"/>
        <w:b w:val="0"/>
        <w:bCs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4" w15:restartNumberingAfterBreak="0">
    <w:nsid w:val="6530260D"/>
    <w:multiLevelType w:val="hybridMultilevel"/>
    <w:tmpl w:val="DAFEC6D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5" w15:restartNumberingAfterBreak="0">
    <w:nsid w:val="665C34BE"/>
    <w:multiLevelType w:val="hybridMultilevel"/>
    <w:tmpl w:val="27122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15:restartNumberingAfterBreak="0">
    <w:nsid w:val="668E1090"/>
    <w:multiLevelType w:val="hybridMultilevel"/>
    <w:tmpl w:val="4A784B4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7" w15:restartNumberingAfterBreak="0">
    <w:nsid w:val="669E1A38"/>
    <w:multiLevelType w:val="hybridMultilevel"/>
    <w:tmpl w:val="41A4C0A2"/>
    <w:lvl w:ilvl="0" w:tplc="FFFFFFFF">
      <w:start w:val="1"/>
      <w:numFmt w:val="upperLetter"/>
      <w:lvlText w:val="%1."/>
      <w:lvlJc w:val="left"/>
      <w:pPr>
        <w:ind w:left="520" w:hanging="360"/>
      </w:pPr>
      <w:rPr>
        <w:rFonts w:ascii="Calibri" w:eastAsia="Calibri" w:hAnsi="Calibri" w:cs="Calibri" w:hint="default"/>
        <w:b/>
        <w:bCs/>
        <w:w w:val="100"/>
        <w:sz w:val="22"/>
        <w:szCs w:val="22"/>
        <w:lang w:val="en-US" w:eastAsia="en-US" w:bidi="en-US"/>
      </w:rPr>
    </w:lvl>
    <w:lvl w:ilvl="1" w:tplc="FFFFFFFF">
      <w:start w:val="1"/>
      <w:numFmt w:val="decimal"/>
      <w:lvlText w:val="%2."/>
      <w:lvlJc w:val="left"/>
      <w:pPr>
        <w:ind w:left="880" w:hanging="360"/>
      </w:pPr>
      <w:rPr>
        <w:rFonts w:ascii="Arial" w:eastAsia="Calibri" w:hAnsi="Arial" w:cs="Arial" w:hint="default"/>
        <w:w w:val="100"/>
        <w:sz w:val="22"/>
        <w:szCs w:val="22"/>
        <w:lang w:val="en-US" w:eastAsia="en-US" w:bidi="en-US"/>
      </w:rPr>
    </w:lvl>
    <w:lvl w:ilvl="2" w:tplc="04090017">
      <w:start w:val="1"/>
      <w:numFmt w:val="lowerLetter"/>
      <w:lvlText w:val="%3)"/>
      <w:lvlJc w:val="left"/>
      <w:pPr>
        <w:ind w:left="1440" w:hanging="360"/>
      </w:pPr>
    </w:lvl>
    <w:lvl w:ilvl="3" w:tplc="FFFFFFFF">
      <w:start w:val="1"/>
      <w:numFmt w:val="decimal"/>
      <w:lvlText w:val="%4."/>
      <w:lvlJc w:val="left"/>
      <w:pPr>
        <w:ind w:left="1240" w:hanging="360"/>
      </w:pPr>
      <w:rPr>
        <w:rFonts w:hint="default"/>
        <w:lang w:val="en-US" w:eastAsia="en-US" w:bidi="en-US"/>
      </w:rPr>
    </w:lvl>
    <w:lvl w:ilvl="4" w:tplc="FFFFFFFF">
      <w:start w:val="1"/>
      <w:numFmt w:val="lowerRoman"/>
      <w:lvlText w:val="%5."/>
      <w:lvlJc w:val="left"/>
      <w:pPr>
        <w:ind w:left="2457" w:hanging="360"/>
      </w:pPr>
      <w:rPr>
        <w:rFonts w:ascii="Calibri" w:eastAsia="Calibri" w:hAnsi="Calibri" w:cs="Calibri" w:hint="default"/>
        <w:spacing w:val="-1"/>
        <w:w w:val="100"/>
        <w:sz w:val="22"/>
        <w:szCs w:val="22"/>
        <w:lang w:val="en-US" w:eastAsia="en-US" w:bidi="en-US"/>
      </w:rPr>
    </w:lvl>
    <w:lvl w:ilvl="5" w:tplc="FFFFFFFF">
      <w:numFmt w:val="bullet"/>
      <w:lvlText w:val="•"/>
      <w:lvlJc w:val="left"/>
      <w:pPr>
        <w:ind w:left="3674" w:hanging="360"/>
      </w:pPr>
      <w:rPr>
        <w:rFonts w:hint="default"/>
        <w:lang w:val="en-US" w:eastAsia="en-US" w:bidi="en-US"/>
      </w:rPr>
    </w:lvl>
    <w:lvl w:ilvl="6" w:tplc="FFFFFFFF">
      <w:numFmt w:val="bullet"/>
      <w:lvlText w:val="•"/>
      <w:lvlJc w:val="left"/>
      <w:pPr>
        <w:ind w:left="4891" w:hanging="360"/>
      </w:pPr>
      <w:rPr>
        <w:rFonts w:hint="default"/>
        <w:lang w:val="en-US" w:eastAsia="en-US" w:bidi="en-US"/>
      </w:rPr>
    </w:lvl>
    <w:lvl w:ilvl="7" w:tplc="FFFFFFFF">
      <w:numFmt w:val="bullet"/>
      <w:lvlText w:val="•"/>
      <w:lvlJc w:val="left"/>
      <w:pPr>
        <w:ind w:left="6108" w:hanging="360"/>
      </w:pPr>
      <w:rPr>
        <w:rFonts w:hint="default"/>
        <w:lang w:val="en-US" w:eastAsia="en-US" w:bidi="en-US"/>
      </w:rPr>
    </w:lvl>
    <w:lvl w:ilvl="8" w:tplc="FFFFFFFF">
      <w:numFmt w:val="bullet"/>
      <w:lvlText w:val="•"/>
      <w:lvlJc w:val="left"/>
      <w:pPr>
        <w:ind w:left="7325" w:hanging="360"/>
      </w:pPr>
      <w:rPr>
        <w:rFonts w:hint="default"/>
        <w:lang w:val="en-US" w:eastAsia="en-US" w:bidi="en-US"/>
      </w:rPr>
    </w:lvl>
  </w:abstractNum>
  <w:abstractNum w:abstractNumId="248" w15:restartNumberingAfterBreak="0">
    <w:nsid w:val="66EC35EF"/>
    <w:multiLevelType w:val="hybridMultilevel"/>
    <w:tmpl w:val="B1F0E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680D018D"/>
    <w:multiLevelType w:val="hybridMultilevel"/>
    <w:tmpl w:val="2BFCF036"/>
    <w:lvl w:ilvl="0" w:tplc="FFFFFFFF">
      <w:start w:val="1"/>
      <w:numFmt w:val="decimal"/>
      <w:lvlText w:val="%1."/>
      <w:lvlJc w:val="left"/>
      <w:pPr>
        <w:ind w:left="36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0" w15:restartNumberingAfterBreak="0">
    <w:nsid w:val="687B7356"/>
    <w:multiLevelType w:val="hybridMultilevel"/>
    <w:tmpl w:val="0A662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15:restartNumberingAfterBreak="0">
    <w:nsid w:val="68DB5DEF"/>
    <w:multiLevelType w:val="hybridMultilevel"/>
    <w:tmpl w:val="A686E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69314DD9"/>
    <w:multiLevelType w:val="hybridMultilevel"/>
    <w:tmpl w:val="A76A3BE6"/>
    <w:lvl w:ilvl="0" w:tplc="04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3" w15:restartNumberingAfterBreak="0">
    <w:nsid w:val="699C562D"/>
    <w:multiLevelType w:val="hybridMultilevel"/>
    <w:tmpl w:val="70865270"/>
    <w:lvl w:ilvl="0" w:tplc="04090001">
      <w:start w:val="1"/>
      <w:numFmt w:val="bullet"/>
      <w:lvlText w:val=""/>
      <w:lvlJc w:val="left"/>
      <w:pPr>
        <w:ind w:left="720" w:hanging="360"/>
      </w:pPr>
      <w:rPr>
        <w:rFonts w:ascii="Symbol" w:hAnsi="Symbol" w:hint="default"/>
        <w:color w:val="auto"/>
        <w:sz w:val="20"/>
        <w:szCs w:val="20"/>
      </w:rPr>
    </w:lvl>
    <w:lvl w:ilvl="1" w:tplc="FFFFFFFF">
      <w:start w:val="1"/>
      <w:numFmt w:val="bullet"/>
      <w:lvlText w:val="o"/>
      <w:lvlJc w:val="left"/>
      <w:pPr>
        <w:ind w:left="1440" w:hanging="360"/>
      </w:pPr>
      <w:rPr>
        <w:rFonts w:ascii="Times New Roman" w:hAnsi="Times New Roman" w:cs="Times New Roman" w:hint="default"/>
        <w:sz w:val="20"/>
        <w:szCs w:val="2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4" w15:restartNumberingAfterBreak="0">
    <w:nsid w:val="69F6485C"/>
    <w:multiLevelType w:val="hybridMultilevel"/>
    <w:tmpl w:val="BD90C5AA"/>
    <w:lvl w:ilvl="0" w:tplc="982C35A6">
      <w:start w:val="1"/>
      <w:numFmt w:val="decimal"/>
      <w:lvlText w:val="%1."/>
      <w:lvlJc w:val="left"/>
      <w:pPr>
        <w:ind w:left="720" w:hanging="360"/>
      </w:pPr>
      <w:rPr>
        <w:rFonts w:ascii="Arial" w:eastAsia="Calibri" w:hAnsi="Arial" w:cs="Arial" w:hint="default"/>
        <w:spacing w:val="-2"/>
        <w:w w:val="100"/>
        <w:sz w:val="22"/>
        <w:szCs w:val="22"/>
        <w:lang w:val="en-US" w:eastAsia="en-US" w:bidi="en-US"/>
      </w:rPr>
    </w:lvl>
    <w:lvl w:ilvl="1" w:tplc="E7FA046A">
      <w:numFmt w:val="bullet"/>
      <w:lvlText w:val="•"/>
      <w:lvlJc w:val="left"/>
      <w:pPr>
        <w:ind w:left="1720" w:hanging="360"/>
      </w:pPr>
      <w:rPr>
        <w:lang w:val="en-US" w:eastAsia="en-US" w:bidi="en-US"/>
      </w:rPr>
    </w:lvl>
    <w:lvl w:ilvl="2" w:tplc="BD643ADE">
      <w:numFmt w:val="bullet"/>
      <w:lvlText w:val="•"/>
      <w:lvlJc w:val="left"/>
      <w:pPr>
        <w:ind w:left="2718" w:hanging="360"/>
      </w:pPr>
      <w:rPr>
        <w:lang w:val="en-US" w:eastAsia="en-US" w:bidi="en-US"/>
      </w:rPr>
    </w:lvl>
    <w:lvl w:ilvl="3" w:tplc="CE0A067E">
      <w:numFmt w:val="bullet"/>
      <w:lvlText w:val="•"/>
      <w:lvlJc w:val="left"/>
      <w:pPr>
        <w:ind w:left="3716" w:hanging="360"/>
      </w:pPr>
      <w:rPr>
        <w:lang w:val="en-US" w:eastAsia="en-US" w:bidi="en-US"/>
      </w:rPr>
    </w:lvl>
    <w:lvl w:ilvl="4" w:tplc="72A236DA">
      <w:numFmt w:val="bullet"/>
      <w:lvlText w:val="•"/>
      <w:lvlJc w:val="left"/>
      <w:pPr>
        <w:ind w:left="4714" w:hanging="360"/>
      </w:pPr>
      <w:rPr>
        <w:lang w:val="en-US" w:eastAsia="en-US" w:bidi="en-US"/>
      </w:rPr>
    </w:lvl>
    <w:lvl w:ilvl="5" w:tplc="DC5EB35E">
      <w:numFmt w:val="bullet"/>
      <w:lvlText w:val="•"/>
      <w:lvlJc w:val="left"/>
      <w:pPr>
        <w:ind w:left="5712" w:hanging="360"/>
      </w:pPr>
      <w:rPr>
        <w:lang w:val="en-US" w:eastAsia="en-US" w:bidi="en-US"/>
      </w:rPr>
    </w:lvl>
    <w:lvl w:ilvl="6" w:tplc="A4A4CCB4">
      <w:numFmt w:val="bullet"/>
      <w:lvlText w:val="•"/>
      <w:lvlJc w:val="left"/>
      <w:pPr>
        <w:ind w:left="6710" w:hanging="360"/>
      </w:pPr>
      <w:rPr>
        <w:lang w:val="en-US" w:eastAsia="en-US" w:bidi="en-US"/>
      </w:rPr>
    </w:lvl>
    <w:lvl w:ilvl="7" w:tplc="A73EA2DE">
      <w:numFmt w:val="bullet"/>
      <w:lvlText w:val="•"/>
      <w:lvlJc w:val="left"/>
      <w:pPr>
        <w:ind w:left="7708" w:hanging="360"/>
      </w:pPr>
      <w:rPr>
        <w:lang w:val="en-US" w:eastAsia="en-US" w:bidi="en-US"/>
      </w:rPr>
    </w:lvl>
    <w:lvl w:ilvl="8" w:tplc="A87ABF06">
      <w:numFmt w:val="bullet"/>
      <w:lvlText w:val="•"/>
      <w:lvlJc w:val="left"/>
      <w:pPr>
        <w:ind w:left="8706" w:hanging="360"/>
      </w:pPr>
      <w:rPr>
        <w:lang w:val="en-US" w:eastAsia="en-US" w:bidi="en-US"/>
      </w:rPr>
    </w:lvl>
  </w:abstractNum>
  <w:abstractNum w:abstractNumId="255" w15:restartNumberingAfterBreak="0">
    <w:nsid w:val="6A0916AD"/>
    <w:multiLevelType w:val="hybridMultilevel"/>
    <w:tmpl w:val="54BA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6BCC34A6"/>
    <w:multiLevelType w:val="hybridMultilevel"/>
    <w:tmpl w:val="10A26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6BDB0398"/>
    <w:multiLevelType w:val="hybridMultilevel"/>
    <w:tmpl w:val="9CC4857C"/>
    <w:lvl w:ilvl="0" w:tplc="89AE54D4">
      <w:start w:val="1"/>
      <w:numFmt w:val="upperLetter"/>
      <w:lvlText w:val="%1."/>
      <w:lvlJc w:val="left"/>
      <w:pPr>
        <w:ind w:left="520" w:hanging="360"/>
      </w:pPr>
      <w:rPr>
        <w:rFonts w:ascii="Calibri" w:eastAsia="Calibri" w:hAnsi="Calibri" w:cs="Calibri" w:hint="default"/>
        <w:b/>
        <w:bCs/>
        <w:w w:val="100"/>
        <w:sz w:val="22"/>
        <w:szCs w:val="22"/>
        <w:lang w:val="en-US" w:eastAsia="en-US" w:bidi="en-US"/>
      </w:rPr>
    </w:lvl>
    <w:lvl w:ilvl="1" w:tplc="7592BE96">
      <w:start w:val="1"/>
      <w:numFmt w:val="decimal"/>
      <w:lvlText w:val="%2."/>
      <w:lvlJc w:val="left"/>
      <w:pPr>
        <w:ind w:left="880" w:hanging="360"/>
      </w:pPr>
      <w:rPr>
        <w:rFonts w:ascii="Arial" w:eastAsia="Calibri" w:hAnsi="Arial" w:cs="Arial" w:hint="default"/>
        <w:w w:val="100"/>
        <w:sz w:val="22"/>
        <w:szCs w:val="22"/>
        <w:lang w:val="en-US" w:eastAsia="en-US" w:bidi="en-US"/>
      </w:rPr>
    </w:lvl>
    <w:lvl w:ilvl="2" w:tplc="867009AA">
      <w:start w:val="1"/>
      <w:numFmt w:val="lowerLetter"/>
      <w:lvlText w:val="%3."/>
      <w:lvlJc w:val="left"/>
      <w:pPr>
        <w:ind w:left="1240" w:hanging="360"/>
      </w:pPr>
      <w:rPr>
        <w:rFonts w:ascii="Arial" w:eastAsia="Calibri" w:hAnsi="Arial" w:cs="Arial" w:hint="default"/>
        <w:spacing w:val="-1"/>
        <w:w w:val="100"/>
        <w:sz w:val="22"/>
        <w:szCs w:val="22"/>
        <w:lang w:val="en-US" w:eastAsia="en-US" w:bidi="en-US"/>
      </w:rPr>
    </w:lvl>
    <w:lvl w:ilvl="3" w:tplc="0409000F">
      <w:start w:val="1"/>
      <w:numFmt w:val="decimal"/>
      <w:lvlText w:val="%4."/>
      <w:lvlJc w:val="left"/>
      <w:pPr>
        <w:ind w:left="1240" w:hanging="360"/>
      </w:pPr>
      <w:rPr>
        <w:rFonts w:hint="default"/>
        <w:lang w:val="en-US" w:eastAsia="en-US" w:bidi="en-US"/>
      </w:rPr>
    </w:lvl>
    <w:lvl w:ilvl="4" w:tplc="6AAA7A1A">
      <w:start w:val="1"/>
      <w:numFmt w:val="lowerRoman"/>
      <w:lvlText w:val="%5."/>
      <w:lvlJc w:val="left"/>
      <w:pPr>
        <w:ind w:left="2457" w:hanging="360"/>
      </w:pPr>
      <w:rPr>
        <w:rFonts w:ascii="Calibri" w:eastAsia="Calibri" w:hAnsi="Calibri" w:cs="Calibri" w:hint="default"/>
        <w:spacing w:val="-1"/>
        <w:w w:val="100"/>
        <w:sz w:val="22"/>
        <w:szCs w:val="22"/>
        <w:lang w:val="en-US" w:eastAsia="en-US" w:bidi="en-US"/>
      </w:rPr>
    </w:lvl>
    <w:lvl w:ilvl="5" w:tplc="AB989912">
      <w:numFmt w:val="bullet"/>
      <w:lvlText w:val="•"/>
      <w:lvlJc w:val="left"/>
      <w:pPr>
        <w:ind w:left="3674" w:hanging="360"/>
      </w:pPr>
      <w:rPr>
        <w:rFonts w:hint="default"/>
        <w:lang w:val="en-US" w:eastAsia="en-US" w:bidi="en-US"/>
      </w:rPr>
    </w:lvl>
    <w:lvl w:ilvl="6" w:tplc="E632BA84">
      <w:numFmt w:val="bullet"/>
      <w:lvlText w:val="•"/>
      <w:lvlJc w:val="left"/>
      <w:pPr>
        <w:ind w:left="4891" w:hanging="360"/>
      </w:pPr>
      <w:rPr>
        <w:rFonts w:hint="default"/>
        <w:lang w:val="en-US" w:eastAsia="en-US" w:bidi="en-US"/>
      </w:rPr>
    </w:lvl>
    <w:lvl w:ilvl="7" w:tplc="060072AC">
      <w:numFmt w:val="bullet"/>
      <w:lvlText w:val="•"/>
      <w:lvlJc w:val="left"/>
      <w:pPr>
        <w:ind w:left="6108" w:hanging="360"/>
      </w:pPr>
      <w:rPr>
        <w:rFonts w:hint="default"/>
        <w:lang w:val="en-US" w:eastAsia="en-US" w:bidi="en-US"/>
      </w:rPr>
    </w:lvl>
    <w:lvl w:ilvl="8" w:tplc="C164BFBA">
      <w:numFmt w:val="bullet"/>
      <w:lvlText w:val="•"/>
      <w:lvlJc w:val="left"/>
      <w:pPr>
        <w:ind w:left="7325" w:hanging="360"/>
      </w:pPr>
      <w:rPr>
        <w:rFonts w:hint="default"/>
        <w:lang w:val="en-US" w:eastAsia="en-US" w:bidi="en-US"/>
      </w:rPr>
    </w:lvl>
  </w:abstractNum>
  <w:abstractNum w:abstractNumId="258" w15:restartNumberingAfterBreak="0">
    <w:nsid w:val="6D814149"/>
    <w:multiLevelType w:val="hybridMultilevel"/>
    <w:tmpl w:val="1FF8B40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9" w15:restartNumberingAfterBreak="0">
    <w:nsid w:val="6D98375E"/>
    <w:multiLevelType w:val="hybridMultilevel"/>
    <w:tmpl w:val="4112DB62"/>
    <w:lvl w:ilvl="0" w:tplc="0409000F">
      <w:start w:val="1"/>
      <w:numFmt w:val="decimal"/>
      <w:lvlText w:val="%1."/>
      <w:lvlJc w:val="left"/>
      <w:pPr>
        <w:tabs>
          <w:tab w:val="num" w:pos="360"/>
        </w:tabs>
        <w:ind w:left="360" w:hanging="360"/>
      </w:pPr>
      <w:rPr>
        <w:rFonts w:hint="default"/>
        <w:strike w:val="0"/>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60" w15:restartNumberingAfterBreak="0">
    <w:nsid w:val="6D9B1925"/>
    <w:multiLevelType w:val="hybridMultilevel"/>
    <w:tmpl w:val="C79E9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15:restartNumberingAfterBreak="0">
    <w:nsid w:val="6D9B2BEF"/>
    <w:multiLevelType w:val="hybridMultilevel"/>
    <w:tmpl w:val="FB7ECBB4"/>
    <w:lvl w:ilvl="0" w:tplc="FFFFFFFF">
      <w:start w:val="1"/>
      <w:numFmt w:val="bullet"/>
      <w:lvlText w:val=""/>
      <w:lvlJc w:val="left"/>
      <w:pPr>
        <w:ind w:left="770" w:hanging="360"/>
      </w:pPr>
      <w:rPr>
        <w:rFonts w:ascii="Symbol" w:hAnsi="Symbol" w:hint="default"/>
      </w:rPr>
    </w:lvl>
    <w:lvl w:ilvl="1" w:tplc="04090017">
      <w:start w:val="1"/>
      <w:numFmt w:val="lowerLetter"/>
      <w:lvlText w:val="%2)"/>
      <w:lvlJc w:val="left"/>
      <w:pPr>
        <w:ind w:left="1440" w:hanging="360"/>
      </w:p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262" w15:restartNumberingAfterBreak="0">
    <w:nsid w:val="6DC914E3"/>
    <w:multiLevelType w:val="hybridMultilevel"/>
    <w:tmpl w:val="B1BE3F1A"/>
    <w:lvl w:ilvl="0" w:tplc="FFFFFFFF">
      <w:start w:val="1"/>
      <w:numFmt w:val="upperLetter"/>
      <w:lvlText w:val="%1."/>
      <w:lvlJc w:val="left"/>
      <w:pPr>
        <w:ind w:left="453" w:hanging="293"/>
      </w:pPr>
      <w:rPr>
        <w:rFonts w:ascii="Calibri" w:eastAsia="Calibri" w:hAnsi="Calibri" w:cs="Calibri" w:hint="default"/>
        <w:b/>
        <w:bCs/>
        <w:w w:val="100"/>
        <w:sz w:val="22"/>
        <w:szCs w:val="22"/>
        <w:lang w:val="en-US" w:eastAsia="en-US" w:bidi="en-US"/>
      </w:rPr>
    </w:lvl>
    <w:lvl w:ilvl="1" w:tplc="FFFFFFFF">
      <w:start w:val="1"/>
      <w:numFmt w:val="decimal"/>
      <w:lvlText w:val="%2."/>
      <w:lvlJc w:val="left"/>
      <w:pPr>
        <w:ind w:left="880" w:hanging="360"/>
      </w:pPr>
      <w:rPr>
        <w:rFonts w:ascii="Calibri" w:eastAsia="Calibri" w:hAnsi="Calibri" w:cs="Calibri" w:hint="default"/>
        <w:w w:val="100"/>
        <w:sz w:val="22"/>
        <w:szCs w:val="22"/>
        <w:lang w:val="en-US" w:eastAsia="en-US" w:bidi="en-US"/>
      </w:rPr>
    </w:lvl>
    <w:lvl w:ilvl="2" w:tplc="8FB0D92E">
      <w:start w:val="1"/>
      <w:numFmt w:val="decimal"/>
      <w:lvlText w:val="%3."/>
      <w:lvlJc w:val="left"/>
      <w:pPr>
        <w:ind w:left="1240" w:hanging="360"/>
      </w:pPr>
      <w:rPr>
        <w:rFonts w:cs="Times New Roman"/>
        <w:snapToGrid/>
        <w:w w:val="105"/>
        <w:sz w:val="22"/>
        <w:szCs w:val="24"/>
      </w:rPr>
    </w:lvl>
    <w:lvl w:ilvl="3" w:tplc="FFFFFFFF">
      <w:start w:val="1"/>
      <w:numFmt w:val="decimal"/>
      <w:lvlText w:val="%4."/>
      <w:lvlJc w:val="left"/>
      <w:pPr>
        <w:ind w:left="1800" w:hanging="360"/>
      </w:pPr>
    </w:lvl>
    <w:lvl w:ilvl="4" w:tplc="FFFFFFFF">
      <w:start w:val="1"/>
      <w:numFmt w:val="bullet"/>
      <w:lvlText w:val=""/>
      <w:lvlJc w:val="left"/>
      <w:pPr>
        <w:ind w:left="2034" w:hanging="360"/>
      </w:pPr>
      <w:rPr>
        <w:rFonts w:ascii="Symbol" w:hAnsi="Symbol" w:hint="default"/>
      </w:rPr>
    </w:lvl>
    <w:lvl w:ilvl="5" w:tplc="FFFFFFFF">
      <w:start w:val="1"/>
      <w:numFmt w:val="bullet"/>
      <w:lvlText w:val=""/>
      <w:lvlJc w:val="left"/>
      <w:pPr>
        <w:ind w:left="2140" w:hanging="360"/>
      </w:pPr>
      <w:rPr>
        <w:rFonts w:ascii="Symbol" w:hAnsi="Symbol" w:hint="default"/>
      </w:rPr>
    </w:lvl>
    <w:lvl w:ilvl="6" w:tplc="FFFFFFFF">
      <w:numFmt w:val="bullet"/>
      <w:lvlText w:val="•"/>
      <w:lvlJc w:val="left"/>
      <w:pPr>
        <w:ind w:left="1960" w:hanging="360"/>
      </w:pPr>
      <w:rPr>
        <w:rFonts w:hint="default"/>
        <w:lang w:val="en-US" w:eastAsia="en-US" w:bidi="en-US"/>
      </w:rPr>
    </w:lvl>
    <w:lvl w:ilvl="7" w:tplc="FFFFFFFF">
      <w:numFmt w:val="bullet"/>
      <w:lvlText w:val="•"/>
      <w:lvlJc w:val="left"/>
      <w:pPr>
        <w:ind w:left="2140" w:hanging="360"/>
      </w:pPr>
      <w:rPr>
        <w:rFonts w:hint="default"/>
        <w:lang w:val="en-US" w:eastAsia="en-US" w:bidi="en-US"/>
      </w:rPr>
    </w:lvl>
    <w:lvl w:ilvl="8" w:tplc="FFFFFFFF">
      <w:numFmt w:val="bullet"/>
      <w:lvlText w:val="•"/>
      <w:lvlJc w:val="left"/>
      <w:pPr>
        <w:ind w:left="4680" w:hanging="360"/>
      </w:pPr>
      <w:rPr>
        <w:rFonts w:hint="default"/>
        <w:lang w:val="en-US" w:eastAsia="en-US" w:bidi="en-US"/>
      </w:rPr>
    </w:lvl>
  </w:abstractNum>
  <w:abstractNum w:abstractNumId="263" w15:restartNumberingAfterBreak="0">
    <w:nsid w:val="6E9C1D00"/>
    <w:multiLevelType w:val="hybridMultilevel"/>
    <w:tmpl w:val="E42626EA"/>
    <w:lvl w:ilvl="0" w:tplc="0409000F">
      <w:start w:val="1"/>
      <w:numFmt w:val="decimal"/>
      <w:lvlText w:val="%1."/>
      <w:lvlJc w:val="left"/>
      <w:pPr>
        <w:tabs>
          <w:tab w:val="num" w:pos="360"/>
        </w:tabs>
        <w:ind w:left="360" w:hanging="360"/>
      </w:pPr>
      <w:rPr>
        <w:rFonts w:hint="default"/>
        <w:strike w:val="0"/>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64" w15:restartNumberingAfterBreak="0">
    <w:nsid w:val="6F4E6356"/>
    <w:multiLevelType w:val="hybridMultilevel"/>
    <w:tmpl w:val="1E482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723A6938"/>
    <w:multiLevelType w:val="hybridMultilevel"/>
    <w:tmpl w:val="E61AF95A"/>
    <w:lvl w:ilvl="0" w:tplc="FFFFFFFF">
      <w:start w:val="1"/>
      <w:numFmt w:val="upperLetter"/>
      <w:lvlText w:val="%1."/>
      <w:lvlJc w:val="left"/>
      <w:pPr>
        <w:ind w:left="520" w:hanging="360"/>
      </w:pPr>
      <w:rPr>
        <w:rFonts w:ascii="Calibri" w:eastAsia="Calibri" w:hAnsi="Calibri" w:cs="Calibri" w:hint="default"/>
        <w:b/>
        <w:bCs/>
        <w:w w:val="100"/>
        <w:sz w:val="22"/>
        <w:szCs w:val="22"/>
        <w:lang w:val="en-US" w:eastAsia="en-US" w:bidi="en-US"/>
      </w:rPr>
    </w:lvl>
    <w:lvl w:ilvl="1" w:tplc="FFFFFFFF">
      <w:start w:val="1"/>
      <w:numFmt w:val="decimal"/>
      <w:lvlText w:val="%2."/>
      <w:lvlJc w:val="left"/>
      <w:pPr>
        <w:ind w:left="880" w:hanging="360"/>
      </w:pPr>
      <w:rPr>
        <w:rFonts w:ascii="Arial" w:eastAsia="Calibri" w:hAnsi="Arial" w:cs="Arial" w:hint="default"/>
        <w:w w:val="100"/>
        <w:sz w:val="22"/>
        <w:szCs w:val="22"/>
        <w:lang w:val="en-US" w:eastAsia="en-US" w:bidi="en-US"/>
      </w:rPr>
    </w:lvl>
    <w:lvl w:ilvl="2" w:tplc="04090017">
      <w:start w:val="1"/>
      <w:numFmt w:val="lowerLetter"/>
      <w:lvlText w:val="%3)"/>
      <w:lvlJc w:val="left"/>
      <w:pPr>
        <w:ind w:left="1440" w:hanging="360"/>
      </w:pPr>
    </w:lvl>
    <w:lvl w:ilvl="3" w:tplc="FFFFFFFF">
      <w:start w:val="1"/>
      <w:numFmt w:val="decimal"/>
      <w:lvlText w:val="%4."/>
      <w:lvlJc w:val="left"/>
      <w:pPr>
        <w:ind w:left="1240" w:hanging="360"/>
      </w:pPr>
      <w:rPr>
        <w:rFonts w:hint="default"/>
        <w:lang w:val="en-US" w:eastAsia="en-US" w:bidi="en-US"/>
      </w:rPr>
    </w:lvl>
    <w:lvl w:ilvl="4" w:tplc="FFFFFFFF">
      <w:start w:val="1"/>
      <w:numFmt w:val="lowerRoman"/>
      <w:lvlText w:val="%5."/>
      <w:lvlJc w:val="left"/>
      <w:pPr>
        <w:ind w:left="2457" w:hanging="360"/>
      </w:pPr>
      <w:rPr>
        <w:rFonts w:ascii="Calibri" w:eastAsia="Calibri" w:hAnsi="Calibri" w:cs="Calibri" w:hint="default"/>
        <w:spacing w:val="-1"/>
        <w:w w:val="100"/>
        <w:sz w:val="22"/>
        <w:szCs w:val="22"/>
        <w:lang w:val="en-US" w:eastAsia="en-US" w:bidi="en-US"/>
      </w:rPr>
    </w:lvl>
    <w:lvl w:ilvl="5" w:tplc="FFFFFFFF">
      <w:numFmt w:val="bullet"/>
      <w:lvlText w:val="•"/>
      <w:lvlJc w:val="left"/>
      <w:pPr>
        <w:ind w:left="3674" w:hanging="360"/>
      </w:pPr>
      <w:rPr>
        <w:rFonts w:hint="default"/>
        <w:lang w:val="en-US" w:eastAsia="en-US" w:bidi="en-US"/>
      </w:rPr>
    </w:lvl>
    <w:lvl w:ilvl="6" w:tplc="FFFFFFFF">
      <w:numFmt w:val="bullet"/>
      <w:lvlText w:val="•"/>
      <w:lvlJc w:val="left"/>
      <w:pPr>
        <w:ind w:left="4891" w:hanging="360"/>
      </w:pPr>
      <w:rPr>
        <w:rFonts w:hint="default"/>
        <w:lang w:val="en-US" w:eastAsia="en-US" w:bidi="en-US"/>
      </w:rPr>
    </w:lvl>
    <w:lvl w:ilvl="7" w:tplc="FFFFFFFF">
      <w:numFmt w:val="bullet"/>
      <w:lvlText w:val="•"/>
      <w:lvlJc w:val="left"/>
      <w:pPr>
        <w:ind w:left="6108" w:hanging="360"/>
      </w:pPr>
      <w:rPr>
        <w:rFonts w:hint="default"/>
        <w:lang w:val="en-US" w:eastAsia="en-US" w:bidi="en-US"/>
      </w:rPr>
    </w:lvl>
    <w:lvl w:ilvl="8" w:tplc="FFFFFFFF">
      <w:numFmt w:val="bullet"/>
      <w:lvlText w:val="•"/>
      <w:lvlJc w:val="left"/>
      <w:pPr>
        <w:ind w:left="7325" w:hanging="360"/>
      </w:pPr>
      <w:rPr>
        <w:rFonts w:hint="default"/>
        <w:lang w:val="en-US" w:eastAsia="en-US" w:bidi="en-US"/>
      </w:rPr>
    </w:lvl>
  </w:abstractNum>
  <w:abstractNum w:abstractNumId="266" w15:restartNumberingAfterBreak="0">
    <w:nsid w:val="73292FF5"/>
    <w:multiLevelType w:val="hybridMultilevel"/>
    <w:tmpl w:val="F96E8C9C"/>
    <w:lvl w:ilvl="0" w:tplc="9D487BE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735C7100"/>
    <w:multiLevelType w:val="hybridMultilevel"/>
    <w:tmpl w:val="7A7451DC"/>
    <w:lvl w:ilvl="0" w:tplc="FFFFFFFF">
      <w:start w:val="1"/>
      <w:numFmt w:val="decimal"/>
      <w:lvlText w:val="%1."/>
      <w:lvlJc w:val="left"/>
      <w:pPr>
        <w:tabs>
          <w:tab w:val="num" w:pos="720"/>
        </w:tabs>
        <w:ind w:left="720" w:hanging="360"/>
      </w:pPr>
      <w:rPr>
        <w:rFonts w:hint="default"/>
        <w:b w:val="0"/>
        <w:bCs w:val="0"/>
        <w:color w:val="auto"/>
      </w:rPr>
    </w:lvl>
    <w:lvl w:ilvl="1" w:tplc="FFFFFFFF">
      <w:start w:val="1"/>
      <w:numFmt w:val="lowerLetter"/>
      <w:lvlText w:val="(%2)"/>
      <w:lvlJc w:val="left"/>
      <w:pPr>
        <w:ind w:left="1080" w:hanging="360"/>
      </w:pPr>
      <w:rPr>
        <w:rFonts w:hint="default"/>
        <w:strike w:val="0"/>
        <w:color w:val="auto"/>
      </w:rPr>
    </w:lvl>
    <w:lvl w:ilvl="2" w:tplc="FB8A782C">
      <w:start w:val="1"/>
      <w:numFmt w:val="lowerRoman"/>
      <w:lvlText w:val="%3."/>
      <w:lvlJc w:val="left"/>
      <w:pPr>
        <w:ind w:left="1440" w:hanging="360"/>
      </w:pPr>
      <w:rPr>
        <w:rFonts w:ascii="Arial" w:eastAsia="Calibri" w:hAnsi="Arial" w:cs="Arial" w:hint="default"/>
        <w:spacing w:val="-1"/>
        <w:w w:val="99"/>
        <w:sz w:val="22"/>
        <w:szCs w:val="22"/>
        <w:lang w:val="en-US" w:eastAsia="en-US" w:bidi="en-US"/>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68" w15:restartNumberingAfterBreak="0">
    <w:nsid w:val="73C63ADC"/>
    <w:multiLevelType w:val="hybridMultilevel"/>
    <w:tmpl w:val="52F61F3A"/>
    <w:lvl w:ilvl="0" w:tplc="FFFFFFFF">
      <w:start w:val="1"/>
      <w:numFmt w:val="decimal"/>
      <w:lvlText w:val="%1."/>
      <w:lvlJc w:val="left"/>
      <w:pPr>
        <w:ind w:left="1440" w:hanging="360"/>
      </w:pPr>
      <w:rPr>
        <w:rFonts w:ascii="Arial" w:eastAsia="Calibri" w:hAnsi="Arial" w:cs="Arial" w:hint="default"/>
        <w:w w:val="100"/>
        <w:sz w:val="22"/>
        <w:szCs w:val="22"/>
        <w:lang w:val="en-US" w:eastAsia="en-US" w:bidi="en-US"/>
      </w:rPr>
    </w:lvl>
    <w:lvl w:ilvl="1" w:tplc="04090017">
      <w:start w:val="1"/>
      <w:numFmt w:val="lowerLetter"/>
      <w:lvlText w:val="%2)"/>
      <w:lvlJc w:val="left"/>
      <w:pPr>
        <w:ind w:left="144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9" w15:restartNumberingAfterBreak="0">
    <w:nsid w:val="73EA3220"/>
    <w:multiLevelType w:val="hybridMultilevel"/>
    <w:tmpl w:val="54248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73F66933"/>
    <w:multiLevelType w:val="hybridMultilevel"/>
    <w:tmpl w:val="D7FEA5A2"/>
    <w:lvl w:ilvl="0" w:tplc="FFFFFFFF">
      <w:start w:val="1"/>
      <w:numFmt w:val="decimal"/>
      <w:lvlText w:val="%1."/>
      <w:lvlJc w:val="left"/>
      <w:pPr>
        <w:ind w:left="720" w:hanging="360"/>
      </w:pPr>
      <w:rPr>
        <w:rFonts w:hint="default"/>
        <w:b w:val="0"/>
        <w:bCs w:val="0"/>
        <w:color w:val="auto"/>
      </w:rPr>
    </w:lvl>
    <w:lvl w:ilvl="1" w:tplc="04090017">
      <w:start w:val="1"/>
      <w:numFmt w:val="lowerLetter"/>
      <w:lvlText w:val="%2)"/>
      <w:lvlJc w:val="left"/>
      <w:pPr>
        <w:ind w:left="1440" w:hanging="360"/>
      </w:pPr>
    </w:lvl>
    <w:lvl w:ilvl="2" w:tplc="FFFFFFFF">
      <w:start w:val="1"/>
      <w:numFmt w:val="bullet"/>
      <w:lvlText w:val=""/>
      <w:lvlJc w:val="left"/>
      <w:pPr>
        <w:ind w:left="1803" w:hanging="360"/>
      </w:pPr>
      <w:rPr>
        <w:rFonts w:ascii="Wingdings" w:hAnsi="Wingdings" w:hint="default"/>
      </w:rPr>
    </w:lvl>
    <w:lvl w:ilvl="3" w:tplc="FFFFFFFF" w:tentative="1">
      <w:start w:val="1"/>
      <w:numFmt w:val="bullet"/>
      <w:lvlText w:val=""/>
      <w:lvlJc w:val="left"/>
      <w:pPr>
        <w:ind w:left="2523" w:hanging="360"/>
      </w:pPr>
      <w:rPr>
        <w:rFonts w:ascii="Symbol" w:hAnsi="Symbol" w:hint="default"/>
      </w:rPr>
    </w:lvl>
    <w:lvl w:ilvl="4" w:tplc="FFFFFFFF" w:tentative="1">
      <w:start w:val="1"/>
      <w:numFmt w:val="bullet"/>
      <w:lvlText w:val="o"/>
      <w:lvlJc w:val="left"/>
      <w:pPr>
        <w:ind w:left="3243" w:hanging="360"/>
      </w:pPr>
      <w:rPr>
        <w:rFonts w:ascii="Courier New" w:hAnsi="Courier New" w:cs="Courier New" w:hint="default"/>
      </w:rPr>
    </w:lvl>
    <w:lvl w:ilvl="5" w:tplc="FFFFFFFF" w:tentative="1">
      <w:start w:val="1"/>
      <w:numFmt w:val="bullet"/>
      <w:lvlText w:val=""/>
      <w:lvlJc w:val="left"/>
      <w:pPr>
        <w:ind w:left="3963" w:hanging="360"/>
      </w:pPr>
      <w:rPr>
        <w:rFonts w:ascii="Wingdings" w:hAnsi="Wingdings" w:hint="default"/>
      </w:rPr>
    </w:lvl>
    <w:lvl w:ilvl="6" w:tplc="FFFFFFFF" w:tentative="1">
      <w:start w:val="1"/>
      <w:numFmt w:val="bullet"/>
      <w:lvlText w:val=""/>
      <w:lvlJc w:val="left"/>
      <w:pPr>
        <w:ind w:left="4683" w:hanging="360"/>
      </w:pPr>
      <w:rPr>
        <w:rFonts w:ascii="Symbol" w:hAnsi="Symbol" w:hint="default"/>
      </w:rPr>
    </w:lvl>
    <w:lvl w:ilvl="7" w:tplc="FFFFFFFF" w:tentative="1">
      <w:start w:val="1"/>
      <w:numFmt w:val="bullet"/>
      <w:lvlText w:val="o"/>
      <w:lvlJc w:val="left"/>
      <w:pPr>
        <w:ind w:left="5403" w:hanging="360"/>
      </w:pPr>
      <w:rPr>
        <w:rFonts w:ascii="Courier New" w:hAnsi="Courier New" w:cs="Courier New" w:hint="default"/>
      </w:rPr>
    </w:lvl>
    <w:lvl w:ilvl="8" w:tplc="FFFFFFFF" w:tentative="1">
      <w:start w:val="1"/>
      <w:numFmt w:val="bullet"/>
      <w:lvlText w:val=""/>
      <w:lvlJc w:val="left"/>
      <w:pPr>
        <w:ind w:left="6123" w:hanging="360"/>
      </w:pPr>
      <w:rPr>
        <w:rFonts w:ascii="Wingdings" w:hAnsi="Wingdings" w:hint="default"/>
      </w:rPr>
    </w:lvl>
  </w:abstractNum>
  <w:abstractNum w:abstractNumId="271" w15:restartNumberingAfterBreak="0">
    <w:nsid w:val="74970CC7"/>
    <w:multiLevelType w:val="hybridMultilevel"/>
    <w:tmpl w:val="A594C6A8"/>
    <w:lvl w:ilvl="0" w:tplc="0409000F">
      <w:start w:val="1"/>
      <w:numFmt w:val="decimal"/>
      <w:lvlText w:val="%1."/>
      <w:lvlJc w:val="left"/>
      <w:pPr>
        <w:tabs>
          <w:tab w:val="num" w:pos="360"/>
        </w:tabs>
        <w:ind w:left="360" w:hanging="360"/>
      </w:pPr>
      <w:rPr>
        <w:rFonts w:hint="default"/>
        <w:strike w:val="0"/>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72" w15:restartNumberingAfterBreak="0">
    <w:nsid w:val="76707281"/>
    <w:multiLevelType w:val="hybridMultilevel"/>
    <w:tmpl w:val="FECA1F3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3" w15:restartNumberingAfterBreak="0">
    <w:nsid w:val="767C3A12"/>
    <w:multiLevelType w:val="hybridMultilevel"/>
    <w:tmpl w:val="CD9A3A80"/>
    <w:lvl w:ilvl="0" w:tplc="FFFFFFFF">
      <w:start w:val="1"/>
      <w:numFmt w:val="lowerLetter"/>
      <w:lvlText w:val="%1)"/>
      <w:lvlJc w:val="left"/>
      <w:pPr>
        <w:ind w:left="720" w:hanging="360"/>
      </w:pPr>
      <w:rPr>
        <w:rFonts w:hint="default"/>
        <w:b w:val="0"/>
        <w:bCs w:val="0"/>
        <w:color w:val="auto"/>
      </w:rPr>
    </w:lvl>
    <w:lvl w:ilvl="1" w:tplc="A58A0BFA">
      <w:start w:val="1"/>
      <w:numFmt w:val="lowerRoman"/>
      <w:lvlText w:val="%2."/>
      <w:lvlJc w:val="right"/>
      <w:pPr>
        <w:ind w:left="3827" w:hanging="360"/>
      </w:pPr>
      <w:rPr>
        <w:b w:val="0"/>
        <w:bCs/>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4" w15:restartNumberingAfterBreak="0">
    <w:nsid w:val="76D64AD3"/>
    <w:multiLevelType w:val="hybridMultilevel"/>
    <w:tmpl w:val="AC62BBDE"/>
    <w:lvl w:ilvl="0" w:tplc="FFFFFFFF">
      <w:start w:val="1"/>
      <w:numFmt w:val="decimal"/>
      <w:lvlText w:val="%1."/>
      <w:lvlJc w:val="left"/>
      <w:pPr>
        <w:ind w:left="720" w:hanging="360"/>
      </w:pPr>
      <w:rPr>
        <w:rFonts w:hint="default"/>
        <w:b w:val="0"/>
        <w:bCs w:val="0"/>
        <w:color w:val="auto"/>
      </w:rPr>
    </w:lvl>
    <w:lvl w:ilvl="1" w:tplc="C8667F20">
      <w:start w:val="1"/>
      <w:numFmt w:val="lowerLetter"/>
      <w:lvlText w:val="%2."/>
      <w:lvlJc w:val="left"/>
      <w:pPr>
        <w:ind w:left="1440" w:hanging="360"/>
      </w:pPr>
      <w:rPr>
        <w:rFonts w:ascii="Arial" w:eastAsiaTheme="minorHAnsi" w:hAnsi="Arial" w:cs="Arial"/>
      </w:rPr>
    </w:lvl>
    <w:lvl w:ilvl="2" w:tplc="FFFFFFFF">
      <w:start w:val="1"/>
      <w:numFmt w:val="bullet"/>
      <w:lvlText w:val=""/>
      <w:lvlJc w:val="left"/>
      <w:pPr>
        <w:ind w:left="1803" w:hanging="360"/>
      </w:pPr>
      <w:rPr>
        <w:rFonts w:ascii="Wingdings" w:hAnsi="Wingdings" w:hint="default"/>
      </w:rPr>
    </w:lvl>
    <w:lvl w:ilvl="3" w:tplc="FFFFFFFF" w:tentative="1">
      <w:start w:val="1"/>
      <w:numFmt w:val="bullet"/>
      <w:lvlText w:val=""/>
      <w:lvlJc w:val="left"/>
      <w:pPr>
        <w:ind w:left="2523" w:hanging="360"/>
      </w:pPr>
      <w:rPr>
        <w:rFonts w:ascii="Symbol" w:hAnsi="Symbol" w:hint="default"/>
      </w:rPr>
    </w:lvl>
    <w:lvl w:ilvl="4" w:tplc="FFFFFFFF" w:tentative="1">
      <w:start w:val="1"/>
      <w:numFmt w:val="bullet"/>
      <w:lvlText w:val="o"/>
      <w:lvlJc w:val="left"/>
      <w:pPr>
        <w:ind w:left="3243" w:hanging="360"/>
      </w:pPr>
      <w:rPr>
        <w:rFonts w:ascii="Courier New" w:hAnsi="Courier New" w:cs="Courier New" w:hint="default"/>
      </w:rPr>
    </w:lvl>
    <w:lvl w:ilvl="5" w:tplc="FFFFFFFF" w:tentative="1">
      <w:start w:val="1"/>
      <w:numFmt w:val="bullet"/>
      <w:lvlText w:val=""/>
      <w:lvlJc w:val="left"/>
      <w:pPr>
        <w:ind w:left="3963" w:hanging="360"/>
      </w:pPr>
      <w:rPr>
        <w:rFonts w:ascii="Wingdings" w:hAnsi="Wingdings" w:hint="default"/>
      </w:rPr>
    </w:lvl>
    <w:lvl w:ilvl="6" w:tplc="FFFFFFFF" w:tentative="1">
      <w:start w:val="1"/>
      <w:numFmt w:val="bullet"/>
      <w:lvlText w:val=""/>
      <w:lvlJc w:val="left"/>
      <w:pPr>
        <w:ind w:left="4683" w:hanging="360"/>
      </w:pPr>
      <w:rPr>
        <w:rFonts w:ascii="Symbol" w:hAnsi="Symbol" w:hint="default"/>
      </w:rPr>
    </w:lvl>
    <w:lvl w:ilvl="7" w:tplc="FFFFFFFF" w:tentative="1">
      <w:start w:val="1"/>
      <w:numFmt w:val="bullet"/>
      <w:lvlText w:val="o"/>
      <w:lvlJc w:val="left"/>
      <w:pPr>
        <w:ind w:left="5403" w:hanging="360"/>
      </w:pPr>
      <w:rPr>
        <w:rFonts w:ascii="Courier New" w:hAnsi="Courier New" w:cs="Courier New" w:hint="default"/>
      </w:rPr>
    </w:lvl>
    <w:lvl w:ilvl="8" w:tplc="FFFFFFFF" w:tentative="1">
      <w:start w:val="1"/>
      <w:numFmt w:val="bullet"/>
      <w:lvlText w:val=""/>
      <w:lvlJc w:val="left"/>
      <w:pPr>
        <w:ind w:left="6123" w:hanging="360"/>
      </w:pPr>
      <w:rPr>
        <w:rFonts w:ascii="Wingdings" w:hAnsi="Wingdings" w:hint="default"/>
      </w:rPr>
    </w:lvl>
  </w:abstractNum>
  <w:abstractNum w:abstractNumId="275" w15:restartNumberingAfterBreak="0">
    <w:nsid w:val="774444F4"/>
    <w:multiLevelType w:val="hybridMultilevel"/>
    <w:tmpl w:val="220A3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15:restartNumberingAfterBreak="0">
    <w:nsid w:val="774557CD"/>
    <w:multiLevelType w:val="hybridMultilevel"/>
    <w:tmpl w:val="7A1616F4"/>
    <w:lvl w:ilvl="0" w:tplc="FFFFFFFF">
      <w:start w:val="1"/>
      <w:numFmt w:val="decimal"/>
      <w:lvlText w:val="%1."/>
      <w:lvlJc w:val="left"/>
      <w:pPr>
        <w:ind w:left="720" w:hanging="360"/>
      </w:pPr>
    </w:lvl>
    <w:lvl w:ilvl="1" w:tplc="04090017">
      <w:start w:val="1"/>
      <w:numFmt w:val="lowerLetter"/>
      <w:lvlText w:val="%2)"/>
      <w:lvlJc w:val="left"/>
      <w:pPr>
        <w:ind w:left="720" w:hanging="360"/>
      </w:pPr>
      <w:rPr>
        <w:rFonts w:hint="default"/>
        <w:b w:val="0"/>
        <w:bCs w:val="0"/>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7" w15:restartNumberingAfterBreak="0">
    <w:nsid w:val="77473BEB"/>
    <w:multiLevelType w:val="hybridMultilevel"/>
    <w:tmpl w:val="DFFC6576"/>
    <w:lvl w:ilvl="0" w:tplc="FFFFFFFF">
      <w:start w:val="1"/>
      <w:numFmt w:val="decimal"/>
      <w:lvlText w:val="%1."/>
      <w:lvlJc w:val="left"/>
      <w:pPr>
        <w:ind w:left="720"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8" w15:restartNumberingAfterBreak="0">
    <w:nsid w:val="776E1227"/>
    <w:multiLevelType w:val="hybridMultilevel"/>
    <w:tmpl w:val="BFEC6FC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9" w15:restartNumberingAfterBreak="0">
    <w:nsid w:val="77B0750F"/>
    <w:multiLevelType w:val="hybridMultilevel"/>
    <w:tmpl w:val="2E04BB76"/>
    <w:lvl w:ilvl="0" w:tplc="04090019">
      <w:start w:val="1"/>
      <w:numFmt w:val="lowerLetter"/>
      <w:lvlText w:val="%1."/>
      <w:lvlJc w:val="left"/>
      <w:pPr>
        <w:ind w:left="1600" w:hanging="360"/>
      </w:pPr>
    </w:lvl>
    <w:lvl w:ilvl="1" w:tplc="04090019">
      <w:start w:val="1"/>
      <w:numFmt w:val="lowerLetter"/>
      <w:lvlText w:val="%2."/>
      <w:lvlJc w:val="left"/>
      <w:pPr>
        <w:ind w:left="2320" w:hanging="360"/>
      </w:pPr>
    </w:lvl>
    <w:lvl w:ilvl="2" w:tplc="0409001B">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280" w15:restartNumberingAfterBreak="0">
    <w:nsid w:val="78117253"/>
    <w:multiLevelType w:val="hybridMultilevel"/>
    <w:tmpl w:val="E33E3CCE"/>
    <w:lvl w:ilvl="0" w:tplc="0409000F">
      <w:start w:val="1"/>
      <w:numFmt w:val="decimal"/>
      <w:lvlText w:val="%1."/>
      <w:lvlJc w:val="left"/>
      <w:pPr>
        <w:ind w:left="474" w:hanging="360"/>
      </w:pPr>
      <w:rPr>
        <w:rFonts w:hint="default"/>
      </w:rPr>
    </w:lvl>
    <w:lvl w:ilvl="1" w:tplc="FFFFFFFF">
      <w:start w:val="1"/>
      <w:numFmt w:val="bullet"/>
      <w:lvlText w:val="o"/>
      <w:lvlJc w:val="left"/>
      <w:pPr>
        <w:ind w:left="1194" w:hanging="360"/>
      </w:pPr>
      <w:rPr>
        <w:rFonts w:ascii="Courier New" w:hAnsi="Courier New" w:cs="Courier New" w:hint="default"/>
      </w:rPr>
    </w:lvl>
    <w:lvl w:ilvl="2" w:tplc="FFFFFFFF">
      <w:start w:val="1"/>
      <w:numFmt w:val="bullet"/>
      <w:lvlText w:val=""/>
      <w:lvlJc w:val="left"/>
      <w:pPr>
        <w:ind w:left="1914" w:hanging="360"/>
      </w:pPr>
      <w:rPr>
        <w:rFonts w:ascii="Wingdings" w:hAnsi="Wingdings" w:hint="default"/>
      </w:rPr>
    </w:lvl>
    <w:lvl w:ilvl="3" w:tplc="FFFFFFFF" w:tentative="1">
      <w:start w:val="1"/>
      <w:numFmt w:val="bullet"/>
      <w:lvlText w:val=""/>
      <w:lvlJc w:val="left"/>
      <w:pPr>
        <w:ind w:left="2634" w:hanging="360"/>
      </w:pPr>
      <w:rPr>
        <w:rFonts w:ascii="Symbol" w:hAnsi="Symbol" w:hint="default"/>
      </w:rPr>
    </w:lvl>
    <w:lvl w:ilvl="4" w:tplc="FFFFFFFF" w:tentative="1">
      <w:start w:val="1"/>
      <w:numFmt w:val="bullet"/>
      <w:lvlText w:val="o"/>
      <w:lvlJc w:val="left"/>
      <w:pPr>
        <w:ind w:left="3354" w:hanging="360"/>
      </w:pPr>
      <w:rPr>
        <w:rFonts w:ascii="Courier New" w:hAnsi="Courier New" w:cs="Courier New" w:hint="default"/>
      </w:rPr>
    </w:lvl>
    <w:lvl w:ilvl="5" w:tplc="FFFFFFFF" w:tentative="1">
      <w:start w:val="1"/>
      <w:numFmt w:val="bullet"/>
      <w:lvlText w:val=""/>
      <w:lvlJc w:val="left"/>
      <w:pPr>
        <w:ind w:left="4074" w:hanging="360"/>
      </w:pPr>
      <w:rPr>
        <w:rFonts w:ascii="Wingdings" w:hAnsi="Wingdings" w:hint="default"/>
      </w:rPr>
    </w:lvl>
    <w:lvl w:ilvl="6" w:tplc="FFFFFFFF" w:tentative="1">
      <w:start w:val="1"/>
      <w:numFmt w:val="bullet"/>
      <w:lvlText w:val=""/>
      <w:lvlJc w:val="left"/>
      <w:pPr>
        <w:ind w:left="4794" w:hanging="360"/>
      </w:pPr>
      <w:rPr>
        <w:rFonts w:ascii="Symbol" w:hAnsi="Symbol" w:hint="default"/>
      </w:rPr>
    </w:lvl>
    <w:lvl w:ilvl="7" w:tplc="FFFFFFFF" w:tentative="1">
      <w:start w:val="1"/>
      <w:numFmt w:val="bullet"/>
      <w:lvlText w:val="o"/>
      <w:lvlJc w:val="left"/>
      <w:pPr>
        <w:ind w:left="5514" w:hanging="360"/>
      </w:pPr>
      <w:rPr>
        <w:rFonts w:ascii="Courier New" w:hAnsi="Courier New" w:cs="Courier New" w:hint="default"/>
      </w:rPr>
    </w:lvl>
    <w:lvl w:ilvl="8" w:tplc="FFFFFFFF" w:tentative="1">
      <w:start w:val="1"/>
      <w:numFmt w:val="bullet"/>
      <w:lvlText w:val=""/>
      <w:lvlJc w:val="left"/>
      <w:pPr>
        <w:ind w:left="6234" w:hanging="360"/>
      </w:pPr>
      <w:rPr>
        <w:rFonts w:ascii="Wingdings" w:hAnsi="Wingdings" w:hint="default"/>
      </w:rPr>
    </w:lvl>
  </w:abstractNum>
  <w:abstractNum w:abstractNumId="281" w15:restartNumberingAfterBreak="0">
    <w:nsid w:val="78A40023"/>
    <w:multiLevelType w:val="hybridMultilevel"/>
    <w:tmpl w:val="11789E40"/>
    <w:lvl w:ilvl="0" w:tplc="FFFFFFFF">
      <w:start w:val="1"/>
      <w:numFmt w:val="upperLetter"/>
      <w:lvlText w:val="%1."/>
      <w:lvlJc w:val="left"/>
      <w:pPr>
        <w:ind w:left="520" w:hanging="360"/>
      </w:pPr>
      <w:rPr>
        <w:rFonts w:ascii="Calibri" w:eastAsia="Calibri" w:hAnsi="Calibri" w:cs="Calibri" w:hint="default"/>
        <w:b/>
        <w:bCs/>
        <w:w w:val="100"/>
        <w:sz w:val="22"/>
        <w:szCs w:val="22"/>
        <w:lang w:val="en-US" w:eastAsia="en-US" w:bidi="en-US"/>
      </w:rPr>
    </w:lvl>
    <w:lvl w:ilvl="1" w:tplc="FFFFFFFF">
      <w:start w:val="1"/>
      <w:numFmt w:val="decimal"/>
      <w:lvlText w:val="%2."/>
      <w:lvlJc w:val="left"/>
      <w:pPr>
        <w:ind w:left="880" w:hanging="360"/>
      </w:pPr>
      <w:rPr>
        <w:rFonts w:ascii="Arial" w:eastAsia="Calibri" w:hAnsi="Arial" w:cs="Arial" w:hint="default"/>
        <w:w w:val="100"/>
        <w:sz w:val="22"/>
        <w:szCs w:val="22"/>
        <w:lang w:val="en-US" w:eastAsia="en-US" w:bidi="en-US"/>
      </w:rPr>
    </w:lvl>
    <w:lvl w:ilvl="2" w:tplc="FFFFFFFF">
      <w:start w:val="1"/>
      <w:numFmt w:val="lowerLetter"/>
      <w:lvlText w:val="%3."/>
      <w:lvlJc w:val="left"/>
      <w:pPr>
        <w:ind w:left="1240" w:hanging="360"/>
      </w:pPr>
      <w:rPr>
        <w:rFonts w:ascii="Arial" w:eastAsia="Calibri" w:hAnsi="Arial" w:cs="Arial" w:hint="default"/>
        <w:spacing w:val="-1"/>
        <w:w w:val="100"/>
        <w:sz w:val="22"/>
        <w:szCs w:val="22"/>
        <w:lang w:val="en-US" w:eastAsia="en-US" w:bidi="en-US"/>
      </w:rPr>
    </w:lvl>
    <w:lvl w:ilvl="3" w:tplc="0409001B">
      <w:start w:val="1"/>
      <w:numFmt w:val="lowerRoman"/>
      <w:lvlText w:val="%4."/>
      <w:lvlJc w:val="right"/>
      <w:pPr>
        <w:ind w:left="1194" w:hanging="360"/>
      </w:pPr>
    </w:lvl>
    <w:lvl w:ilvl="4" w:tplc="FFFFFFFF">
      <w:start w:val="1"/>
      <w:numFmt w:val="lowerRoman"/>
      <w:lvlText w:val="%5."/>
      <w:lvlJc w:val="left"/>
      <w:pPr>
        <w:ind w:left="2457" w:hanging="360"/>
      </w:pPr>
      <w:rPr>
        <w:rFonts w:ascii="Calibri" w:eastAsia="Calibri" w:hAnsi="Calibri" w:cs="Calibri" w:hint="default"/>
        <w:spacing w:val="-1"/>
        <w:w w:val="100"/>
        <w:sz w:val="22"/>
        <w:szCs w:val="22"/>
        <w:lang w:val="en-US" w:eastAsia="en-US" w:bidi="en-US"/>
      </w:rPr>
    </w:lvl>
    <w:lvl w:ilvl="5" w:tplc="FFFFFFFF">
      <w:numFmt w:val="bullet"/>
      <w:lvlText w:val="•"/>
      <w:lvlJc w:val="left"/>
      <w:pPr>
        <w:ind w:left="3674" w:hanging="360"/>
      </w:pPr>
      <w:rPr>
        <w:rFonts w:hint="default"/>
        <w:lang w:val="en-US" w:eastAsia="en-US" w:bidi="en-US"/>
      </w:rPr>
    </w:lvl>
    <w:lvl w:ilvl="6" w:tplc="FFFFFFFF">
      <w:numFmt w:val="bullet"/>
      <w:lvlText w:val="•"/>
      <w:lvlJc w:val="left"/>
      <w:pPr>
        <w:ind w:left="4891" w:hanging="360"/>
      </w:pPr>
      <w:rPr>
        <w:rFonts w:hint="default"/>
        <w:lang w:val="en-US" w:eastAsia="en-US" w:bidi="en-US"/>
      </w:rPr>
    </w:lvl>
    <w:lvl w:ilvl="7" w:tplc="FFFFFFFF">
      <w:numFmt w:val="bullet"/>
      <w:lvlText w:val="•"/>
      <w:lvlJc w:val="left"/>
      <w:pPr>
        <w:ind w:left="6108" w:hanging="360"/>
      </w:pPr>
      <w:rPr>
        <w:rFonts w:hint="default"/>
        <w:lang w:val="en-US" w:eastAsia="en-US" w:bidi="en-US"/>
      </w:rPr>
    </w:lvl>
    <w:lvl w:ilvl="8" w:tplc="FFFFFFFF">
      <w:numFmt w:val="bullet"/>
      <w:lvlText w:val="•"/>
      <w:lvlJc w:val="left"/>
      <w:pPr>
        <w:ind w:left="7325" w:hanging="360"/>
      </w:pPr>
      <w:rPr>
        <w:rFonts w:hint="default"/>
        <w:lang w:val="en-US" w:eastAsia="en-US" w:bidi="en-US"/>
      </w:rPr>
    </w:lvl>
  </w:abstractNum>
  <w:abstractNum w:abstractNumId="282" w15:restartNumberingAfterBreak="0">
    <w:nsid w:val="78FD47EE"/>
    <w:multiLevelType w:val="hybridMultilevel"/>
    <w:tmpl w:val="7AAA2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3" w15:restartNumberingAfterBreak="0">
    <w:nsid w:val="7993529F"/>
    <w:multiLevelType w:val="hybridMultilevel"/>
    <w:tmpl w:val="777A269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4" w15:restartNumberingAfterBreak="0">
    <w:nsid w:val="79976D0E"/>
    <w:multiLevelType w:val="hybridMultilevel"/>
    <w:tmpl w:val="EFE48BF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5" w15:restartNumberingAfterBreak="0">
    <w:nsid w:val="7A031263"/>
    <w:multiLevelType w:val="hybridMultilevel"/>
    <w:tmpl w:val="0E005D1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86" w15:restartNumberingAfterBreak="0">
    <w:nsid w:val="7ACA6DD5"/>
    <w:multiLevelType w:val="hybridMultilevel"/>
    <w:tmpl w:val="B7C47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7" w15:restartNumberingAfterBreak="0">
    <w:nsid w:val="7C0234E4"/>
    <w:multiLevelType w:val="hybridMultilevel"/>
    <w:tmpl w:val="532A07AE"/>
    <w:lvl w:ilvl="0" w:tplc="04090001">
      <w:start w:val="1"/>
      <w:numFmt w:val="bullet"/>
      <w:lvlText w:val=""/>
      <w:lvlJc w:val="left"/>
      <w:pPr>
        <w:tabs>
          <w:tab w:val="num" w:pos="360"/>
        </w:tabs>
        <w:ind w:left="360" w:hanging="360"/>
      </w:pPr>
      <w:rPr>
        <w:rFonts w:ascii="Symbol" w:hAnsi="Symbol" w:hint="default"/>
        <w:strike w:val="0"/>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88" w15:restartNumberingAfterBreak="0">
    <w:nsid w:val="7C093545"/>
    <w:multiLevelType w:val="hybridMultilevel"/>
    <w:tmpl w:val="E1BA4E2A"/>
    <w:lvl w:ilvl="0" w:tplc="8FB0D92E">
      <w:start w:val="1"/>
      <w:numFmt w:val="decimal"/>
      <w:lvlText w:val="%1."/>
      <w:lvlJc w:val="left"/>
      <w:pPr>
        <w:ind w:left="720" w:hanging="360"/>
      </w:pPr>
      <w:rPr>
        <w:rFonts w:cs="Times New Roman" w:hint="default"/>
        <w:snapToGrid/>
        <w:w w:val="105"/>
        <w:sz w:val="22"/>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9" w15:restartNumberingAfterBreak="0">
    <w:nsid w:val="7D562424"/>
    <w:multiLevelType w:val="hybridMultilevel"/>
    <w:tmpl w:val="553C50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7DB43F3E"/>
    <w:multiLevelType w:val="hybridMultilevel"/>
    <w:tmpl w:val="45760E14"/>
    <w:lvl w:ilvl="0" w:tplc="04090001">
      <w:start w:val="1"/>
      <w:numFmt w:val="bullet"/>
      <w:lvlText w:val=""/>
      <w:lvlJc w:val="left"/>
      <w:pPr>
        <w:ind w:left="720" w:hanging="360"/>
      </w:pPr>
      <w:rPr>
        <w:rFonts w:ascii="Symbol" w:hAnsi="Symbol" w:hint="default"/>
        <w:color w:val="auto"/>
        <w:sz w:val="20"/>
        <w:szCs w:val="20"/>
      </w:rPr>
    </w:lvl>
    <w:lvl w:ilvl="1" w:tplc="FFFFFFFF">
      <w:start w:val="1"/>
      <w:numFmt w:val="bullet"/>
      <w:lvlText w:val="o"/>
      <w:lvlJc w:val="left"/>
      <w:pPr>
        <w:ind w:left="1440" w:hanging="360"/>
      </w:pPr>
      <w:rPr>
        <w:rFonts w:ascii="Times New Roman" w:hAnsi="Times New Roman" w:cs="Times New Roman" w:hint="default"/>
        <w:sz w:val="20"/>
        <w:szCs w:val="2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1" w15:restartNumberingAfterBreak="0">
    <w:nsid w:val="7E636AE2"/>
    <w:multiLevelType w:val="hybridMultilevel"/>
    <w:tmpl w:val="9CEA680E"/>
    <w:lvl w:ilvl="0" w:tplc="C45EE4F0">
      <w:start w:val="1"/>
      <w:numFmt w:val="decimal"/>
      <w:lvlText w:val="%1."/>
      <w:lvlJc w:val="left"/>
      <w:pPr>
        <w:ind w:left="720" w:hanging="360"/>
      </w:pPr>
      <w:rPr>
        <w:rFonts w:cs="Arial" w:hint="default"/>
        <w:strike w:val="0"/>
        <w:color w:val="auto"/>
      </w:rPr>
    </w:lvl>
    <w:lvl w:ilvl="1" w:tplc="4664BD5A">
      <w:start w:val="1"/>
      <w:numFmt w:val="lowerLetter"/>
      <w:lvlText w:val="%2."/>
      <w:lvlJc w:val="left"/>
      <w:pPr>
        <w:ind w:left="1440" w:hanging="360"/>
      </w:pPr>
      <w:rPr>
        <w:strik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7E816CA8"/>
    <w:multiLevelType w:val="hybridMultilevel"/>
    <w:tmpl w:val="FE022826"/>
    <w:lvl w:ilvl="0" w:tplc="04090001">
      <w:start w:val="1"/>
      <w:numFmt w:val="bullet"/>
      <w:lvlText w:val=""/>
      <w:lvlJc w:val="left"/>
      <w:pPr>
        <w:ind w:left="720" w:hanging="360"/>
      </w:pPr>
      <w:rPr>
        <w:rFonts w:ascii="Symbol" w:hAnsi="Symbol" w:hint="default"/>
        <w:color w:val="auto"/>
        <w:sz w:val="20"/>
        <w:szCs w:val="20"/>
      </w:rPr>
    </w:lvl>
    <w:lvl w:ilvl="1" w:tplc="FFFFFFFF">
      <w:start w:val="1"/>
      <w:numFmt w:val="bullet"/>
      <w:lvlText w:val="o"/>
      <w:lvlJc w:val="left"/>
      <w:pPr>
        <w:ind w:left="1440" w:hanging="360"/>
      </w:pPr>
      <w:rPr>
        <w:rFonts w:ascii="Times New Roman" w:hAnsi="Times New Roman" w:cs="Times New Roman" w:hint="default"/>
        <w:sz w:val="20"/>
        <w:szCs w:val="2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3" w15:restartNumberingAfterBreak="0">
    <w:nsid w:val="7F0E0CF5"/>
    <w:multiLevelType w:val="hybridMultilevel"/>
    <w:tmpl w:val="A7223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4" w15:restartNumberingAfterBreak="0">
    <w:nsid w:val="7FA649FB"/>
    <w:multiLevelType w:val="multilevel"/>
    <w:tmpl w:val="A6CC90F2"/>
    <w:lvl w:ilvl="0">
      <w:start w:val="1"/>
      <w:numFmt w:val="decimal"/>
      <w:pStyle w:val="Heading1"/>
      <w:suff w:val="space"/>
      <w:lvlText w:val="CHAPTER %1:"/>
      <w:lvlJc w:val="left"/>
      <w:pPr>
        <w:ind w:left="72" w:hanging="72"/>
      </w:pPr>
      <w:rPr>
        <w:rFonts w:hint="default"/>
      </w:rPr>
    </w:lvl>
    <w:lvl w:ilvl="1">
      <w:start w:val="1"/>
      <w:numFmt w:val="decimal"/>
      <w:pStyle w:val="Heading2"/>
      <w:lvlText w:val="%1.%2"/>
      <w:lvlJc w:val="left"/>
      <w:pPr>
        <w:ind w:left="8442" w:hanging="72"/>
      </w:pPr>
      <w:rPr>
        <w:rFonts w:hint="default"/>
      </w:rPr>
    </w:lvl>
    <w:lvl w:ilvl="2">
      <w:start w:val="1"/>
      <w:numFmt w:val="decimal"/>
      <w:pStyle w:val="Heading3"/>
      <w:suff w:val="space"/>
      <w:lvlText w:val="%1.%2.%3"/>
      <w:lvlJc w:val="left"/>
      <w:pPr>
        <w:ind w:left="1962" w:hanging="72"/>
      </w:pPr>
      <w:rPr>
        <w:rFonts w:hint="default"/>
      </w:rPr>
    </w:lvl>
    <w:lvl w:ilvl="3">
      <w:start w:val="1"/>
      <w:numFmt w:val="decimal"/>
      <w:lvlText w:val="%1.%2.%3.%4"/>
      <w:lvlJc w:val="left"/>
      <w:pPr>
        <w:ind w:left="1368" w:hanging="72"/>
      </w:pPr>
      <w:rPr>
        <w:rFonts w:hint="default"/>
      </w:rPr>
    </w:lvl>
    <w:lvl w:ilvl="4">
      <w:start w:val="1"/>
      <w:numFmt w:val="decimal"/>
      <w:lvlText w:val="%1.%2.%3.%4.%5"/>
      <w:lvlJc w:val="left"/>
      <w:pPr>
        <w:ind w:left="1800" w:hanging="72"/>
      </w:pPr>
      <w:rPr>
        <w:rFonts w:hint="default"/>
      </w:rPr>
    </w:lvl>
    <w:lvl w:ilvl="5">
      <w:start w:val="1"/>
      <w:numFmt w:val="decimal"/>
      <w:pStyle w:val="Heading6"/>
      <w:lvlText w:val="%1.%2.%3.%4.%5.%6"/>
      <w:lvlJc w:val="left"/>
      <w:pPr>
        <w:ind w:left="2232" w:hanging="72"/>
      </w:pPr>
      <w:rPr>
        <w:rFonts w:hint="default"/>
      </w:rPr>
    </w:lvl>
    <w:lvl w:ilvl="6">
      <w:start w:val="1"/>
      <w:numFmt w:val="decimal"/>
      <w:pStyle w:val="Heading7"/>
      <w:lvlText w:val="%1.%2.%3.%4.%5.%6.%7"/>
      <w:lvlJc w:val="left"/>
      <w:pPr>
        <w:ind w:left="2664" w:hanging="72"/>
      </w:pPr>
      <w:rPr>
        <w:rFonts w:hint="default"/>
      </w:rPr>
    </w:lvl>
    <w:lvl w:ilvl="7">
      <w:start w:val="1"/>
      <w:numFmt w:val="decimal"/>
      <w:pStyle w:val="Heading8"/>
      <w:lvlText w:val="%1.%2.%3.%4.%5.%6.%7.%8"/>
      <w:lvlJc w:val="left"/>
      <w:pPr>
        <w:ind w:left="3096" w:hanging="72"/>
      </w:pPr>
      <w:rPr>
        <w:rFonts w:hint="default"/>
      </w:rPr>
    </w:lvl>
    <w:lvl w:ilvl="8">
      <w:start w:val="1"/>
      <w:numFmt w:val="decimal"/>
      <w:pStyle w:val="Heading9"/>
      <w:lvlText w:val="%1.%2.%3.%4.%5.%6.%7.%8.%9"/>
      <w:lvlJc w:val="left"/>
      <w:pPr>
        <w:ind w:left="3528" w:hanging="72"/>
      </w:pPr>
      <w:rPr>
        <w:rFonts w:hint="default"/>
      </w:rPr>
    </w:lvl>
  </w:abstractNum>
  <w:abstractNum w:abstractNumId="295" w15:restartNumberingAfterBreak="0">
    <w:nsid w:val="7FAE1D3B"/>
    <w:multiLevelType w:val="hybridMultilevel"/>
    <w:tmpl w:val="448E6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6" w15:restartNumberingAfterBreak="0">
    <w:nsid w:val="7FC04BBE"/>
    <w:multiLevelType w:val="hybridMultilevel"/>
    <w:tmpl w:val="321A89B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7" w15:restartNumberingAfterBreak="0">
    <w:nsid w:val="7FC56CD3"/>
    <w:multiLevelType w:val="hybridMultilevel"/>
    <w:tmpl w:val="52EA6BA6"/>
    <w:lvl w:ilvl="0" w:tplc="FFFFFFF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8" w15:restartNumberingAfterBreak="0">
    <w:nsid w:val="7FF655AA"/>
    <w:multiLevelType w:val="hybridMultilevel"/>
    <w:tmpl w:val="27425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5"/>
  </w:num>
  <w:num w:numId="2">
    <w:abstractNumId w:val="294"/>
  </w:num>
  <w:num w:numId="3">
    <w:abstractNumId w:val="36"/>
  </w:num>
  <w:num w:numId="4">
    <w:abstractNumId w:val="190"/>
  </w:num>
  <w:num w:numId="5">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0"/>
  </w:num>
  <w:num w:numId="17">
    <w:abstractNumId w:val="254"/>
    <w:lvlOverride w:ilvl="0">
      <w:startOverride w:val="1"/>
    </w:lvlOverride>
    <w:lvlOverride w:ilvl="1"/>
    <w:lvlOverride w:ilvl="2"/>
    <w:lvlOverride w:ilvl="3"/>
    <w:lvlOverride w:ilvl="4"/>
    <w:lvlOverride w:ilvl="5"/>
    <w:lvlOverride w:ilvl="6"/>
    <w:lvlOverride w:ilvl="7"/>
    <w:lvlOverride w:ilvl="8"/>
  </w:num>
  <w:num w:numId="18">
    <w:abstractNumId w:val="23"/>
    <w:lvlOverride w:ilvl="0">
      <w:startOverride w:val="1"/>
    </w:lvlOverride>
    <w:lvlOverride w:ilvl="1">
      <w:startOverride w:val="1"/>
    </w:lvlOverride>
    <w:lvlOverride w:ilvl="2"/>
    <w:lvlOverride w:ilvl="3"/>
    <w:lvlOverride w:ilvl="4"/>
    <w:lvlOverride w:ilvl="5"/>
    <w:lvlOverride w:ilvl="6"/>
    <w:lvlOverride w:ilvl="7"/>
    <w:lvlOverride w:ilvl="8"/>
  </w:num>
  <w:num w:numId="19">
    <w:abstractNumId w:val="272"/>
  </w:num>
  <w:num w:numId="20">
    <w:abstractNumId w:val="127"/>
  </w:num>
  <w:num w:numId="21">
    <w:abstractNumId w:val="225"/>
  </w:num>
  <w:num w:numId="22">
    <w:abstractNumId w:val="28"/>
  </w:num>
  <w:num w:numId="23">
    <w:abstractNumId w:val="248"/>
  </w:num>
  <w:num w:numId="24">
    <w:abstractNumId w:val="291"/>
  </w:num>
  <w:num w:numId="25">
    <w:abstractNumId w:val="178"/>
  </w:num>
  <w:num w:numId="26">
    <w:abstractNumId w:val="108"/>
  </w:num>
  <w:num w:numId="27">
    <w:abstractNumId w:val="80"/>
  </w:num>
  <w:num w:numId="28">
    <w:abstractNumId w:val="262"/>
  </w:num>
  <w:num w:numId="29">
    <w:abstractNumId w:val="22"/>
  </w:num>
  <w:num w:numId="30">
    <w:abstractNumId w:val="282"/>
  </w:num>
  <w:num w:numId="31">
    <w:abstractNumId w:val="95"/>
  </w:num>
  <w:num w:numId="32">
    <w:abstractNumId w:val="42"/>
  </w:num>
  <w:num w:numId="33">
    <w:abstractNumId w:val="78"/>
  </w:num>
  <w:num w:numId="34">
    <w:abstractNumId w:val="91"/>
  </w:num>
  <w:num w:numId="35">
    <w:abstractNumId w:val="199"/>
  </w:num>
  <w:num w:numId="36">
    <w:abstractNumId w:val="34"/>
  </w:num>
  <w:num w:numId="37">
    <w:abstractNumId w:val="2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2"/>
  </w:num>
  <w:num w:numId="39">
    <w:abstractNumId w:val="105"/>
  </w:num>
  <w:num w:numId="40">
    <w:abstractNumId w:val="280"/>
  </w:num>
  <w:num w:numId="41">
    <w:abstractNumId w:val="134"/>
  </w:num>
  <w:num w:numId="42">
    <w:abstractNumId w:val="92"/>
  </w:num>
  <w:num w:numId="43">
    <w:abstractNumId w:val="126"/>
  </w:num>
  <w:num w:numId="44">
    <w:abstractNumId w:val="228"/>
  </w:num>
  <w:num w:numId="45">
    <w:abstractNumId w:val="220"/>
  </w:num>
  <w:num w:numId="46">
    <w:abstractNumId w:val="257"/>
  </w:num>
  <w:num w:numId="47">
    <w:abstractNumId w:val="279"/>
  </w:num>
  <w:num w:numId="48">
    <w:abstractNumId w:val="281"/>
  </w:num>
  <w:num w:numId="49">
    <w:abstractNumId w:val="2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9"/>
  </w:num>
  <w:num w:numId="51">
    <w:abstractNumId w:val="17"/>
  </w:num>
  <w:num w:numId="52">
    <w:abstractNumId w:val="136"/>
  </w:num>
  <w:num w:numId="53">
    <w:abstractNumId w:val="123"/>
  </w:num>
  <w:num w:numId="54">
    <w:abstractNumId w:val="237"/>
  </w:num>
  <w:num w:numId="55">
    <w:abstractNumId w:val="156"/>
  </w:num>
  <w:num w:numId="56">
    <w:abstractNumId w:val="251"/>
  </w:num>
  <w:num w:numId="57">
    <w:abstractNumId w:val="274"/>
  </w:num>
  <w:num w:numId="58">
    <w:abstractNumId w:val="164"/>
  </w:num>
  <w:num w:numId="59">
    <w:abstractNumId w:val="165"/>
  </w:num>
  <w:num w:numId="60">
    <w:abstractNumId w:val="149"/>
  </w:num>
  <w:num w:numId="61">
    <w:abstractNumId w:val="44"/>
  </w:num>
  <w:num w:numId="62">
    <w:abstractNumId w:val="194"/>
  </w:num>
  <w:num w:numId="63">
    <w:abstractNumId w:val="213"/>
  </w:num>
  <w:num w:numId="64">
    <w:abstractNumId w:val="148"/>
  </w:num>
  <w:num w:numId="65">
    <w:abstractNumId w:val="258"/>
  </w:num>
  <w:num w:numId="66">
    <w:abstractNumId w:val="63"/>
  </w:num>
  <w:num w:numId="67">
    <w:abstractNumId w:val="32"/>
  </w:num>
  <w:num w:numId="68">
    <w:abstractNumId w:val="196"/>
  </w:num>
  <w:num w:numId="69">
    <w:abstractNumId w:val="236"/>
  </w:num>
  <w:num w:numId="70">
    <w:abstractNumId w:val="16"/>
  </w:num>
  <w:num w:numId="71">
    <w:abstractNumId w:val="35"/>
  </w:num>
  <w:num w:numId="72">
    <w:abstractNumId w:val="287"/>
  </w:num>
  <w:num w:numId="73">
    <w:abstractNumId w:val="218"/>
  </w:num>
  <w:num w:numId="74">
    <w:abstractNumId w:val="119"/>
  </w:num>
  <w:num w:numId="75">
    <w:abstractNumId w:val="12"/>
  </w:num>
  <w:num w:numId="76">
    <w:abstractNumId w:val="62"/>
  </w:num>
  <w:num w:numId="77">
    <w:abstractNumId w:val="111"/>
  </w:num>
  <w:num w:numId="78">
    <w:abstractNumId w:val="204"/>
  </w:num>
  <w:num w:numId="79">
    <w:abstractNumId w:val="56"/>
  </w:num>
  <w:num w:numId="80">
    <w:abstractNumId w:val="216"/>
  </w:num>
  <w:num w:numId="81">
    <w:abstractNumId w:val="137"/>
  </w:num>
  <w:num w:numId="82">
    <w:abstractNumId w:val="207"/>
  </w:num>
  <w:num w:numId="83">
    <w:abstractNumId w:val="229"/>
  </w:num>
  <w:num w:numId="84">
    <w:abstractNumId w:val="38"/>
  </w:num>
  <w:num w:numId="85">
    <w:abstractNumId w:val="174"/>
  </w:num>
  <w:num w:numId="86">
    <w:abstractNumId w:val="162"/>
  </w:num>
  <w:num w:numId="87">
    <w:abstractNumId w:val="295"/>
  </w:num>
  <w:num w:numId="88">
    <w:abstractNumId w:val="151"/>
  </w:num>
  <w:num w:numId="89">
    <w:abstractNumId w:val="171"/>
  </w:num>
  <w:num w:numId="90">
    <w:abstractNumId w:val="177"/>
  </w:num>
  <w:num w:numId="91">
    <w:abstractNumId w:val="0"/>
  </w:num>
  <w:num w:numId="92">
    <w:abstractNumId w:val="142"/>
  </w:num>
  <w:num w:numId="93">
    <w:abstractNumId w:val="193"/>
  </w:num>
  <w:num w:numId="94">
    <w:abstractNumId w:val="37"/>
  </w:num>
  <w:num w:numId="95">
    <w:abstractNumId w:val="227"/>
  </w:num>
  <w:num w:numId="96">
    <w:abstractNumId w:val="180"/>
  </w:num>
  <w:num w:numId="97">
    <w:abstractNumId w:val="104"/>
  </w:num>
  <w:num w:numId="98">
    <w:abstractNumId w:val="25"/>
  </w:num>
  <w:num w:numId="99">
    <w:abstractNumId w:val="39"/>
  </w:num>
  <w:num w:numId="100">
    <w:abstractNumId w:val="53"/>
  </w:num>
  <w:num w:numId="101">
    <w:abstractNumId w:val="24"/>
  </w:num>
  <w:num w:numId="102">
    <w:abstractNumId w:val="266"/>
  </w:num>
  <w:num w:numId="103">
    <w:abstractNumId w:val="79"/>
  </w:num>
  <w:num w:numId="104">
    <w:abstractNumId w:val="114"/>
  </w:num>
  <w:num w:numId="105">
    <w:abstractNumId w:val="133"/>
  </w:num>
  <w:num w:numId="106">
    <w:abstractNumId w:val="264"/>
  </w:num>
  <w:num w:numId="107">
    <w:abstractNumId w:val="231"/>
  </w:num>
  <w:num w:numId="108">
    <w:abstractNumId w:val="150"/>
  </w:num>
  <w:num w:numId="109">
    <w:abstractNumId w:val="166"/>
  </w:num>
  <w:num w:numId="110">
    <w:abstractNumId w:val="132"/>
  </w:num>
  <w:num w:numId="111">
    <w:abstractNumId w:val="9"/>
  </w:num>
  <w:num w:numId="112">
    <w:abstractNumId w:val="159"/>
  </w:num>
  <w:num w:numId="113">
    <w:abstractNumId w:val="102"/>
  </w:num>
  <w:num w:numId="114">
    <w:abstractNumId w:val="72"/>
  </w:num>
  <w:num w:numId="115">
    <w:abstractNumId w:val="118"/>
  </w:num>
  <w:num w:numId="116">
    <w:abstractNumId w:val="235"/>
  </w:num>
  <w:num w:numId="117">
    <w:abstractNumId w:val="52"/>
  </w:num>
  <w:num w:numId="118">
    <w:abstractNumId w:val="210"/>
  </w:num>
  <w:num w:numId="119">
    <w:abstractNumId w:val="286"/>
  </w:num>
  <w:num w:numId="120">
    <w:abstractNumId w:val="285"/>
  </w:num>
  <w:num w:numId="121">
    <w:abstractNumId w:val="43"/>
  </w:num>
  <w:num w:numId="122">
    <w:abstractNumId w:val="200"/>
  </w:num>
  <w:num w:numId="123">
    <w:abstractNumId w:val="232"/>
  </w:num>
  <w:num w:numId="124">
    <w:abstractNumId w:val="49"/>
  </w:num>
  <w:num w:numId="125">
    <w:abstractNumId w:val="146"/>
  </w:num>
  <w:num w:numId="126">
    <w:abstractNumId w:val="5"/>
  </w:num>
  <w:num w:numId="127">
    <w:abstractNumId w:val="202"/>
  </w:num>
  <w:num w:numId="128">
    <w:abstractNumId w:val="99"/>
  </w:num>
  <w:num w:numId="129">
    <w:abstractNumId w:val="30"/>
  </w:num>
  <w:num w:numId="130">
    <w:abstractNumId w:val="19"/>
  </w:num>
  <w:num w:numId="131">
    <w:abstractNumId w:val="101"/>
  </w:num>
  <w:num w:numId="132">
    <w:abstractNumId w:val="139"/>
  </w:num>
  <w:num w:numId="133">
    <w:abstractNumId w:val="66"/>
  </w:num>
  <w:num w:numId="134">
    <w:abstractNumId w:val="93"/>
  </w:num>
  <w:num w:numId="135">
    <w:abstractNumId w:val="87"/>
  </w:num>
  <w:num w:numId="136">
    <w:abstractNumId w:val="10"/>
  </w:num>
  <w:num w:numId="137">
    <w:abstractNumId w:val="222"/>
  </w:num>
  <w:num w:numId="138">
    <w:abstractNumId w:val="85"/>
  </w:num>
  <w:num w:numId="139">
    <w:abstractNumId w:val="77"/>
  </w:num>
  <w:num w:numId="140">
    <w:abstractNumId w:val="120"/>
  </w:num>
  <w:num w:numId="141">
    <w:abstractNumId w:val="223"/>
  </w:num>
  <w:num w:numId="142">
    <w:abstractNumId w:val="81"/>
  </w:num>
  <w:num w:numId="143">
    <w:abstractNumId w:val="255"/>
  </w:num>
  <w:num w:numId="144">
    <w:abstractNumId w:val="184"/>
  </w:num>
  <w:num w:numId="145">
    <w:abstractNumId w:val="121"/>
  </w:num>
  <w:num w:numId="146">
    <w:abstractNumId w:val="33"/>
  </w:num>
  <w:num w:numId="147">
    <w:abstractNumId w:val="46"/>
  </w:num>
  <w:num w:numId="148">
    <w:abstractNumId w:val="8"/>
  </w:num>
  <w:num w:numId="149">
    <w:abstractNumId w:val="208"/>
  </w:num>
  <w:num w:numId="150">
    <w:abstractNumId w:val="293"/>
  </w:num>
  <w:num w:numId="151">
    <w:abstractNumId w:val="155"/>
  </w:num>
  <w:num w:numId="152">
    <w:abstractNumId w:val="76"/>
  </w:num>
  <w:num w:numId="153">
    <w:abstractNumId w:val="158"/>
  </w:num>
  <w:num w:numId="154">
    <w:abstractNumId w:val="2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269"/>
  </w:num>
  <w:num w:numId="156">
    <w:abstractNumId w:val="169"/>
  </w:num>
  <w:num w:numId="157">
    <w:abstractNumId w:val="7"/>
  </w:num>
  <w:num w:numId="158">
    <w:abstractNumId w:val="173"/>
  </w:num>
  <w:num w:numId="159">
    <w:abstractNumId w:val="144"/>
  </w:num>
  <w:num w:numId="160">
    <w:abstractNumId w:val="185"/>
  </w:num>
  <w:num w:numId="161">
    <w:abstractNumId w:val="168"/>
  </w:num>
  <w:num w:numId="162">
    <w:abstractNumId w:val="31"/>
  </w:num>
  <w:num w:numId="163">
    <w:abstractNumId w:val="163"/>
  </w:num>
  <w:num w:numId="164">
    <w:abstractNumId w:val="68"/>
  </w:num>
  <w:num w:numId="165">
    <w:abstractNumId w:val="54"/>
  </w:num>
  <w:num w:numId="166">
    <w:abstractNumId w:val="124"/>
  </w:num>
  <w:num w:numId="167">
    <w:abstractNumId w:val="201"/>
  </w:num>
  <w:num w:numId="168">
    <w:abstractNumId w:val="238"/>
  </w:num>
  <w:num w:numId="169">
    <w:abstractNumId w:val="249"/>
  </w:num>
  <w:num w:numId="170">
    <w:abstractNumId w:val="203"/>
  </w:num>
  <w:num w:numId="171">
    <w:abstractNumId w:val="45"/>
  </w:num>
  <w:num w:numId="172">
    <w:abstractNumId w:val="250"/>
  </w:num>
  <w:num w:numId="173">
    <w:abstractNumId w:val="260"/>
  </w:num>
  <w:num w:numId="174">
    <w:abstractNumId w:val="275"/>
  </w:num>
  <w:num w:numId="175">
    <w:abstractNumId w:val="188"/>
  </w:num>
  <w:num w:numId="176">
    <w:abstractNumId w:val="128"/>
  </w:num>
  <w:num w:numId="177">
    <w:abstractNumId w:val="219"/>
  </w:num>
  <w:num w:numId="178">
    <w:abstractNumId w:val="26"/>
  </w:num>
  <w:num w:numId="179">
    <w:abstractNumId w:val="112"/>
  </w:num>
  <w:num w:numId="180">
    <w:abstractNumId w:val="245"/>
  </w:num>
  <w:num w:numId="181">
    <w:abstractNumId w:val="182"/>
  </w:num>
  <w:num w:numId="182">
    <w:abstractNumId w:val="153"/>
  </w:num>
  <w:num w:numId="183">
    <w:abstractNumId w:val="143"/>
  </w:num>
  <w:num w:numId="184">
    <w:abstractNumId w:val="27"/>
  </w:num>
  <w:num w:numId="185">
    <w:abstractNumId w:val="267"/>
  </w:num>
  <w:num w:numId="186">
    <w:abstractNumId w:val="130"/>
  </w:num>
  <w:num w:numId="187">
    <w:abstractNumId w:val="69"/>
  </w:num>
  <w:num w:numId="188">
    <w:abstractNumId w:val="176"/>
  </w:num>
  <w:num w:numId="189">
    <w:abstractNumId w:val="89"/>
  </w:num>
  <w:num w:numId="190">
    <w:abstractNumId w:val="206"/>
  </w:num>
  <w:num w:numId="191">
    <w:abstractNumId w:val="172"/>
  </w:num>
  <w:num w:numId="192">
    <w:abstractNumId w:val="289"/>
  </w:num>
  <w:num w:numId="193">
    <w:abstractNumId w:val="145"/>
  </w:num>
  <w:num w:numId="194">
    <w:abstractNumId w:val="20"/>
  </w:num>
  <w:num w:numId="195">
    <w:abstractNumId w:val="170"/>
  </w:num>
  <w:num w:numId="196">
    <w:abstractNumId w:val="115"/>
  </w:num>
  <w:num w:numId="197">
    <w:abstractNumId w:val="55"/>
  </w:num>
  <w:num w:numId="198">
    <w:abstractNumId w:val="253"/>
  </w:num>
  <w:num w:numId="199">
    <w:abstractNumId w:val="215"/>
  </w:num>
  <w:num w:numId="200">
    <w:abstractNumId w:val="15"/>
  </w:num>
  <w:num w:numId="201">
    <w:abstractNumId w:val="189"/>
  </w:num>
  <w:num w:numId="202">
    <w:abstractNumId w:val="94"/>
  </w:num>
  <w:num w:numId="203">
    <w:abstractNumId w:val="292"/>
  </w:num>
  <w:num w:numId="204">
    <w:abstractNumId w:val="65"/>
  </w:num>
  <w:num w:numId="205">
    <w:abstractNumId w:val="290"/>
  </w:num>
  <w:num w:numId="206">
    <w:abstractNumId w:val="195"/>
  </w:num>
  <w:num w:numId="207">
    <w:abstractNumId w:val="288"/>
  </w:num>
  <w:num w:numId="208">
    <w:abstractNumId w:val="98"/>
  </w:num>
  <w:num w:numId="209">
    <w:abstractNumId w:val="278"/>
  </w:num>
  <w:num w:numId="210">
    <w:abstractNumId w:val="298"/>
  </w:num>
  <w:num w:numId="211">
    <w:abstractNumId w:val="41"/>
  </w:num>
  <w:num w:numId="212">
    <w:abstractNumId w:val="125"/>
  </w:num>
  <w:num w:numId="213">
    <w:abstractNumId w:val="198"/>
  </w:num>
  <w:num w:numId="214">
    <w:abstractNumId w:val="160"/>
  </w:num>
  <w:num w:numId="215">
    <w:abstractNumId w:val="131"/>
  </w:num>
  <w:num w:numId="216">
    <w:abstractNumId w:val="224"/>
  </w:num>
  <w:num w:numId="217">
    <w:abstractNumId w:val="211"/>
  </w:num>
  <w:num w:numId="218">
    <w:abstractNumId w:val="47"/>
  </w:num>
  <w:num w:numId="219">
    <w:abstractNumId w:val="261"/>
  </w:num>
  <w:num w:numId="220">
    <w:abstractNumId w:val="296"/>
  </w:num>
  <w:num w:numId="221">
    <w:abstractNumId w:val="140"/>
  </w:num>
  <w:num w:numId="222">
    <w:abstractNumId w:val="103"/>
  </w:num>
  <w:num w:numId="223">
    <w:abstractNumId w:val="242"/>
  </w:num>
  <w:num w:numId="224">
    <w:abstractNumId w:val="110"/>
  </w:num>
  <w:num w:numId="225">
    <w:abstractNumId w:val="97"/>
  </w:num>
  <w:num w:numId="226">
    <w:abstractNumId w:val="71"/>
  </w:num>
  <w:num w:numId="227">
    <w:abstractNumId w:val="48"/>
  </w:num>
  <w:num w:numId="228">
    <w:abstractNumId w:val="152"/>
  </w:num>
  <w:num w:numId="229">
    <w:abstractNumId w:val="284"/>
  </w:num>
  <w:num w:numId="230">
    <w:abstractNumId w:val="277"/>
  </w:num>
  <w:num w:numId="231">
    <w:abstractNumId w:val="183"/>
  </w:num>
  <w:num w:numId="232">
    <w:abstractNumId w:val="84"/>
  </w:num>
  <w:num w:numId="233">
    <w:abstractNumId w:val="88"/>
  </w:num>
  <w:num w:numId="234">
    <w:abstractNumId w:val="21"/>
  </w:num>
  <w:num w:numId="235">
    <w:abstractNumId w:val="4"/>
  </w:num>
  <w:num w:numId="236">
    <w:abstractNumId w:val="297"/>
  </w:num>
  <w:num w:numId="237">
    <w:abstractNumId w:val="268"/>
  </w:num>
  <w:num w:numId="238">
    <w:abstractNumId w:val="265"/>
  </w:num>
  <w:num w:numId="239">
    <w:abstractNumId w:val="205"/>
  </w:num>
  <w:num w:numId="240">
    <w:abstractNumId w:val="192"/>
  </w:num>
  <w:num w:numId="241">
    <w:abstractNumId w:val="247"/>
  </w:num>
  <w:num w:numId="242">
    <w:abstractNumId w:val="186"/>
  </w:num>
  <w:num w:numId="243">
    <w:abstractNumId w:val="11"/>
  </w:num>
  <w:num w:numId="244">
    <w:abstractNumId w:val="239"/>
  </w:num>
  <w:num w:numId="245">
    <w:abstractNumId w:val="59"/>
  </w:num>
  <w:num w:numId="246">
    <w:abstractNumId w:val="240"/>
  </w:num>
  <w:num w:numId="247">
    <w:abstractNumId w:val="270"/>
  </w:num>
  <w:num w:numId="248">
    <w:abstractNumId w:val="113"/>
  </w:num>
  <w:num w:numId="249">
    <w:abstractNumId w:val="271"/>
  </w:num>
  <w:num w:numId="250">
    <w:abstractNumId w:val="70"/>
  </w:num>
  <w:num w:numId="251">
    <w:abstractNumId w:val="154"/>
  </w:num>
  <w:num w:numId="252">
    <w:abstractNumId w:val="217"/>
  </w:num>
  <w:num w:numId="253">
    <w:abstractNumId w:val="252"/>
  </w:num>
  <w:num w:numId="254">
    <w:abstractNumId w:val="29"/>
  </w:num>
  <w:num w:numId="255">
    <w:abstractNumId w:val="214"/>
  </w:num>
  <w:num w:numId="256">
    <w:abstractNumId w:val="191"/>
  </w:num>
  <w:num w:numId="257">
    <w:abstractNumId w:val="226"/>
  </w:num>
  <w:num w:numId="258">
    <w:abstractNumId w:val="73"/>
  </w:num>
  <w:num w:numId="259">
    <w:abstractNumId w:val="209"/>
  </w:num>
  <w:num w:numId="260">
    <w:abstractNumId w:val="64"/>
  </w:num>
  <w:num w:numId="261">
    <w:abstractNumId w:val="96"/>
  </w:num>
  <w:num w:numId="262">
    <w:abstractNumId w:val="90"/>
  </w:num>
  <w:num w:numId="263">
    <w:abstractNumId w:val="241"/>
  </w:num>
  <w:num w:numId="264">
    <w:abstractNumId w:val="86"/>
  </w:num>
  <w:num w:numId="265">
    <w:abstractNumId w:val="60"/>
  </w:num>
  <w:num w:numId="266">
    <w:abstractNumId w:val="50"/>
  </w:num>
  <w:num w:numId="267">
    <w:abstractNumId w:val="263"/>
  </w:num>
  <w:num w:numId="268">
    <w:abstractNumId w:val="259"/>
  </w:num>
  <w:num w:numId="269">
    <w:abstractNumId w:val="57"/>
  </w:num>
  <w:num w:numId="270">
    <w:abstractNumId w:val="58"/>
  </w:num>
  <w:num w:numId="271">
    <w:abstractNumId w:val="116"/>
  </w:num>
  <w:num w:numId="272">
    <w:abstractNumId w:val="283"/>
  </w:num>
  <w:num w:numId="273">
    <w:abstractNumId w:val="244"/>
  </w:num>
  <w:num w:numId="274">
    <w:abstractNumId w:val="179"/>
  </w:num>
  <w:num w:numId="275">
    <w:abstractNumId w:val="147"/>
  </w:num>
  <w:num w:numId="276">
    <w:abstractNumId w:val="138"/>
  </w:num>
  <w:num w:numId="277">
    <w:abstractNumId w:val="40"/>
  </w:num>
  <w:num w:numId="278">
    <w:abstractNumId w:val="14"/>
  </w:num>
  <w:num w:numId="279">
    <w:abstractNumId w:val="256"/>
  </w:num>
  <w:num w:numId="280">
    <w:abstractNumId w:val="117"/>
  </w:num>
  <w:num w:numId="281">
    <w:abstractNumId w:val="167"/>
  </w:num>
  <w:num w:numId="282">
    <w:abstractNumId w:val="273"/>
  </w:num>
  <w:num w:numId="283">
    <w:abstractNumId w:val="243"/>
  </w:num>
  <w:num w:numId="284">
    <w:abstractNumId w:val="1"/>
  </w:num>
  <w:num w:numId="285">
    <w:abstractNumId w:val="276"/>
  </w:num>
  <w:num w:numId="286">
    <w:abstractNumId w:val="106"/>
  </w:num>
  <w:num w:numId="287">
    <w:abstractNumId w:val="13"/>
  </w:num>
  <w:num w:numId="288">
    <w:abstractNumId w:val="181"/>
  </w:num>
  <w:num w:numId="289">
    <w:abstractNumId w:val="100"/>
  </w:num>
  <w:num w:numId="290">
    <w:abstractNumId w:val="3"/>
  </w:num>
  <w:num w:numId="291">
    <w:abstractNumId w:val="83"/>
  </w:num>
  <w:num w:numId="292">
    <w:abstractNumId w:val="221"/>
  </w:num>
  <w:num w:numId="293">
    <w:abstractNumId w:val="233"/>
  </w:num>
  <w:num w:numId="294">
    <w:abstractNumId w:val="122"/>
  </w:num>
  <w:num w:numId="295">
    <w:abstractNumId w:val="6"/>
  </w:num>
  <w:num w:numId="296">
    <w:abstractNumId w:val="51"/>
  </w:num>
  <w:num w:numId="297">
    <w:abstractNumId w:val="175"/>
  </w:num>
  <w:num w:numId="298">
    <w:abstractNumId w:val="61"/>
  </w:num>
  <w:num w:numId="299">
    <w:abstractNumId w:val="109"/>
  </w:num>
  <w:num w:numId="300">
    <w:abstractNumId w:val="2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abstractNumId w:val="187"/>
  </w:num>
  <w:num w:numId="302">
    <w:abstractNumId w:val="246"/>
  </w:num>
  <w:num w:numId="303">
    <w:abstractNumId w:val="82"/>
  </w:num>
  <w:num w:numId="304">
    <w:abstractNumId w:val="141"/>
  </w:num>
  <w:num w:numId="305">
    <w:abstractNumId w:val="234"/>
  </w:num>
  <w:num w:numId="306">
    <w:abstractNumId w:val="75"/>
  </w:num>
  <w:num w:numId="307">
    <w:abstractNumId w:val="161"/>
  </w:num>
  <w:num w:numId="308">
    <w:abstractNumId w:val="67"/>
  </w:num>
  <w:num w:numId="309">
    <w:abstractNumId w:val="2"/>
  </w:num>
  <w:num w:numId="310">
    <w:abstractNumId w:val="197"/>
  </w:num>
  <w:num w:numId="311">
    <w:abstractNumId w:val="18"/>
  </w:num>
  <w:num w:numId="312">
    <w:abstractNumId w:val="74"/>
  </w:num>
  <w:num w:numId="313">
    <w:abstractNumId w:val="107"/>
  </w:num>
  <w:num w:numId="314">
    <w:abstractNumId w:val="157"/>
  </w:num>
  <w:numIdMacAtCleanup w:val="3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E1A"/>
    <w:rsid w:val="0000040C"/>
    <w:rsid w:val="000006AE"/>
    <w:rsid w:val="00000D8E"/>
    <w:rsid w:val="00001290"/>
    <w:rsid w:val="000016A9"/>
    <w:rsid w:val="00001A9B"/>
    <w:rsid w:val="00001ED4"/>
    <w:rsid w:val="00002A2A"/>
    <w:rsid w:val="00002C57"/>
    <w:rsid w:val="00003C14"/>
    <w:rsid w:val="000040F7"/>
    <w:rsid w:val="00004370"/>
    <w:rsid w:val="000045FB"/>
    <w:rsid w:val="000047DC"/>
    <w:rsid w:val="0000523B"/>
    <w:rsid w:val="00010C61"/>
    <w:rsid w:val="00011743"/>
    <w:rsid w:val="000123A7"/>
    <w:rsid w:val="00012853"/>
    <w:rsid w:val="000129B0"/>
    <w:rsid w:val="000132B6"/>
    <w:rsid w:val="00013AEC"/>
    <w:rsid w:val="00013B71"/>
    <w:rsid w:val="00014055"/>
    <w:rsid w:val="000145FD"/>
    <w:rsid w:val="00015382"/>
    <w:rsid w:val="000153E1"/>
    <w:rsid w:val="0001547B"/>
    <w:rsid w:val="00015847"/>
    <w:rsid w:val="0001586D"/>
    <w:rsid w:val="00015AF3"/>
    <w:rsid w:val="00015D3C"/>
    <w:rsid w:val="00016158"/>
    <w:rsid w:val="000163E4"/>
    <w:rsid w:val="00017033"/>
    <w:rsid w:val="00017103"/>
    <w:rsid w:val="00017B19"/>
    <w:rsid w:val="00020721"/>
    <w:rsid w:val="00020F8F"/>
    <w:rsid w:val="000219CA"/>
    <w:rsid w:val="000222A2"/>
    <w:rsid w:val="00022797"/>
    <w:rsid w:val="00022B1B"/>
    <w:rsid w:val="00022D29"/>
    <w:rsid w:val="0002335A"/>
    <w:rsid w:val="0002377B"/>
    <w:rsid w:val="00023801"/>
    <w:rsid w:val="0002433F"/>
    <w:rsid w:val="000247C5"/>
    <w:rsid w:val="000251BF"/>
    <w:rsid w:val="000255BE"/>
    <w:rsid w:val="000255FA"/>
    <w:rsid w:val="00026224"/>
    <w:rsid w:val="0002649F"/>
    <w:rsid w:val="00026B86"/>
    <w:rsid w:val="00026F85"/>
    <w:rsid w:val="000278D7"/>
    <w:rsid w:val="00027EFC"/>
    <w:rsid w:val="000305BF"/>
    <w:rsid w:val="00030A8D"/>
    <w:rsid w:val="0003112B"/>
    <w:rsid w:val="0003137D"/>
    <w:rsid w:val="000321B6"/>
    <w:rsid w:val="00032515"/>
    <w:rsid w:val="0003289E"/>
    <w:rsid w:val="00032A0E"/>
    <w:rsid w:val="00032DAD"/>
    <w:rsid w:val="000333B4"/>
    <w:rsid w:val="00033A55"/>
    <w:rsid w:val="00033F78"/>
    <w:rsid w:val="00034CED"/>
    <w:rsid w:val="00034D25"/>
    <w:rsid w:val="000350BE"/>
    <w:rsid w:val="000351C9"/>
    <w:rsid w:val="00035B5B"/>
    <w:rsid w:val="00035DB5"/>
    <w:rsid w:val="00036039"/>
    <w:rsid w:val="00036399"/>
    <w:rsid w:val="00036FC1"/>
    <w:rsid w:val="00037C5B"/>
    <w:rsid w:val="00037D8E"/>
    <w:rsid w:val="00037DBD"/>
    <w:rsid w:val="0004013F"/>
    <w:rsid w:val="00040E58"/>
    <w:rsid w:val="00041F0A"/>
    <w:rsid w:val="00042705"/>
    <w:rsid w:val="00042846"/>
    <w:rsid w:val="0004299A"/>
    <w:rsid w:val="00042A28"/>
    <w:rsid w:val="00043F05"/>
    <w:rsid w:val="0004419A"/>
    <w:rsid w:val="00044892"/>
    <w:rsid w:val="0004532C"/>
    <w:rsid w:val="000454A7"/>
    <w:rsid w:val="00045518"/>
    <w:rsid w:val="0004607D"/>
    <w:rsid w:val="000466E2"/>
    <w:rsid w:val="00047120"/>
    <w:rsid w:val="00047150"/>
    <w:rsid w:val="00047CEC"/>
    <w:rsid w:val="0005018D"/>
    <w:rsid w:val="000503D7"/>
    <w:rsid w:val="000516D0"/>
    <w:rsid w:val="0005221D"/>
    <w:rsid w:val="000526A8"/>
    <w:rsid w:val="000527A2"/>
    <w:rsid w:val="00052FED"/>
    <w:rsid w:val="00053121"/>
    <w:rsid w:val="00054317"/>
    <w:rsid w:val="00054551"/>
    <w:rsid w:val="00054BA2"/>
    <w:rsid w:val="00054CEF"/>
    <w:rsid w:val="00056831"/>
    <w:rsid w:val="00056B22"/>
    <w:rsid w:val="000575B8"/>
    <w:rsid w:val="000576D3"/>
    <w:rsid w:val="000605ED"/>
    <w:rsid w:val="00060C18"/>
    <w:rsid w:val="00060EC2"/>
    <w:rsid w:val="00061040"/>
    <w:rsid w:val="00061A10"/>
    <w:rsid w:val="00061DDF"/>
    <w:rsid w:val="00061EEA"/>
    <w:rsid w:val="00062524"/>
    <w:rsid w:val="00062D4C"/>
    <w:rsid w:val="00062F95"/>
    <w:rsid w:val="00063413"/>
    <w:rsid w:val="0006362A"/>
    <w:rsid w:val="000639F5"/>
    <w:rsid w:val="00063E36"/>
    <w:rsid w:val="00064B89"/>
    <w:rsid w:val="000650D9"/>
    <w:rsid w:val="00065117"/>
    <w:rsid w:val="00065C95"/>
    <w:rsid w:val="00065D23"/>
    <w:rsid w:val="0006614F"/>
    <w:rsid w:val="0006724A"/>
    <w:rsid w:val="0006724D"/>
    <w:rsid w:val="000712F6"/>
    <w:rsid w:val="00071419"/>
    <w:rsid w:val="000729F4"/>
    <w:rsid w:val="00072C3C"/>
    <w:rsid w:val="000732EF"/>
    <w:rsid w:val="000735CA"/>
    <w:rsid w:val="00073A2B"/>
    <w:rsid w:val="00073B16"/>
    <w:rsid w:val="00073D1E"/>
    <w:rsid w:val="00073EC1"/>
    <w:rsid w:val="0007421C"/>
    <w:rsid w:val="00074463"/>
    <w:rsid w:val="0007499F"/>
    <w:rsid w:val="00074A4B"/>
    <w:rsid w:val="00074ABE"/>
    <w:rsid w:val="00074C34"/>
    <w:rsid w:val="00074C86"/>
    <w:rsid w:val="000755F4"/>
    <w:rsid w:val="00075F36"/>
    <w:rsid w:val="00075FD3"/>
    <w:rsid w:val="00080238"/>
    <w:rsid w:val="00080760"/>
    <w:rsid w:val="00080CE2"/>
    <w:rsid w:val="00080D32"/>
    <w:rsid w:val="00080DA2"/>
    <w:rsid w:val="00080F7A"/>
    <w:rsid w:val="00081773"/>
    <w:rsid w:val="00081C56"/>
    <w:rsid w:val="00081CC5"/>
    <w:rsid w:val="00081FA1"/>
    <w:rsid w:val="00083D35"/>
    <w:rsid w:val="000846D5"/>
    <w:rsid w:val="00085653"/>
    <w:rsid w:val="00085D55"/>
    <w:rsid w:val="000863C1"/>
    <w:rsid w:val="000864B2"/>
    <w:rsid w:val="00086EC3"/>
    <w:rsid w:val="0008706A"/>
    <w:rsid w:val="00087673"/>
    <w:rsid w:val="00087CB1"/>
    <w:rsid w:val="0009011E"/>
    <w:rsid w:val="00090156"/>
    <w:rsid w:val="00090461"/>
    <w:rsid w:val="00090BFA"/>
    <w:rsid w:val="000911B8"/>
    <w:rsid w:val="00091408"/>
    <w:rsid w:val="0009144E"/>
    <w:rsid w:val="00092DE6"/>
    <w:rsid w:val="00093046"/>
    <w:rsid w:val="00093F85"/>
    <w:rsid w:val="00094018"/>
    <w:rsid w:val="00094560"/>
    <w:rsid w:val="00094CA1"/>
    <w:rsid w:val="0009521B"/>
    <w:rsid w:val="000956A1"/>
    <w:rsid w:val="0009570B"/>
    <w:rsid w:val="0009592A"/>
    <w:rsid w:val="000972E1"/>
    <w:rsid w:val="000974FF"/>
    <w:rsid w:val="00097B1A"/>
    <w:rsid w:val="00097C0C"/>
    <w:rsid w:val="000A0626"/>
    <w:rsid w:val="000A0D35"/>
    <w:rsid w:val="000A1790"/>
    <w:rsid w:val="000A1C0D"/>
    <w:rsid w:val="000A1C0E"/>
    <w:rsid w:val="000A2A10"/>
    <w:rsid w:val="000A2AA0"/>
    <w:rsid w:val="000A2C3D"/>
    <w:rsid w:val="000A350E"/>
    <w:rsid w:val="000A3FB2"/>
    <w:rsid w:val="000A5387"/>
    <w:rsid w:val="000A540E"/>
    <w:rsid w:val="000A5B05"/>
    <w:rsid w:val="000A6B38"/>
    <w:rsid w:val="000A7C6F"/>
    <w:rsid w:val="000A7E72"/>
    <w:rsid w:val="000B005B"/>
    <w:rsid w:val="000B12C9"/>
    <w:rsid w:val="000B1568"/>
    <w:rsid w:val="000B2918"/>
    <w:rsid w:val="000B2A59"/>
    <w:rsid w:val="000B3963"/>
    <w:rsid w:val="000B396D"/>
    <w:rsid w:val="000B39AF"/>
    <w:rsid w:val="000B4033"/>
    <w:rsid w:val="000B467E"/>
    <w:rsid w:val="000B4DE6"/>
    <w:rsid w:val="000B6C24"/>
    <w:rsid w:val="000B6F44"/>
    <w:rsid w:val="000B7192"/>
    <w:rsid w:val="000B76AD"/>
    <w:rsid w:val="000B76DE"/>
    <w:rsid w:val="000C0215"/>
    <w:rsid w:val="000C024E"/>
    <w:rsid w:val="000C0B4E"/>
    <w:rsid w:val="000C0C68"/>
    <w:rsid w:val="000C1466"/>
    <w:rsid w:val="000C1656"/>
    <w:rsid w:val="000C1CF5"/>
    <w:rsid w:val="000C2334"/>
    <w:rsid w:val="000C27E3"/>
    <w:rsid w:val="000C3FD6"/>
    <w:rsid w:val="000C4555"/>
    <w:rsid w:val="000C467F"/>
    <w:rsid w:val="000C4DC0"/>
    <w:rsid w:val="000C5C48"/>
    <w:rsid w:val="000C5CB4"/>
    <w:rsid w:val="000C5CCE"/>
    <w:rsid w:val="000C5DFF"/>
    <w:rsid w:val="000C66F7"/>
    <w:rsid w:val="000C6FAA"/>
    <w:rsid w:val="000C6FF3"/>
    <w:rsid w:val="000C70C0"/>
    <w:rsid w:val="000C76B5"/>
    <w:rsid w:val="000C77B1"/>
    <w:rsid w:val="000C7F49"/>
    <w:rsid w:val="000D11B0"/>
    <w:rsid w:val="000D1EE8"/>
    <w:rsid w:val="000D24BB"/>
    <w:rsid w:val="000D2742"/>
    <w:rsid w:val="000D2B04"/>
    <w:rsid w:val="000D2C4F"/>
    <w:rsid w:val="000D323F"/>
    <w:rsid w:val="000D3296"/>
    <w:rsid w:val="000D3BBF"/>
    <w:rsid w:val="000D434F"/>
    <w:rsid w:val="000D4ECA"/>
    <w:rsid w:val="000D5B18"/>
    <w:rsid w:val="000D5B56"/>
    <w:rsid w:val="000D5BEE"/>
    <w:rsid w:val="000D6068"/>
    <w:rsid w:val="000D63F4"/>
    <w:rsid w:val="000D69E7"/>
    <w:rsid w:val="000D6BD9"/>
    <w:rsid w:val="000D6D2C"/>
    <w:rsid w:val="000D6F95"/>
    <w:rsid w:val="000D73A7"/>
    <w:rsid w:val="000D7739"/>
    <w:rsid w:val="000D78E1"/>
    <w:rsid w:val="000E009C"/>
    <w:rsid w:val="000E08C6"/>
    <w:rsid w:val="000E0A0E"/>
    <w:rsid w:val="000E0FE6"/>
    <w:rsid w:val="000E107E"/>
    <w:rsid w:val="000E1213"/>
    <w:rsid w:val="000E152C"/>
    <w:rsid w:val="000E1FF1"/>
    <w:rsid w:val="000E2149"/>
    <w:rsid w:val="000E3C8C"/>
    <w:rsid w:val="000E4331"/>
    <w:rsid w:val="000E4469"/>
    <w:rsid w:val="000E4706"/>
    <w:rsid w:val="000E554B"/>
    <w:rsid w:val="000E60C2"/>
    <w:rsid w:val="000E60FE"/>
    <w:rsid w:val="000E6662"/>
    <w:rsid w:val="000E681D"/>
    <w:rsid w:val="000E6C91"/>
    <w:rsid w:val="000E72D2"/>
    <w:rsid w:val="000E76B3"/>
    <w:rsid w:val="000F00DA"/>
    <w:rsid w:val="000F0558"/>
    <w:rsid w:val="000F05FE"/>
    <w:rsid w:val="000F1D84"/>
    <w:rsid w:val="000F1F54"/>
    <w:rsid w:val="000F1F62"/>
    <w:rsid w:val="000F2459"/>
    <w:rsid w:val="000F2DFF"/>
    <w:rsid w:val="000F30B6"/>
    <w:rsid w:val="000F3567"/>
    <w:rsid w:val="000F363F"/>
    <w:rsid w:val="000F3695"/>
    <w:rsid w:val="000F371A"/>
    <w:rsid w:val="000F37A9"/>
    <w:rsid w:val="000F390C"/>
    <w:rsid w:val="000F44DE"/>
    <w:rsid w:val="000F5698"/>
    <w:rsid w:val="000F5A85"/>
    <w:rsid w:val="000F5C8D"/>
    <w:rsid w:val="000F5E7E"/>
    <w:rsid w:val="000F5F55"/>
    <w:rsid w:val="000F6503"/>
    <w:rsid w:val="000F69F5"/>
    <w:rsid w:val="000F7688"/>
    <w:rsid w:val="0010030A"/>
    <w:rsid w:val="0010047B"/>
    <w:rsid w:val="001004A7"/>
    <w:rsid w:val="001026F7"/>
    <w:rsid w:val="00102CAE"/>
    <w:rsid w:val="00102E54"/>
    <w:rsid w:val="00102F13"/>
    <w:rsid w:val="001041F3"/>
    <w:rsid w:val="0010481F"/>
    <w:rsid w:val="00104C69"/>
    <w:rsid w:val="00105C12"/>
    <w:rsid w:val="00105EF9"/>
    <w:rsid w:val="001062B4"/>
    <w:rsid w:val="001076BE"/>
    <w:rsid w:val="0010777B"/>
    <w:rsid w:val="001078BD"/>
    <w:rsid w:val="001104DE"/>
    <w:rsid w:val="001106D5"/>
    <w:rsid w:val="00110DB0"/>
    <w:rsid w:val="001126E9"/>
    <w:rsid w:val="00112BD7"/>
    <w:rsid w:val="00113BCF"/>
    <w:rsid w:val="00113C01"/>
    <w:rsid w:val="00113D95"/>
    <w:rsid w:val="001141D2"/>
    <w:rsid w:val="00114951"/>
    <w:rsid w:val="00114A02"/>
    <w:rsid w:val="00114F16"/>
    <w:rsid w:val="00115297"/>
    <w:rsid w:val="001155DC"/>
    <w:rsid w:val="0011608B"/>
    <w:rsid w:val="00116A47"/>
    <w:rsid w:val="00117BFB"/>
    <w:rsid w:val="001200CB"/>
    <w:rsid w:val="001208D1"/>
    <w:rsid w:val="00120D87"/>
    <w:rsid w:val="00120E50"/>
    <w:rsid w:val="001211AD"/>
    <w:rsid w:val="001212ED"/>
    <w:rsid w:val="00121303"/>
    <w:rsid w:val="001216E4"/>
    <w:rsid w:val="0012199E"/>
    <w:rsid w:val="00121F77"/>
    <w:rsid w:val="00122519"/>
    <w:rsid w:val="001226C1"/>
    <w:rsid w:val="00122D48"/>
    <w:rsid w:val="001234F9"/>
    <w:rsid w:val="00123794"/>
    <w:rsid w:val="001245F9"/>
    <w:rsid w:val="00124A8E"/>
    <w:rsid w:val="00125962"/>
    <w:rsid w:val="001259B9"/>
    <w:rsid w:val="00125E90"/>
    <w:rsid w:val="00126CB4"/>
    <w:rsid w:val="00127014"/>
    <w:rsid w:val="00127A0E"/>
    <w:rsid w:val="00127C46"/>
    <w:rsid w:val="0013001B"/>
    <w:rsid w:val="0013108F"/>
    <w:rsid w:val="00132696"/>
    <w:rsid w:val="00134173"/>
    <w:rsid w:val="0013423B"/>
    <w:rsid w:val="00134C21"/>
    <w:rsid w:val="00134EC6"/>
    <w:rsid w:val="00135355"/>
    <w:rsid w:val="00136CF8"/>
    <w:rsid w:val="001376B3"/>
    <w:rsid w:val="00140046"/>
    <w:rsid w:val="00140CDF"/>
    <w:rsid w:val="00141389"/>
    <w:rsid w:val="0014141C"/>
    <w:rsid w:val="00141856"/>
    <w:rsid w:val="001419EA"/>
    <w:rsid w:val="001424ED"/>
    <w:rsid w:val="0014253B"/>
    <w:rsid w:val="00142EB0"/>
    <w:rsid w:val="00143080"/>
    <w:rsid w:val="0014343A"/>
    <w:rsid w:val="00143E80"/>
    <w:rsid w:val="00143FE1"/>
    <w:rsid w:val="00144DF9"/>
    <w:rsid w:val="001455E7"/>
    <w:rsid w:val="00145CD5"/>
    <w:rsid w:val="001469CD"/>
    <w:rsid w:val="00147213"/>
    <w:rsid w:val="001474BD"/>
    <w:rsid w:val="001477AE"/>
    <w:rsid w:val="0015016A"/>
    <w:rsid w:val="00151302"/>
    <w:rsid w:val="00151A40"/>
    <w:rsid w:val="00151DE0"/>
    <w:rsid w:val="00151E15"/>
    <w:rsid w:val="001522A6"/>
    <w:rsid w:val="00152C5D"/>
    <w:rsid w:val="00152FDE"/>
    <w:rsid w:val="00153332"/>
    <w:rsid w:val="0015374B"/>
    <w:rsid w:val="00153B74"/>
    <w:rsid w:val="00153FC1"/>
    <w:rsid w:val="001544FE"/>
    <w:rsid w:val="00154655"/>
    <w:rsid w:val="00154FAE"/>
    <w:rsid w:val="00155444"/>
    <w:rsid w:val="001556EB"/>
    <w:rsid w:val="0015586D"/>
    <w:rsid w:val="00156130"/>
    <w:rsid w:val="00156459"/>
    <w:rsid w:val="00157722"/>
    <w:rsid w:val="0015786E"/>
    <w:rsid w:val="00157CCC"/>
    <w:rsid w:val="001604FD"/>
    <w:rsid w:val="001606C8"/>
    <w:rsid w:val="00160F92"/>
    <w:rsid w:val="0016174E"/>
    <w:rsid w:val="00161A40"/>
    <w:rsid w:val="00161C9E"/>
    <w:rsid w:val="00162183"/>
    <w:rsid w:val="00162620"/>
    <w:rsid w:val="00162B11"/>
    <w:rsid w:val="001633A6"/>
    <w:rsid w:val="00163BCB"/>
    <w:rsid w:val="001640BC"/>
    <w:rsid w:val="001642D5"/>
    <w:rsid w:val="00164693"/>
    <w:rsid w:val="00164903"/>
    <w:rsid w:val="00164A04"/>
    <w:rsid w:val="00164C2E"/>
    <w:rsid w:val="00164FE2"/>
    <w:rsid w:val="001652DC"/>
    <w:rsid w:val="00165C01"/>
    <w:rsid w:val="0016673F"/>
    <w:rsid w:val="00166B8A"/>
    <w:rsid w:val="001673F2"/>
    <w:rsid w:val="001676AF"/>
    <w:rsid w:val="00167790"/>
    <w:rsid w:val="0016781F"/>
    <w:rsid w:val="001679F8"/>
    <w:rsid w:val="00167C0D"/>
    <w:rsid w:val="0017011B"/>
    <w:rsid w:val="001708B8"/>
    <w:rsid w:val="00170905"/>
    <w:rsid w:val="0017182A"/>
    <w:rsid w:val="00171CDA"/>
    <w:rsid w:val="00171CF1"/>
    <w:rsid w:val="0017250B"/>
    <w:rsid w:val="00172BCB"/>
    <w:rsid w:val="001734EA"/>
    <w:rsid w:val="00173666"/>
    <w:rsid w:val="00173DAB"/>
    <w:rsid w:val="00173F0A"/>
    <w:rsid w:val="001743DB"/>
    <w:rsid w:val="001747BD"/>
    <w:rsid w:val="001747E7"/>
    <w:rsid w:val="0017487E"/>
    <w:rsid w:val="00174DAD"/>
    <w:rsid w:val="0017543F"/>
    <w:rsid w:val="001756AA"/>
    <w:rsid w:val="00176012"/>
    <w:rsid w:val="001766AC"/>
    <w:rsid w:val="001766BC"/>
    <w:rsid w:val="00176B71"/>
    <w:rsid w:val="00177279"/>
    <w:rsid w:val="00177500"/>
    <w:rsid w:val="0017780B"/>
    <w:rsid w:val="00180318"/>
    <w:rsid w:val="001809DA"/>
    <w:rsid w:val="00180EC8"/>
    <w:rsid w:val="00181CBD"/>
    <w:rsid w:val="00181FF5"/>
    <w:rsid w:val="0018215D"/>
    <w:rsid w:val="001838EA"/>
    <w:rsid w:val="00183B2C"/>
    <w:rsid w:val="001857DD"/>
    <w:rsid w:val="00185C24"/>
    <w:rsid w:val="00186268"/>
    <w:rsid w:val="001862E4"/>
    <w:rsid w:val="00186B82"/>
    <w:rsid w:val="00186D34"/>
    <w:rsid w:val="00186E6A"/>
    <w:rsid w:val="00186EFC"/>
    <w:rsid w:val="00187596"/>
    <w:rsid w:val="0018786C"/>
    <w:rsid w:val="001911F6"/>
    <w:rsid w:val="00191A18"/>
    <w:rsid w:val="001922D2"/>
    <w:rsid w:val="00192A60"/>
    <w:rsid w:val="0019324C"/>
    <w:rsid w:val="00193301"/>
    <w:rsid w:val="001934EA"/>
    <w:rsid w:val="00194C7E"/>
    <w:rsid w:val="00194CB1"/>
    <w:rsid w:val="00195575"/>
    <w:rsid w:val="00195F91"/>
    <w:rsid w:val="00196D8D"/>
    <w:rsid w:val="00196DCE"/>
    <w:rsid w:val="001972B8"/>
    <w:rsid w:val="0019734F"/>
    <w:rsid w:val="00197559"/>
    <w:rsid w:val="001975FE"/>
    <w:rsid w:val="00197E86"/>
    <w:rsid w:val="001A116A"/>
    <w:rsid w:val="001A124D"/>
    <w:rsid w:val="001A13F3"/>
    <w:rsid w:val="001A1AF6"/>
    <w:rsid w:val="001A1B24"/>
    <w:rsid w:val="001A2545"/>
    <w:rsid w:val="001A2572"/>
    <w:rsid w:val="001A2AE2"/>
    <w:rsid w:val="001A3133"/>
    <w:rsid w:val="001A329B"/>
    <w:rsid w:val="001A332C"/>
    <w:rsid w:val="001A3AB0"/>
    <w:rsid w:val="001A411D"/>
    <w:rsid w:val="001A44C5"/>
    <w:rsid w:val="001A4529"/>
    <w:rsid w:val="001A6A6F"/>
    <w:rsid w:val="001A6DB0"/>
    <w:rsid w:val="001A70E9"/>
    <w:rsid w:val="001A7377"/>
    <w:rsid w:val="001A78D9"/>
    <w:rsid w:val="001A7F8F"/>
    <w:rsid w:val="001B0575"/>
    <w:rsid w:val="001B212F"/>
    <w:rsid w:val="001B2406"/>
    <w:rsid w:val="001B2439"/>
    <w:rsid w:val="001B2482"/>
    <w:rsid w:val="001B28E5"/>
    <w:rsid w:val="001B2ABA"/>
    <w:rsid w:val="001B32C4"/>
    <w:rsid w:val="001B3880"/>
    <w:rsid w:val="001B3A67"/>
    <w:rsid w:val="001B3D13"/>
    <w:rsid w:val="001B47CE"/>
    <w:rsid w:val="001B4BB6"/>
    <w:rsid w:val="001B4C7A"/>
    <w:rsid w:val="001B4D08"/>
    <w:rsid w:val="001B50A2"/>
    <w:rsid w:val="001B5612"/>
    <w:rsid w:val="001B6661"/>
    <w:rsid w:val="001B6961"/>
    <w:rsid w:val="001B7AB2"/>
    <w:rsid w:val="001C227A"/>
    <w:rsid w:val="001C292F"/>
    <w:rsid w:val="001C2D18"/>
    <w:rsid w:val="001C34B0"/>
    <w:rsid w:val="001C3756"/>
    <w:rsid w:val="001C3DFF"/>
    <w:rsid w:val="001C3F23"/>
    <w:rsid w:val="001C5603"/>
    <w:rsid w:val="001C5C3C"/>
    <w:rsid w:val="001C6FBC"/>
    <w:rsid w:val="001C7277"/>
    <w:rsid w:val="001D00EC"/>
    <w:rsid w:val="001D027E"/>
    <w:rsid w:val="001D112D"/>
    <w:rsid w:val="001D1DE9"/>
    <w:rsid w:val="001D2D20"/>
    <w:rsid w:val="001D343A"/>
    <w:rsid w:val="001D41FF"/>
    <w:rsid w:val="001D4823"/>
    <w:rsid w:val="001D571B"/>
    <w:rsid w:val="001D684F"/>
    <w:rsid w:val="001D690C"/>
    <w:rsid w:val="001D6942"/>
    <w:rsid w:val="001D6F1D"/>
    <w:rsid w:val="001D77E1"/>
    <w:rsid w:val="001D7B20"/>
    <w:rsid w:val="001E05F0"/>
    <w:rsid w:val="001E0C22"/>
    <w:rsid w:val="001E0F95"/>
    <w:rsid w:val="001E103F"/>
    <w:rsid w:val="001E15CC"/>
    <w:rsid w:val="001E21FC"/>
    <w:rsid w:val="001E220F"/>
    <w:rsid w:val="001E276C"/>
    <w:rsid w:val="001E3083"/>
    <w:rsid w:val="001E34ED"/>
    <w:rsid w:val="001E391B"/>
    <w:rsid w:val="001E3C1A"/>
    <w:rsid w:val="001E4810"/>
    <w:rsid w:val="001E4C43"/>
    <w:rsid w:val="001E5588"/>
    <w:rsid w:val="001E61E0"/>
    <w:rsid w:val="001E68E9"/>
    <w:rsid w:val="001E6BFB"/>
    <w:rsid w:val="001E6C48"/>
    <w:rsid w:val="001E6EA2"/>
    <w:rsid w:val="001E7DDC"/>
    <w:rsid w:val="001F0046"/>
    <w:rsid w:val="001F0AA0"/>
    <w:rsid w:val="001F0BE0"/>
    <w:rsid w:val="001F1B05"/>
    <w:rsid w:val="001F2037"/>
    <w:rsid w:val="001F2EA5"/>
    <w:rsid w:val="001F34CE"/>
    <w:rsid w:val="001F3998"/>
    <w:rsid w:val="001F4196"/>
    <w:rsid w:val="001F5574"/>
    <w:rsid w:val="001F5925"/>
    <w:rsid w:val="001F5A35"/>
    <w:rsid w:val="001F5FC8"/>
    <w:rsid w:val="001F618B"/>
    <w:rsid w:val="001F6610"/>
    <w:rsid w:val="001F6814"/>
    <w:rsid w:val="001F6FBB"/>
    <w:rsid w:val="001F7346"/>
    <w:rsid w:val="001F779D"/>
    <w:rsid w:val="0020061C"/>
    <w:rsid w:val="00200CB3"/>
    <w:rsid w:val="00201A6F"/>
    <w:rsid w:val="002020E6"/>
    <w:rsid w:val="002021D2"/>
    <w:rsid w:val="00202E26"/>
    <w:rsid w:val="00202E45"/>
    <w:rsid w:val="002039E6"/>
    <w:rsid w:val="00203B4C"/>
    <w:rsid w:val="002043ED"/>
    <w:rsid w:val="002046D1"/>
    <w:rsid w:val="00204789"/>
    <w:rsid w:val="002052F6"/>
    <w:rsid w:val="00205D5F"/>
    <w:rsid w:val="002063E3"/>
    <w:rsid w:val="00206A5C"/>
    <w:rsid w:val="00207142"/>
    <w:rsid w:val="002076CA"/>
    <w:rsid w:val="00207F6A"/>
    <w:rsid w:val="002100AF"/>
    <w:rsid w:val="002105B8"/>
    <w:rsid w:val="00211C3A"/>
    <w:rsid w:val="00211DF3"/>
    <w:rsid w:val="0021261E"/>
    <w:rsid w:val="00212773"/>
    <w:rsid w:val="00213285"/>
    <w:rsid w:val="002136AB"/>
    <w:rsid w:val="00214933"/>
    <w:rsid w:val="00215151"/>
    <w:rsid w:val="0021517E"/>
    <w:rsid w:val="002152BA"/>
    <w:rsid w:val="002168A6"/>
    <w:rsid w:val="00217482"/>
    <w:rsid w:val="00220505"/>
    <w:rsid w:val="00220939"/>
    <w:rsid w:val="002216B7"/>
    <w:rsid w:val="00221707"/>
    <w:rsid w:val="00221FF8"/>
    <w:rsid w:val="00222A67"/>
    <w:rsid w:val="00222E75"/>
    <w:rsid w:val="00222FE7"/>
    <w:rsid w:val="0022320B"/>
    <w:rsid w:val="002234C3"/>
    <w:rsid w:val="002235B4"/>
    <w:rsid w:val="002235C4"/>
    <w:rsid w:val="002238AB"/>
    <w:rsid w:val="002240E6"/>
    <w:rsid w:val="002242F2"/>
    <w:rsid w:val="0022441F"/>
    <w:rsid w:val="002250F8"/>
    <w:rsid w:val="002252E7"/>
    <w:rsid w:val="00226531"/>
    <w:rsid w:val="00226B82"/>
    <w:rsid w:val="00226EF5"/>
    <w:rsid w:val="00227034"/>
    <w:rsid w:val="00227CD6"/>
    <w:rsid w:val="00227F25"/>
    <w:rsid w:val="002300B1"/>
    <w:rsid w:val="00230282"/>
    <w:rsid w:val="002303E4"/>
    <w:rsid w:val="002306DA"/>
    <w:rsid w:val="00230E88"/>
    <w:rsid w:val="00230F78"/>
    <w:rsid w:val="00231516"/>
    <w:rsid w:val="002317D8"/>
    <w:rsid w:val="002323C8"/>
    <w:rsid w:val="002329BD"/>
    <w:rsid w:val="00232CF9"/>
    <w:rsid w:val="00232F6F"/>
    <w:rsid w:val="0023344C"/>
    <w:rsid w:val="00233D2A"/>
    <w:rsid w:val="0023419C"/>
    <w:rsid w:val="002346F0"/>
    <w:rsid w:val="002349B2"/>
    <w:rsid w:val="00234D65"/>
    <w:rsid w:val="00234DFB"/>
    <w:rsid w:val="00235026"/>
    <w:rsid w:val="00235358"/>
    <w:rsid w:val="00235431"/>
    <w:rsid w:val="002356CB"/>
    <w:rsid w:val="00235C07"/>
    <w:rsid w:val="00235E41"/>
    <w:rsid w:val="0023704C"/>
    <w:rsid w:val="00237131"/>
    <w:rsid w:val="0023722C"/>
    <w:rsid w:val="00237716"/>
    <w:rsid w:val="0024004F"/>
    <w:rsid w:val="00240BBB"/>
    <w:rsid w:val="00240EDC"/>
    <w:rsid w:val="00241068"/>
    <w:rsid w:val="00241181"/>
    <w:rsid w:val="002413D3"/>
    <w:rsid w:val="00241CAD"/>
    <w:rsid w:val="002422FE"/>
    <w:rsid w:val="0024270B"/>
    <w:rsid w:val="00242F2D"/>
    <w:rsid w:val="002439F2"/>
    <w:rsid w:val="00243FFF"/>
    <w:rsid w:val="00244177"/>
    <w:rsid w:val="0024473F"/>
    <w:rsid w:val="00245242"/>
    <w:rsid w:val="0024582F"/>
    <w:rsid w:val="002458FD"/>
    <w:rsid w:val="00245B4C"/>
    <w:rsid w:val="00245C5E"/>
    <w:rsid w:val="00246064"/>
    <w:rsid w:val="00246151"/>
    <w:rsid w:val="002464B2"/>
    <w:rsid w:val="002473D4"/>
    <w:rsid w:val="002476EC"/>
    <w:rsid w:val="002477F2"/>
    <w:rsid w:val="0024794B"/>
    <w:rsid w:val="00247C70"/>
    <w:rsid w:val="002507B8"/>
    <w:rsid w:val="00251108"/>
    <w:rsid w:val="002513EE"/>
    <w:rsid w:val="002517C2"/>
    <w:rsid w:val="00251B4B"/>
    <w:rsid w:val="002523EA"/>
    <w:rsid w:val="002528E8"/>
    <w:rsid w:val="00252B29"/>
    <w:rsid w:val="00252FAB"/>
    <w:rsid w:val="00253377"/>
    <w:rsid w:val="002533F0"/>
    <w:rsid w:val="00253507"/>
    <w:rsid w:val="00254FAE"/>
    <w:rsid w:val="0025685A"/>
    <w:rsid w:val="00256BB4"/>
    <w:rsid w:val="0025712F"/>
    <w:rsid w:val="00257C95"/>
    <w:rsid w:val="00257E55"/>
    <w:rsid w:val="002601C7"/>
    <w:rsid w:val="002618FE"/>
    <w:rsid w:val="00261D96"/>
    <w:rsid w:val="00261EFD"/>
    <w:rsid w:val="0026257F"/>
    <w:rsid w:val="00262813"/>
    <w:rsid w:val="00263116"/>
    <w:rsid w:val="002638AD"/>
    <w:rsid w:val="00263908"/>
    <w:rsid w:val="0026398C"/>
    <w:rsid w:val="00263F59"/>
    <w:rsid w:val="002640AD"/>
    <w:rsid w:val="00264A70"/>
    <w:rsid w:val="00264D03"/>
    <w:rsid w:val="00264EB3"/>
    <w:rsid w:val="00265265"/>
    <w:rsid w:val="002652EC"/>
    <w:rsid w:val="002654CE"/>
    <w:rsid w:val="002658E9"/>
    <w:rsid w:val="00265A1E"/>
    <w:rsid w:val="00266438"/>
    <w:rsid w:val="002664E1"/>
    <w:rsid w:val="002667AE"/>
    <w:rsid w:val="00266844"/>
    <w:rsid w:val="00266A68"/>
    <w:rsid w:val="00266A96"/>
    <w:rsid w:val="00266B39"/>
    <w:rsid w:val="00266B61"/>
    <w:rsid w:val="00266C05"/>
    <w:rsid w:val="00267B47"/>
    <w:rsid w:val="00267F27"/>
    <w:rsid w:val="00270218"/>
    <w:rsid w:val="002706DB"/>
    <w:rsid w:val="00271490"/>
    <w:rsid w:val="0027272A"/>
    <w:rsid w:val="00273069"/>
    <w:rsid w:val="00273284"/>
    <w:rsid w:val="002737E8"/>
    <w:rsid w:val="0027404C"/>
    <w:rsid w:val="00274061"/>
    <w:rsid w:val="002747E9"/>
    <w:rsid w:val="00274C75"/>
    <w:rsid w:val="0027583B"/>
    <w:rsid w:val="00275E9D"/>
    <w:rsid w:val="00276089"/>
    <w:rsid w:val="00277557"/>
    <w:rsid w:val="002778EF"/>
    <w:rsid w:val="00277C2D"/>
    <w:rsid w:val="00277E6A"/>
    <w:rsid w:val="0028086C"/>
    <w:rsid w:val="00280CDD"/>
    <w:rsid w:val="00281238"/>
    <w:rsid w:val="0028132B"/>
    <w:rsid w:val="00281BFF"/>
    <w:rsid w:val="00281EBF"/>
    <w:rsid w:val="002821D0"/>
    <w:rsid w:val="00282F15"/>
    <w:rsid w:val="00282FED"/>
    <w:rsid w:val="00283F33"/>
    <w:rsid w:val="00284F35"/>
    <w:rsid w:val="00286752"/>
    <w:rsid w:val="002871A0"/>
    <w:rsid w:val="00290926"/>
    <w:rsid w:val="00291A74"/>
    <w:rsid w:val="00291ADB"/>
    <w:rsid w:val="00291AFB"/>
    <w:rsid w:val="002920B5"/>
    <w:rsid w:val="002921D3"/>
    <w:rsid w:val="00292226"/>
    <w:rsid w:val="00293095"/>
    <w:rsid w:val="0029497D"/>
    <w:rsid w:val="002950B4"/>
    <w:rsid w:val="002950B8"/>
    <w:rsid w:val="00295F24"/>
    <w:rsid w:val="00296FE9"/>
    <w:rsid w:val="0029721C"/>
    <w:rsid w:val="00297BA7"/>
    <w:rsid w:val="00297C6D"/>
    <w:rsid w:val="002A0D7F"/>
    <w:rsid w:val="002A13D6"/>
    <w:rsid w:val="002A15E2"/>
    <w:rsid w:val="002A2BE6"/>
    <w:rsid w:val="002A35C5"/>
    <w:rsid w:val="002A39C1"/>
    <w:rsid w:val="002A3B6F"/>
    <w:rsid w:val="002A4180"/>
    <w:rsid w:val="002A58F6"/>
    <w:rsid w:val="002A6EDF"/>
    <w:rsid w:val="002A6EEF"/>
    <w:rsid w:val="002B0127"/>
    <w:rsid w:val="002B06C3"/>
    <w:rsid w:val="002B0EFD"/>
    <w:rsid w:val="002B0FA9"/>
    <w:rsid w:val="002B1B5B"/>
    <w:rsid w:val="002B2C95"/>
    <w:rsid w:val="002B31D1"/>
    <w:rsid w:val="002B325C"/>
    <w:rsid w:val="002B3273"/>
    <w:rsid w:val="002B370D"/>
    <w:rsid w:val="002B4C8E"/>
    <w:rsid w:val="002B55EA"/>
    <w:rsid w:val="002B718E"/>
    <w:rsid w:val="002C070E"/>
    <w:rsid w:val="002C0BCC"/>
    <w:rsid w:val="002C0BF1"/>
    <w:rsid w:val="002C0EE0"/>
    <w:rsid w:val="002C1359"/>
    <w:rsid w:val="002C135C"/>
    <w:rsid w:val="002C13E8"/>
    <w:rsid w:val="002C1510"/>
    <w:rsid w:val="002C1530"/>
    <w:rsid w:val="002C15AD"/>
    <w:rsid w:val="002C1895"/>
    <w:rsid w:val="002C1F90"/>
    <w:rsid w:val="002C2279"/>
    <w:rsid w:val="002C29EF"/>
    <w:rsid w:val="002C2AF5"/>
    <w:rsid w:val="002C2D6D"/>
    <w:rsid w:val="002C3914"/>
    <w:rsid w:val="002C3F6B"/>
    <w:rsid w:val="002C3F7D"/>
    <w:rsid w:val="002C4833"/>
    <w:rsid w:val="002C4957"/>
    <w:rsid w:val="002C555B"/>
    <w:rsid w:val="002C5853"/>
    <w:rsid w:val="002C6008"/>
    <w:rsid w:val="002C6184"/>
    <w:rsid w:val="002C71CE"/>
    <w:rsid w:val="002C7401"/>
    <w:rsid w:val="002C7E44"/>
    <w:rsid w:val="002C7E48"/>
    <w:rsid w:val="002D08BC"/>
    <w:rsid w:val="002D1872"/>
    <w:rsid w:val="002D1C8C"/>
    <w:rsid w:val="002D1FDD"/>
    <w:rsid w:val="002D21BC"/>
    <w:rsid w:val="002D2269"/>
    <w:rsid w:val="002D2E46"/>
    <w:rsid w:val="002D4102"/>
    <w:rsid w:val="002D41A9"/>
    <w:rsid w:val="002D497B"/>
    <w:rsid w:val="002D499E"/>
    <w:rsid w:val="002D577F"/>
    <w:rsid w:val="002D593B"/>
    <w:rsid w:val="002D5DCE"/>
    <w:rsid w:val="002D62DF"/>
    <w:rsid w:val="002D6622"/>
    <w:rsid w:val="002D7368"/>
    <w:rsid w:val="002D76BA"/>
    <w:rsid w:val="002D77A7"/>
    <w:rsid w:val="002E0A07"/>
    <w:rsid w:val="002E0D14"/>
    <w:rsid w:val="002E165F"/>
    <w:rsid w:val="002E35BE"/>
    <w:rsid w:val="002E3F04"/>
    <w:rsid w:val="002E4A41"/>
    <w:rsid w:val="002E7257"/>
    <w:rsid w:val="002E768C"/>
    <w:rsid w:val="002F0600"/>
    <w:rsid w:val="002F12BD"/>
    <w:rsid w:val="002F2011"/>
    <w:rsid w:val="002F2E73"/>
    <w:rsid w:val="002F2EAB"/>
    <w:rsid w:val="002F350A"/>
    <w:rsid w:val="002F3520"/>
    <w:rsid w:val="002F3824"/>
    <w:rsid w:val="002F40AA"/>
    <w:rsid w:val="002F422C"/>
    <w:rsid w:val="002F4358"/>
    <w:rsid w:val="002F4B62"/>
    <w:rsid w:val="002F5BDA"/>
    <w:rsid w:val="002F5BE9"/>
    <w:rsid w:val="002F61BC"/>
    <w:rsid w:val="002F6419"/>
    <w:rsid w:val="002F6E1F"/>
    <w:rsid w:val="00300028"/>
    <w:rsid w:val="00302ABF"/>
    <w:rsid w:val="00302F07"/>
    <w:rsid w:val="003033D0"/>
    <w:rsid w:val="00303649"/>
    <w:rsid w:val="00307108"/>
    <w:rsid w:val="0030760B"/>
    <w:rsid w:val="00311562"/>
    <w:rsid w:val="00311C7A"/>
    <w:rsid w:val="00312232"/>
    <w:rsid w:val="00312815"/>
    <w:rsid w:val="00312AD7"/>
    <w:rsid w:val="00313918"/>
    <w:rsid w:val="00313AE1"/>
    <w:rsid w:val="00314A38"/>
    <w:rsid w:val="00314EBE"/>
    <w:rsid w:val="003150A4"/>
    <w:rsid w:val="00315285"/>
    <w:rsid w:val="00315A29"/>
    <w:rsid w:val="00316BBD"/>
    <w:rsid w:val="00317277"/>
    <w:rsid w:val="00317E92"/>
    <w:rsid w:val="00317F10"/>
    <w:rsid w:val="00320222"/>
    <w:rsid w:val="003204CD"/>
    <w:rsid w:val="00321666"/>
    <w:rsid w:val="003217EB"/>
    <w:rsid w:val="00321DCC"/>
    <w:rsid w:val="003222D9"/>
    <w:rsid w:val="00322572"/>
    <w:rsid w:val="0032294B"/>
    <w:rsid w:val="00322BFF"/>
    <w:rsid w:val="003230B6"/>
    <w:rsid w:val="003230FC"/>
    <w:rsid w:val="00323942"/>
    <w:rsid w:val="00323DB0"/>
    <w:rsid w:val="00324900"/>
    <w:rsid w:val="0032580A"/>
    <w:rsid w:val="003258C5"/>
    <w:rsid w:val="0032622B"/>
    <w:rsid w:val="003269E1"/>
    <w:rsid w:val="00326FAF"/>
    <w:rsid w:val="00327B6C"/>
    <w:rsid w:val="00330423"/>
    <w:rsid w:val="00331050"/>
    <w:rsid w:val="003312E4"/>
    <w:rsid w:val="00331D07"/>
    <w:rsid w:val="003321BC"/>
    <w:rsid w:val="00332E34"/>
    <w:rsid w:val="00332F1B"/>
    <w:rsid w:val="00333943"/>
    <w:rsid w:val="003340D1"/>
    <w:rsid w:val="00334A6C"/>
    <w:rsid w:val="003363D1"/>
    <w:rsid w:val="003375BB"/>
    <w:rsid w:val="00337CC1"/>
    <w:rsid w:val="00340479"/>
    <w:rsid w:val="00340B90"/>
    <w:rsid w:val="00341D8A"/>
    <w:rsid w:val="003427E1"/>
    <w:rsid w:val="003428E2"/>
    <w:rsid w:val="00342DCB"/>
    <w:rsid w:val="00343214"/>
    <w:rsid w:val="003436A1"/>
    <w:rsid w:val="0034374A"/>
    <w:rsid w:val="003441AA"/>
    <w:rsid w:val="003441E1"/>
    <w:rsid w:val="00344C31"/>
    <w:rsid w:val="00344E84"/>
    <w:rsid w:val="00346F5E"/>
    <w:rsid w:val="00347AB3"/>
    <w:rsid w:val="00347FAF"/>
    <w:rsid w:val="00350837"/>
    <w:rsid w:val="00350CE4"/>
    <w:rsid w:val="00351244"/>
    <w:rsid w:val="00351693"/>
    <w:rsid w:val="00351ACF"/>
    <w:rsid w:val="0035244F"/>
    <w:rsid w:val="00353695"/>
    <w:rsid w:val="0035377F"/>
    <w:rsid w:val="00353FD1"/>
    <w:rsid w:val="003543E0"/>
    <w:rsid w:val="00354E57"/>
    <w:rsid w:val="003554F9"/>
    <w:rsid w:val="00355A8E"/>
    <w:rsid w:val="00355DD8"/>
    <w:rsid w:val="003566A4"/>
    <w:rsid w:val="00356A38"/>
    <w:rsid w:val="00357443"/>
    <w:rsid w:val="0035792F"/>
    <w:rsid w:val="00357C8F"/>
    <w:rsid w:val="00357F7D"/>
    <w:rsid w:val="00360C13"/>
    <w:rsid w:val="00360FEE"/>
    <w:rsid w:val="0036198D"/>
    <w:rsid w:val="00361C41"/>
    <w:rsid w:val="00361E1B"/>
    <w:rsid w:val="00362344"/>
    <w:rsid w:val="00362358"/>
    <w:rsid w:val="003630EE"/>
    <w:rsid w:val="003631B9"/>
    <w:rsid w:val="003637FC"/>
    <w:rsid w:val="00363C55"/>
    <w:rsid w:val="00363D8A"/>
    <w:rsid w:val="00363E75"/>
    <w:rsid w:val="00364213"/>
    <w:rsid w:val="0036481A"/>
    <w:rsid w:val="003648B4"/>
    <w:rsid w:val="0036497F"/>
    <w:rsid w:val="003654FD"/>
    <w:rsid w:val="00366595"/>
    <w:rsid w:val="003665FA"/>
    <w:rsid w:val="003666C5"/>
    <w:rsid w:val="003667FB"/>
    <w:rsid w:val="00366CF8"/>
    <w:rsid w:val="003670C3"/>
    <w:rsid w:val="0036743D"/>
    <w:rsid w:val="00367617"/>
    <w:rsid w:val="0036764C"/>
    <w:rsid w:val="003677C2"/>
    <w:rsid w:val="00367BD1"/>
    <w:rsid w:val="003701D8"/>
    <w:rsid w:val="003709A5"/>
    <w:rsid w:val="00371860"/>
    <w:rsid w:val="0037340B"/>
    <w:rsid w:val="0037368E"/>
    <w:rsid w:val="003736FB"/>
    <w:rsid w:val="00374D5C"/>
    <w:rsid w:val="0037500D"/>
    <w:rsid w:val="003757DC"/>
    <w:rsid w:val="00375A88"/>
    <w:rsid w:val="003761BF"/>
    <w:rsid w:val="00376682"/>
    <w:rsid w:val="00376974"/>
    <w:rsid w:val="00376B18"/>
    <w:rsid w:val="00377838"/>
    <w:rsid w:val="00377E5A"/>
    <w:rsid w:val="00380394"/>
    <w:rsid w:val="00380414"/>
    <w:rsid w:val="00381088"/>
    <w:rsid w:val="0038281F"/>
    <w:rsid w:val="00382852"/>
    <w:rsid w:val="00382E97"/>
    <w:rsid w:val="00382F1C"/>
    <w:rsid w:val="00382FD5"/>
    <w:rsid w:val="0038393F"/>
    <w:rsid w:val="00383ECA"/>
    <w:rsid w:val="0038485E"/>
    <w:rsid w:val="00384987"/>
    <w:rsid w:val="003849C6"/>
    <w:rsid w:val="0038535B"/>
    <w:rsid w:val="00385439"/>
    <w:rsid w:val="0038554C"/>
    <w:rsid w:val="003863DE"/>
    <w:rsid w:val="003864A7"/>
    <w:rsid w:val="003865EC"/>
    <w:rsid w:val="003876DC"/>
    <w:rsid w:val="00387803"/>
    <w:rsid w:val="00387A3E"/>
    <w:rsid w:val="00387C60"/>
    <w:rsid w:val="00387C8F"/>
    <w:rsid w:val="0039018F"/>
    <w:rsid w:val="00390A75"/>
    <w:rsid w:val="00392888"/>
    <w:rsid w:val="00393257"/>
    <w:rsid w:val="0039329A"/>
    <w:rsid w:val="00393597"/>
    <w:rsid w:val="00394B04"/>
    <w:rsid w:val="003950EF"/>
    <w:rsid w:val="00395542"/>
    <w:rsid w:val="003959AE"/>
    <w:rsid w:val="00395AC9"/>
    <w:rsid w:val="00395C39"/>
    <w:rsid w:val="00395E39"/>
    <w:rsid w:val="0039638F"/>
    <w:rsid w:val="003963A3"/>
    <w:rsid w:val="00396E91"/>
    <w:rsid w:val="003975F6"/>
    <w:rsid w:val="0039794A"/>
    <w:rsid w:val="00397BB6"/>
    <w:rsid w:val="00397D83"/>
    <w:rsid w:val="003A05D0"/>
    <w:rsid w:val="003A0D6D"/>
    <w:rsid w:val="003A129C"/>
    <w:rsid w:val="003A13A9"/>
    <w:rsid w:val="003A16C7"/>
    <w:rsid w:val="003A19DC"/>
    <w:rsid w:val="003A25A9"/>
    <w:rsid w:val="003A33CE"/>
    <w:rsid w:val="003A37D9"/>
    <w:rsid w:val="003A4D29"/>
    <w:rsid w:val="003A5EF2"/>
    <w:rsid w:val="003A6810"/>
    <w:rsid w:val="003A6BC1"/>
    <w:rsid w:val="003B07E1"/>
    <w:rsid w:val="003B0DF9"/>
    <w:rsid w:val="003B13A3"/>
    <w:rsid w:val="003B167B"/>
    <w:rsid w:val="003B16A8"/>
    <w:rsid w:val="003B1928"/>
    <w:rsid w:val="003B1AF7"/>
    <w:rsid w:val="003B2351"/>
    <w:rsid w:val="003B23CC"/>
    <w:rsid w:val="003B240D"/>
    <w:rsid w:val="003B2422"/>
    <w:rsid w:val="003B2C91"/>
    <w:rsid w:val="003B30FB"/>
    <w:rsid w:val="003B3597"/>
    <w:rsid w:val="003B3B60"/>
    <w:rsid w:val="003B3EC4"/>
    <w:rsid w:val="003B3ED8"/>
    <w:rsid w:val="003B41F5"/>
    <w:rsid w:val="003B4EB2"/>
    <w:rsid w:val="003B5681"/>
    <w:rsid w:val="003B67E5"/>
    <w:rsid w:val="003B6C6C"/>
    <w:rsid w:val="003B6D3F"/>
    <w:rsid w:val="003B7340"/>
    <w:rsid w:val="003B7837"/>
    <w:rsid w:val="003C0C7F"/>
    <w:rsid w:val="003C1B08"/>
    <w:rsid w:val="003C21D6"/>
    <w:rsid w:val="003C332C"/>
    <w:rsid w:val="003C3A0E"/>
    <w:rsid w:val="003C3BF5"/>
    <w:rsid w:val="003C3E06"/>
    <w:rsid w:val="003C4320"/>
    <w:rsid w:val="003C477C"/>
    <w:rsid w:val="003C4AFD"/>
    <w:rsid w:val="003C4C22"/>
    <w:rsid w:val="003C59FE"/>
    <w:rsid w:val="003C5B0C"/>
    <w:rsid w:val="003C6119"/>
    <w:rsid w:val="003C665A"/>
    <w:rsid w:val="003C6875"/>
    <w:rsid w:val="003C7198"/>
    <w:rsid w:val="003C7FC9"/>
    <w:rsid w:val="003D00A1"/>
    <w:rsid w:val="003D0726"/>
    <w:rsid w:val="003D124E"/>
    <w:rsid w:val="003D1D41"/>
    <w:rsid w:val="003D3511"/>
    <w:rsid w:val="003D366B"/>
    <w:rsid w:val="003D38F1"/>
    <w:rsid w:val="003D3A37"/>
    <w:rsid w:val="003D3B85"/>
    <w:rsid w:val="003D3BC1"/>
    <w:rsid w:val="003D430E"/>
    <w:rsid w:val="003D46A0"/>
    <w:rsid w:val="003D4BDA"/>
    <w:rsid w:val="003D4DF3"/>
    <w:rsid w:val="003D51C2"/>
    <w:rsid w:val="003D55B9"/>
    <w:rsid w:val="003D55E0"/>
    <w:rsid w:val="003D595F"/>
    <w:rsid w:val="003D6070"/>
    <w:rsid w:val="003D608B"/>
    <w:rsid w:val="003D6112"/>
    <w:rsid w:val="003D7029"/>
    <w:rsid w:val="003D7745"/>
    <w:rsid w:val="003D7800"/>
    <w:rsid w:val="003E070E"/>
    <w:rsid w:val="003E1626"/>
    <w:rsid w:val="003E2A62"/>
    <w:rsid w:val="003E30B0"/>
    <w:rsid w:val="003E361A"/>
    <w:rsid w:val="003E3DE8"/>
    <w:rsid w:val="003E4B1A"/>
    <w:rsid w:val="003E4ED7"/>
    <w:rsid w:val="003E6143"/>
    <w:rsid w:val="003E6165"/>
    <w:rsid w:val="003E653C"/>
    <w:rsid w:val="003E69E8"/>
    <w:rsid w:val="003E6ADE"/>
    <w:rsid w:val="003E6AE6"/>
    <w:rsid w:val="003E706E"/>
    <w:rsid w:val="003E70AA"/>
    <w:rsid w:val="003E7210"/>
    <w:rsid w:val="003E7666"/>
    <w:rsid w:val="003F0362"/>
    <w:rsid w:val="003F036A"/>
    <w:rsid w:val="003F0AEC"/>
    <w:rsid w:val="003F2292"/>
    <w:rsid w:val="003F2AD4"/>
    <w:rsid w:val="003F3609"/>
    <w:rsid w:val="003F377A"/>
    <w:rsid w:val="003F3C8A"/>
    <w:rsid w:val="003F40D9"/>
    <w:rsid w:val="003F45BB"/>
    <w:rsid w:val="003F4886"/>
    <w:rsid w:val="003F5432"/>
    <w:rsid w:val="003F56C4"/>
    <w:rsid w:val="003F5722"/>
    <w:rsid w:val="003F7322"/>
    <w:rsid w:val="0040017B"/>
    <w:rsid w:val="00400DD8"/>
    <w:rsid w:val="00400E7E"/>
    <w:rsid w:val="00401CE7"/>
    <w:rsid w:val="00401EA2"/>
    <w:rsid w:val="00401F9D"/>
    <w:rsid w:val="00402643"/>
    <w:rsid w:val="00402766"/>
    <w:rsid w:val="00402A3E"/>
    <w:rsid w:val="0040378C"/>
    <w:rsid w:val="0040387B"/>
    <w:rsid w:val="00404808"/>
    <w:rsid w:val="00404E5C"/>
    <w:rsid w:val="00405702"/>
    <w:rsid w:val="00405EF2"/>
    <w:rsid w:val="004061EF"/>
    <w:rsid w:val="00406414"/>
    <w:rsid w:val="004065D6"/>
    <w:rsid w:val="00406A28"/>
    <w:rsid w:val="0040706C"/>
    <w:rsid w:val="00407266"/>
    <w:rsid w:val="0040732C"/>
    <w:rsid w:val="00411104"/>
    <w:rsid w:val="00411E22"/>
    <w:rsid w:val="004126EA"/>
    <w:rsid w:val="00413D49"/>
    <w:rsid w:val="00414160"/>
    <w:rsid w:val="00414862"/>
    <w:rsid w:val="004154F5"/>
    <w:rsid w:val="00415D79"/>
    <w:rsid w:val="00416245"/>
    <w:rsid w:val="0041697A"/>
    <w:rsid w:val="004171E5"/>
    <w:rsid w:val="0041727C"/>
    <w:rsid w:val="00417BC3"/>
    <w:rsid w:val="00420057"/>
    <w:rsid w:val="0042014A"/>
    <w:rsid w:val="0042019B"/>
    <w:rsid w:val="004201D2"/>
    <w:rsid w:val="004208A6"/>
    <w:rsid w:val="00420CC6"/>
    <w:rsid w:val="00421410"/>
    <w:rsid w:val="004217E8"/>
    <w:rsid w:val="00421A5E"/>
    <w:rsid w:val="00422CA9"/>
    <w:rsid w:val="0042353D"/>
    <w:rsid w:val="00423C10"/>
    <w:rsid w:val="0042437A"/>
    <w:rsid w:val="00425A9A"/>
    <w:rsid w:val="00425DC4"/>
    <w:rsid w:val="0042613E"/>
    <w:rsid w:val="0042629E"/>
    <w:rsid w:val="004269A9"/>
    <w:rsid w:val="00426B52"/>
    <w:rsid w:val="00426C93"/>
    <w:rsid w:val="00426F1B"/>
    <w:rsid w:val="0042744D"/>
    <w:rsid w:val="00427DF0"/>
    <w:rsid w:val="00427E0E"/>
    <w:rsid w:val="00430221"/>
    <w:rsid w:val="004311DD"/>
    <w:rsid w:val="0043131C"/>
    <w:rsid w:val="00431437"/>
    <w:rsid w:val="004322C5"/>
    <w:rsid w:val="004334D8"/>
    <w:rsid w:val="004335E9"/>
    <w:rsid w:val="00433A54"/>
    <w:rsid w:val="0043436F"/>
    <w:rsid w:val="0043476F"/>
    <w:rsid w:val="00434ADB"/>
    <w:rsid w:val="00434B73"/>
    <w:rsid w:val="00435597"/>
    <w:rsid w:val="0043599E"/>
    <w:rsid w:val="00435D29"/>
    <w:rsid w:val="0043617D"/>
    <w:rsid w:val="004364FB"/>
    <w:rsid w:val="004365A0"/>
    <w:rsid w:val="00437032"/>
    <w:rsid w:val="00437299"/>
    <w:rsid w:val="00437968"/>
    <w:rsid w:val="00437A8D"/>
    <w:rsid w:val="00437F6B"/>
    <w:rsid w:val="00440421"/>
    <w:rsid w:val="00440A02"/>
    <w:rsid w:val="00440BD6"/>
    <w:rsid w:val="00441555"/>
    <w:rsid w:val="0044271D"/>
    <w:rsid w:val="00442BDD"/>
    <w:rsid w:val="00442F5C"/>
    <w:rsid w:val="00443198"/>
    <w:rsid w:val="0044354C"/>
    <w:rsid w:val="00443575"/>
    <w:rsid w:val="00443666"/>
    <w:rsid w:val="00443996"/>
    <w:rsid w:val="00443B10"/>
    <w:rsid w:val="004441D2"/>
    <w:rsid w:val="00444B05"/>
    <w:rsid w:val="00445832"/>
    <w:rsid w:val="00446233"/>
    <w:rsid w:val="0044630D"/>
    <w:rsid w:val="00446607"/>
    <w:rsid w:val="004468C7"/>
    <w:rsid w:val="004500F1"/>
    <w:rsid w:val="00450117"/>
    <w:rsid w:val="00450219"/>
    <w:rsid w:val="004503A0"/>
    <w:rsid w:val="00450A64"/>
    <w:rsid w:val="00450E55"/>
    <w:rsid w:val="004511EC"/>
    <w:rsid w:val="0045138C"/>
    <w:rsid w:val="00451B2E"/>
    <w:rsid w:val="00451D17"/>
    <w:rsid w:val="00451E7F"/>
    <w:rsid w:val="00452ABC"/>
    <w:rsid w:val="00452E5C"/>
    <w:rsid w:val="00453162"/>
    <w:rsid w:val="004532AA"/>
    <w:rsid w:val="004534A6"/>
    <w:rsid w:val="00454DA1"/>
    <w:rsid w:val="00454E0F"/>
    <w:rsid w:val="004558EE"/>
    <w:rsid w:val="00455C97"/>
    <w:rsid w:val="00455F58"/>
    <w:rsid w:val="00456B70"/>
    <w:rsid w:val="00456E41"/>
    <w:rsid w:val="00457150"/>
    <w:rsid w:val="00457357"/>
    <w:rsid w:val="00457C62"/>
    <w:rsid w:val="00457E9E"/>
    <w:rsid w:val="004619C6"/>
    <w:rsid w:val="00462B26"/>
    <w:rsid w:val="00462FE6"/>
    <w:rsid w:val="00463220"/>
    <w:rsid w:val="004632F8"/>
    <w:rsid w:val="004635E2"/>
    <w:rsid w:val="00463E2C"/>
    <w:rsid w:val="0046415C"/>
    <w:rsid w:val="004643A1"/>
    <w:rsid w:val="004654B2"/>
    <w:rsid w:val="004661E2"/>
    <w:rsid w:val="004667AA"/>
    <w:rsid w:val="00467669"/>
    <w:rsid w:val="00470438"/>
    <w:rsid w:val="004708AC"/>
    <w:rsid w:val="004729AA"/>
    <w:rsid w:val="00472C6C"/>
    <w:rsid w:val="004735A5"/>
    <w:rsid w:val="00474168"/>
    <w:rsid w:val="0047474B"/>
    <w:rsid w:val="004747E0"/>
    <w:rsid w:val="00475353"/>
    <w:rsid w:val="00475838"/>
    <w:rsid w:val="00475B17"/>
    <w:rsid w:val="00475CCF"/>
    <w:rsid w:val="00476163"/>
    <w:rsid w:val="0047669E"/>
    <w:rsid w:val="004806E7"/>
    <w:rsid w:val="004810D7"/>
    <w:rsid w:val="00481528"/>
    <w:rsid w:val="00482CA5"/>
    <w:rsid w:val="00482F3E"/>
    <w:rsid w:val="00482FB0"/>
    <w:rsid w:val="0048309D"/>
    <w:rsid w:val="00483F7D"/>
    <w:rsid w:val="00484D9A"/>
    <w:rsid w:val="004856EB"/>
    <w:rsid w:val="0048586E"/>
    <w:rsid w:val="00485B23"/>
    <w:rsid w:val="00485FA3"/>
    <w:rsid w:val="00486612"/>
    <w:rsid w:val="004870AB"/>
    <w:rsid w:val="0048758E"/>
    <w:rsid w:val="00487B16"/>
    <w:rsid w:val="0049009A"/>
    <w:rsid w:val="00490202"/>
    <w:rsid w:val="00490461"/>
    <w:rsid w:val="00490C69"/>
    <w:rsid w:val="004917A6"/>
    <w:rsid w:val="00493951"/>
    <w:rsid w:val="00493B4A"/>
    <w:rsid w:val="00494CBC"/>
    <w:rsid w:val="00494D0B"/>
    <w:rsid w:val="00494F50"/>
    <w:rsid w:val="00495111"/>
    <w:rsid w:val="0049540B"/>
    <w:rsid w:val="00495517"/>
    <w:rsid w:val="00495A1F"/>
    <w:rsid w:val="004960A2"/>
    <w:rsid w:val="0049653C"/>
    <w:rsid w:val="0049693F"/>
    <w:rsid w:val="00496A28"/>
    <w:rsid w:val="00496C1C"/>
    <w:rsid w:val="00497457"/>
    <w:rsid w:val="00497CCC"/>
    <w:rsid w:val="00497CF7"/>
    <w:rsid w:val="004A0340"/>
    <w:rsid w:val="004A04CE"/>
    <w:rsid w:val="004A1B93"/>
    <w:rsid w:val="004A1D7B"/>
    <w:rsid w:val="004A24DA"/>
    <w:rsid w:val="004A29AF"/>
    <w:rsid w:val="004A3239"/>
    <w:rsid w:val="004A395D"/>
    <w:rsid w:val="004A4C39"/>
    <w:rsid w:val="004A510F"/>
    <w:rsid w:val="004A513C"/>
    <w:rsid w:val="004A5350"/>
    <w:rsid w:val="004A5836"/>
    <w:rsid w:val="004A6467"/>
    <w:rsid w:val="004A6828"/>
    <w:rsid w:val="004A768C"/>
    <w:rsid w:val="004B0506"/>
    <w:rsid w:val="004B0938"/>
    <w:rsid w:val="004B0B3C"/>
    <w:rsid w:val="004B1441"/>
    <w:rsid w:val="004B18F8"/>
    <w:rsid w:val="004B2225"/>
    <w:rsid w:val="004B2B8C"/>
    <w:rsid w:val="004B2E94"/>
    <w:rsid w:val="004B33BB"/>
    <w:rsid w:val="004B39BF"/>
    <w:rsid w:val="004B3EC3"/>
    <w:rsid w:val="004B465C"/>
    <w:rsid w:val="004B4930"/>
    <w:rsid w:val="004B4F67"/>
    <w:rsid w:val="004B5339"/>
    <w:rsid w:val="004B5349"/>
    <w:rsid w:val="004B53C7"/>
    <w:rsid w:val="004B5B45"/>
    <w:rsid w:val="004B5B70"/>
    <w:rsid w:val="004B5FDE"/>
    <w:rsid w:val="004B66D3"/>
    <w:rsid w:val="004B6CC6"/>
    <w:rsid w:val="004B6F0E"/>
    <w:rsid w:val="004B70A8"/>
    <w:rsid w:val="004B7214"/>
    <w:rsid w:val="004B72DD"/>
    <w:rsid w:val="004B797E"/>
    <w:rsid w:val="004B7C1E"/>
    <w:rsid w:val="004C052D"/>
    <w:rsid w:val="004C15C0"/>
    <w:rsid w:val="004C23E8"/>
    <w:rsid w:val="004C3FA9"/>
    <w:rsid w:val="004C62B4"/>
    <w:rsid w:val="004C67F0"/>
    <w:rsid w:val="004C6F8E"/>
    <w:rsid w:val="004C7EA6"/>
    <w:rsid w:val="004C7F9C"/>
    <w:rsid w:val="004D0277"/>
    <w:rsid w:val="004D0366"/>
    <w:rsid w:val="004D0557"/>
    <w:rsid w:val="004D08CD"/>
    <w:rsid w:val="004D09B6"/>
    <w:rsid w:val="004D0E1D"/>
    <w:rsid w:val="004D2A56"/>
    <w:rsid w:val="004D2B2D"/>
    <w:rsid w:val="004D300B"/>
    <w:rsid w:val="004D375B"/>
    <w:rsid w:val="004D3B35"/>
    <w:rsid w:val="004D3B42"/>
    <w:rsid w:val="004D3FA0"/>
    <w:rsid w:val="004D4320"/>
    <w:rsid w:val="004D4A06"/>
    <w:rsid w:val="004D4B4C"/>
    <w:rsid w:val="004D4C92"/>
    <w:rsid w:val="004D5191"/>
    <w:rsid w:val="004D567C"/>
    <w:rsid w:val="004D6858"/>
    <w:rsid w:val="004D6D87"/>
    <w:rsid w:val="004D771E"/>
    <w:rsid w:val="004D7910"/>
    <w:rsid w:val="004D7C77"/>
    <w:rsid w:val="004D7F13"/>
    <w:rsid w:val="004E033A"/>
    <w:rsid w:val="004E0711"/>
    <w:rsid w:val="004E0CF9"/>
    <w:rsid w:val="004E104F"/>
    <w:rsid w:val="004E118E"/>
    <w:rsid w:val="004E142A"/>
    <w:rsid w:val="004E16B0"/>
    <w:rsid w:val="004E17AC"/>
    <w:rsid w:val="004E18D0"/>
    <w:rsid w:val="004E1F3C"/>
    <w:rsid w:val="004E237C"/>
    <w:rsid w:val="004E23F5"/>
    <w:rsid w:val="004E253A"/>
    <w:rsid w:val="004E2B93"/>
    <w:rsid w:val="004E2EA6"/>
    <w:rsid w:val="004E3207"/>
    <w:rsid w:val="004E3391"/>
    <w:rsid w:val="004E3FC8"/>
    <w:rsid w:val="004E45C0"/>
    <w:rsid w:val="004E48D9"/>
    <w:rsid w:val="004E5206"/>
    <w:rsid w:val="004E5535"/>
    <w:rsid w:val="004E5939"/>
    <w:rsid w:val="004E64BD"/>
    <w:rsid w:val="004E66CA"/>
    <w:rsid w:val="004E6D57"/>
    <w:rsid w:val="004E7119"/>
    <w:rsid w:val="004E727D"/>
    <w:rsid w:val="004E75E7"/>
    <w:rsid w:val="004E7CF5"/>
    <w:rsid w:val="004F00F5"/>
    <w:rsid w:val="004F0287"/>
    <w:rsid w:val="004F08A2"/>
    <w:rsid w:val="004F0D81"/>
    <w:rsid w:val="004F22C9"/>
    <w:rsid w:val="004F33BD"/>
    <w:rsid w:val="004F39EA"/>
    <w:rsid w:val="004F3C14"/>
    <w:rsid w:val="004F3E92"/>
    <w:rsid w:val="004F409D"/>
    <w:rsid w:val="004F48B5"/>
    <w:rsid w:val="004F557D"/>
    <w:rsid w:val="004F6190"/>
    <w:rsid w:val="004F6411"/>
    <w:rsid w:val="004F64B3"/>
    <w:rsid w:val="004F67DE"/>
    <w:rsid w:val="004F76EE"/>
    <w:rsid w:val="004F7A07"/>
    <w:rsid w:val="004F7FA1"/>
    <w:rsid w:val="00500225"/>
    <w:rsid w:val="00500686"/>
    <w:rsid w:val="005006C4"/>
    <w:rsid w:val="00502149"/>
    <w:rsid w:val="00502B1C"/>
    <w:rsid w:val="00503069"/>
    <w:rsid w:val="00503581"/>
    <w:rsid w:val="00504134"/>
    <w:rsid w:val="005054EC"/>
    <w:rsid w:val="00505CB7"/>
    <w:rsid w:val="005060D9"/>
    <w:rsid w:val="005064F1"/>
    <w:rsid w:val="00506AC1"/>
    <w:rsid w:val="00506FF0"/>
    <w:rsid w:val="00506FFC"/>
    <w:rsid w:val="00507AB0"/>
    <w:rsid w:val="00507FC9"/>
    <w:rsid w:val="00510155"/>
    <w:rsid w:val="005104DD"/>
    <w:rsid w:val="0051125A"/>
    <w:rsid w:val="0051158A"/>
    <w:rsid w:val="005119E5"/>
    <w:rsid w:val="00511B7D"/>
    <w:rsid w:val="00513233"/>
    <w:rsid w:val="005132D3"/>
    <w:rsid w:val="00513324"/>
    <w:rsid w:val="005138A7"/>
    <w:rsid w:val="005139C7"/>
    <w:rsid w:val="00513D02"/>
    <w:rsid w:val="00514522"/>
    <w:rsid w:val="00514D3F"/>
    <w:rsid w:val="00515878"/>
    <w:rsid w:val="00515ACC"/>
    <w:rsid w:val="005166C7"/>
    <w:rsid w:val="0052059E"/>
    <w:rsid w:val="005209E6"/>
    <w:rsid w:val="00520BE5"/>
    <w:rsid w:val="00520E89"/>
    <w:rsid w:val="00521459"/>
    <w:rsid w:val="00521973"/>
    <w:rsid w:val="0052295B"/>
    <w:rsid w:val="00522AB3"/>
    <w:rsid w:val="00523833"/>
    <w:rsid w:val="0052443C"/>
    <w:rsid w:val="00525252"/>
    <w:rsid w:val="005252A9"/>
    <w:rsid w:val="005254EA"/>
    <w:rsid w:val="005256A5"/>
    <w:rsid w:val="00525837"/>
    <w:rsid w:val="00525A9D"/>
    <w:rsid w:val="00525C4C"/>
    <w:rsid w:val="00525C5D"/>
    <w:rsid w:val="00526040"/>
    <w:rsid w:val="00527323"/>
    <w:rsid w:val="005278F5"/>
    <w:rsid w:val="00527AA2"/>
    <w:rsid w:val="00527E63"/>
    <w:rsid w:val="0053044F"/>
    <w:rsid w:val="005305DC"/>
    <w:rsid w:val="00530C82"/>
    <w:rsid w:val="00530D2F"/>
    <w:rsid w:val="00530F8F"/>
    <w:rsid w:val="00531314"/>
    <w:rsid w:val="00531424"/>
    <w:rsid w:val="005315DA"/>
    <w:rsid w:val="00531A99"/>
    <w:rsid w:val="00531B9D"/>
    <w:rsid w:val="00531F07"/>
    <w:rsid w:val="0053240D"/>
    <w:rsid w:val="00532653"/>
    <w:rsid w:val="005337D2"/>
    <w:rsid w:val="00533E23"/>
    <w:rsid w:val="00534681"/>
    <w:rsid w:val="005353A6"/>
    <w:rsid w:val="0053591A"/>
    <w:rsid w:val="00535930"/>
    <w:rsid w:val="00535EAA"/>
    <w:rsid w:val="0053602F"/>
    <w:rsid w:val="0053609A"/>
    <w:rsid w:val="005360FF"/>
    <w:rsid w:val="0053640A"/>
    <w:rsid w:val="00537699"/>
    <w:rsid w:val="00537950"/>
    <w:rsid w:val="005407F2"/>
    <w:rsid w:val="00540A6D"/>
    <w:rsid w:val="00541196"/>
    <w:rsid w:val="005411B6"/>
    <w:rsid w:val="005420CC"/>
    <w:rsid w:val="005422CD"/>
    <w:rsid w:val="0054252E"/>
    <w:rsid w:val="00542EF1"/>
    <w:rsid w:val="0054398E"/>
    <w:rsid w:val="00543C22"/>
    <w:rsid w:val="00544142"/>
    <w:rsid w:val="00544785"/>
    <w:rsid w:val="00545624"/>
    <w:rsid w:val="00545D3B"/>
    <w:rsid w:val="00546382"/>
    <w:rsid w:val="00546631"/>
    <w:rsid w:val="00546748"/>
    <w:rsid w:val="00546EEF"/>
    <w:rsid w:val="0055125F"/>
    <w:rsid w:val="00552196"/>
    <w:rsid w:val="00552628"/>
    <w:rsid w:val="005533AA"/>
    <w:rsid w:val="00553C4E"/>
    <w:rsid w:val="00553CA2"/>
    <w:rsid w:val="00554579"/>
    <w:rsid w:val="00554ED8"/>
    <w:rsid w:val="0055501E"/>
    <w:rsid w:val="00556539"/>
    <w:rsid w:val="0055698D"/>
    <w:rsid w:val="00556AF2"/>
    <w:rsid w:val="00556E3B"/>
    <w:rsid w:val="00557EDB"/>
    <w:rsid w:val="005601F7"/>
    <w:rsid w:val="00560791"/>
    <w:rsid w:val="0056129F"/>
    <w:rsid w:val="005612C9"/>
    <w:rsid w:val="00561C8E"/>
    <w:rsid w:val="00562061"/>
    <w:rsid w:val="00563422"/>
    <w:rsid w:val="00563BB6"/>
    <w:rsid w:val="00564772"/>
    <w:rsid w:val="00564828"/>
    <w:rsid w:val="00565067"/>
    <w:rsid w:val="0056517B"/>
    <w:rsid w:val="00565409"/>
    <w:rsid w:val="00566461"/>
    <w:rsid w:val="0056690B"/>
    <w:rsid w:val="00566E09"/>
    <w:rsid w:val="00567016"/>
    <w:rsid w:val="0056728C"/>
    <w:rsid w:val="005672E8"/>
    <w:rsid w:val="005673AE"/>
    <w:rsid w:val="00567ECE"/>
    <w:rsid w:val="00567FD4"/>
    <w:rsid w:val="005700F3"/>
    <w:rsid w:val="0057085A"/>
    <w:rsid w:val="005711C9"/>
    <w:rsid w:val="00571ED7"/>
    <w:rsid w:val="00573084"/>
    <w:rsid w:val="00573E68"/>
    <w:rsid w:val="0057426D"/>
    <w:rsid w:val="005753DE"/>
    <w:rsid w:val="005761D1"/>
    <w:rsid w:val="00576676"/>
    <w:rsid w:val="00576761"/>
    <w:rsid w:val="00576991"/>
    <w:rsid w:val="0057716C"/>
    <w:rsid w:val="005773E1"/>
    <w:rsid w:val="005773E8"/>
    <w:rsid w:val="0057797F"/>
    <w:rsid w:val="00580040"/>
    <w:rsid w:val="005806DC"/>
    <w:rsid w:val="00581297"/>
    <w:rsid w:val="005813E8"/>
    <w:rsid w:val="00581A79"/>
    <w:rsid w:val="00581AE7"/>
    <w:rsid w:val="00582E50"/>
    <w:rsid w:val="00582FBC"/>
    <w:rsid w:val="0058316E"/>
    <w:rsid w:val="0058361F"/>
    <w:rsid w:val="00583729"/>
    <w:rsid w:val="00583B3B"/>
    <w:rsid w:val="00583F72"/>
    <w:rsid w:val="00583F7A"/>
    <w:rsid w:val="00584A5C"/>
    <w:rsid w:val="00585297"/>
    <w:rsid w:val="00585C36"/>
    <w:rsid w:val="00585D48"/>
    <w:rsid w:val="00586250"/>
    <w:rsid w:val="00586711"/>
    <w:rsid w:val="00586AE8"/>
    <w:rsid w:val="00587A55"/>
    <w:rsid w:val="00587FEC"/>
    <w:rsid w:val="00590F19"/>
    <w:rsid w:val="00591A0D"/>
    <w:rsid w:val="00591BA7"/>
    <w:rsid w:val="00592677"/>
    <w:rsid w:val="00592F5C"/>
    <w:rsid w:val="0059348E"/>
    <w:rsid w:val="0059382C"/>
    <w:rsid w:val="005938F6"/>
    <w:rsid w:val="00593B03"/>
    <w:rsid w:val="00593F25"/>
    <w:rsid w:val="005943E9"/>
    <w:rsid w:val="00595193"/>
    <w:rsid w:val="0059542D"/>
    <w:rsid w:val="00596350"/>
    <w:rsid w:val="00596A2E"/>
    <w:rsid w:val="00597803"/>
    <w:rsid w:val="005A024A"/>
    <w:rsid w:val="005A06A0"/>
    <w:rsid w:val="005A09F6"/>
    <w:rsid w:val="005A0C3D"/>
    <w:rsid w:val="005A0E7B"/>
    <w:rsid w:val="005A11A4"/>
    <w:rsid w:val="005A1981"/>
    <w:rsid w:val="005A1E62"/>
    <w:rsid w:val="005A1E6E"/>
    <w:rsid w:val="005A21D5"/>
    <w:rsid w:val="005A3AB7"/>
    <w:rsid w:val="005A3CBB"/>
    <w:rsid w:val="005A4454"/>
    <w:rsid w:val="005A452D"/>
    <w:rsid w:val="005A5DF0"/>
    <w:rsid w:val="005A62F7"/>
    <w:rsid w:val="005A6D07"/>
    <w:rsid w:val="005A6F56"/>
    <w:rsid w:val="005A7366"/>
    <w:rsid w:val="005A7A2D"/>
    <w:rsid w:val="005A7B13"/>
    <w:rsid w:val="005B04B7"/>
    <w:rsid w:val="005B0702"/>
    <w:rsid w:val="005B16B1"/>
    <w:rsid w:val="005B1849"/>
    <w:rsid w:val="005B1CCB"/>
    <w:rsid w:val="005B1D32"/>
    <w:rsid w:val="005B2974"/>
    <w:rsid w:val="005B29BF"/>
    <w:rsid w:val="005B2AAB"/>
    <w:rsid w:val="005B33E7"/>
    <w:rsid w:val="005B35B7"/>
    <w:rsid w:val="005B3B56"/>
    <w:rsid w:val="005B3D6E"/>
    <w:rsid w:val="005B4225"/>
    <w:rsid w:val="005B4872"/>
    <w:rsid w:val="005B4889"/>
    <w:rsid w:val="005B56F4"/>
    <w:rsid w:val="005B593D"/>
    <w:rsid w:val="005B5DA4"/>
    <w:rsid w:val="005B5E47"/>
    <w:rsid w:val="005B5E4B"/>
    <w:rsid w:val="005B63F9"/>
    <w:rsid w:val="005B689A"/>
    <w:rsid w:val="005B69E9"/>
    <w:rsid w:val="005B6BF8"/>
    <w:rsid w:val="005B71A6"/>
    <w:rsid w:val="005B73AD"/>
    <w:rsid w:val="005B7481"/>
    <w:rsid w:val="005C01CA"/>
    <w:rsid w:val="005C02B4"/>
    <w:rsid w:val="005C049D"/>
    <w:rsid w:val="005C05FA"/>
    <w:rsid w:val="005C0A39"/>
    <w:rsid w:val="005C160B"/>
    <w:rsid w:val="005C1BB6"/>
    <w:rsid w:val="005C27B3"/>
    <w:rsid w:val="005C40B2"/>
    <w:rsid w:val="005C40CE"/>
    <w:rsid w:val="005C4294"/>
    <w:rsid w:val="005C4928"/>
    <w:rsid w:val="005C4AD7"/>
    <w:rsid w:val="005C4AF9"/>
    <w:rsid w:val="005C5189"/>
    <w:rsid w:val="005C574F"/>
    <w:rsid w:val="005C5B6E"/>
    <w:rsid w:val="005C5E85"/>
    <w:rsid w:val="005C607C"/>
    <w:rsid w:val="005C6BB3"/>
    <w:rsid w:val="005C6CA7"/>
    <w:rsid w:val="005C7313"/>
    <w:rsid w:val="005C7E77"/>
    <w:rsid w:val="005D0181"/>
    <w:rsid w:val="005D07BA"/>
    <w:rsid w:val="005D1BEE"/>
    <w:rsid w:val="005D2171"/>
    <w:rsid w:val="005D2345"/>
    <w:rsid w:val="005D252A"/>
    <w:rsid w:val="005D2658"/>
    <w:rsid w:val="005D26F5"/>
    <w:rsid w:val="005D2739"/>
    <w:rsid w:val="005D591A"/>
    <w:rsid w:val="005D7120"/>
    <w:rsid w:val="005D763E"/>
    <w:rsid w:val="005D7EB3"/>
    <w:rsid w:val="005E004B"/>
    <w:rsid w:val="005E021E"/>
    <w:rsid w:val="005E09F1"/>
    <w:rsid w:val="005E0CE0"/>
    <w:rsid w:val="005E2A23"/>
    <w:rsid w:val="005E2AFF"/>
    <w:rsid w:val="005E2F39"/>
    <w:rsid w:val="005E2FC6"/>
    <w:rsid w:val="005E3BD5"/>
    <w:rsid w:val="005E40FD"/>
    <w:rsid w:val="005E5CB0"/>
    <w:rsid w:val="005E6305"/>
    <w:rsid w:val="005E63BB"/>
    <w:rsid w:val="005E6D37"/>
    <w:rsid w:val="005E6E16"/>
    <w:rsid w:val="005E73DC"/>
    <w:rsid w:val="005E791D"/>
    <w:rsid w:val="005E7ACB"/>
    <w:rsid w:val="005E7AEC"/>
    <w:rsid w:val="005E7B61"/>
    <w:rsid w:val="005E7CA6"/>
    <w:rsid w:val="005F0265"/>
    <w:rsid w:val="005F0A21"/>
    <w:rsid w:val="005F0AC6"/>
    <w:rsid w:val="005F0D61"/>
    <w:rsid w:val="005F1C8D"/>
    <w:rsid w:val="005F24F1"/>
    <w:rsid w:val="005F28EC"/>
    <w:rsid w:val="005F2B65"/>
    <w:rsid w:val="005F3693"/>
    <w:rsid w:val="005F3FE7"/>
    <w:rsid w:val="005F44CB"/>
    <w:rsid w:val="005F4B74"/>
    <w:rsid w:val="005F503A"/>
    <w:rsid w:val="005F521E"/>
    <w:rsid w:val="005F5323"/>
    <w:rsid w:val="005F570D"/>
    <w:rsid w:val="005F588B"/>
    <w:rsid w:val="005F5976"/>
    <w:rsid w:val="005F612F"/>
    <w:rsid w:val="005F61AB"/>
    <w:rsid w:val="005F64A5"/>
    <w:rsid w:val="005F712B"/>
    <w:rsid w:val="005F7B3D"/>
    <w:rsid w:val="005F7C92"/>
    <w:rsid w:val="006002C5"/>
    <w:rsid w:val="006007D8"/>
    <w:rsid w:val="00600BF1"/>
    <w:rsid w:val="006014C9"/>
    <w:rsid w:val="00601713"/>
    <w:rsid w:val="00601805"/>
    <w:rsid w:val="00601997"/>
    <w:rsid w:val="00601D99"/>
    <w:rsid w:val="00603033"/>
    <w:rsid w:val="00603DBA"/>
    <w:rsid w:val="0060442C"/>
    <w:rsid w:val="006055D6"/>
    <w:rsid w:val="00605AA2"/>
    <w:rsid w:val="00605E83"/>
    <w:rsid w:val="00606230"/>
    <w:rsid w:val="0060625E"/>
    <w:rsid w:val="00606274"/>
    <w:rsid w:val="006063D0"/>
    <w:rsid w:val="00606724"/>
    <w:rsid w:val="0060691A"/>
    <w:rsid w:val="00606FFA"/>
    <w:rsid w:val="00607AB3"/>
    <w:rsid w:val="0061027B"/>
    <w:rsid w:val="00610B3B"/>
    <w:rsid w:val="00610BA0"/>
    <w:rsid w:val="00610DE5"/>
    <w:rsid w:val="006120BA"/>
    <w:rsid w:val="00612370"/>
    <w:rsid w:val="00613E36"/>
    <w:rsid w:val="006145E3"/>
    <w:rsid w:val="00614F80"/>
    <w:rsid w:val="006156D4"/>
    <w:rsid w:val="00615937"/>
    <w:rsid w:val="00615D42"/>
    <w:rsid w:val="006160E0"/>
    <w:rsid w:val="006161DA"/>
    <w:rsid w:val="00617309"/>
    <w:rsid w:val="00620333"/>
    <w:rsid w:val="006208CD"/>
    <w:rsid w:val="00620DA1"/>
    <w:rsid w:val="00621145"/>
    <w:rsid w:val="0062182E"/>
    <w:rsid w:val="00621F9C"/>
    <w:rsid w:val="00623978"/>
    <w:rsid w:val="00623B63"/>
    <w:rsid w:val="0062435D"/>
    <w:rsid w:val="00624DCA"/>
    <w:rsid w:val="00625684"/>
    <w:rsid w:val="00625FBE"/>
    <w:rsid w:val="00626151"/>
    <w:rsid w:val="00626C00"/>
    <w:rsid w:val="006279F1"/>
    <w:rsid w:val="0063057B"/>
    <w:rsid w:val="00630AE4"/>
    <w:rsid w:val="00630FA4"/>
    <w:rsid w:val="00631D9E"/>
    <w:rsid w:val="00631E1D"/>
    <w:rsid w:val="00632EE3"/>
    <w:rsid w:val="00634733"/>
    <w:rsid w:val="00634F30"/>
    <w:rsid w:val="0063509C"/>
    <w:rsid w:val="00635657"/>
    <w:rsid w:val="00636508"/>
    <w:rsid w:val="00637E53"/>
    <w:rsid w:val="006400B7"/>
    <w:rsid w:val="00640498"/>
    <w:rsid w:val="00641CA7"/>
    <w:rsid w:val="00641CDF"/>
    <w:rsid w:val="00641E0A"/>
    <w:rsid w:val="006421D2"/>
    <w:rsid w:val="0064273F"/>
    <w:rsid w:val="00642865"/>
    <w:rsid w:val="00643033"/>
    <w:rsid w:val="006431C2"/>
    <w:rsid w:val="00643483"/>
    <w:rsid w:val="00643C92"/>
    <w:rsid w:val="00643D4F"/>
    <w:rsid w:val="006450B2"/>
    <w:rsid w:val="00645535"/>
    <w:rsid w:val="00645BA3"/>
    <w:rsid w:val="00646887"/>
    <w:rsid w:val="006476BC"/>
    <w:rsid w:val="00650709"/>
    <w:rsid w:val="00650F39"/>
    <w:rsid w:val="00651869"/>
    <w:rsid w:val="0065212E"/>
    <w:rsid w:val="0065225C"/>
    <w:rsid w:val="0065246C"/>
    <w:rsid w:val="00653931"/>
    <w:rsid w:val="00653A04"/>
    <w:rsid w:val="00653F22"/>
    <w:rsid w:val="00654344"/>
    <w:rsid w:val="00654B60"/>
    <w:rsid w:val="00654C09"/>
    <w:rsid w:val="00654DBD"/>
    <w:rsid w:val="00655EFF"/>
    <w:rsid w:val="006560CA"/>
    <w:rsid w:val="006561E7"/>
    <w:rsid w:val="00656FC5"/>
    <w:rsid w:val="00657E69"/>
    <w:rsid w:val="006605AD"/>
    <w:rsid w:val="00661BEF"/>
    <w:rsid w:val="00661F6A"/>
    <w:rsid w:val="00662192"/>
    <w:rsid w:val="0066223E"/>
    <w:rsid w:val="00662714"/>
    <w:rsid w:val="006628C2"/>
    <w:rsid w:val="00662961"/>
    <w:rsid w:val="00662B6E"/>
    <w:rsid w:val="006634BB"/>
    <w:rsid w:val="00663F8C"/>
    <w:rsid w:val="00664CA4"/>
    <w:rsid w:val="006658EE"/>
    <w:rsid w:val="00665BC8"/>
    <w:rsid w:val="00665E33"/>
    <w:rsid w:val="00666228"/>
    <w:rsid w:val="006668B2"/>
    <w:rsid w:val="00666BEB"/>
    <w:rsid w:val="00666F9D"/>
    <w:rsid w:val="0066703B"/>
    <w:rsid w:val="00667718"/>
    <w:rsid w:val="006700BD"/>
    <w:rsid w:val="0067070E"/>
    <w:rsid w:val="00670749"/>
    <w:rsid w:val="00670ABB"/>
    <w:rsid w:val="00671853"/>
    <w:rsid w:val="0067203C"/>
    <w:rsid w:val="0067279F"/>
    <w:rsid w:val="00672902"/>
    <w:rsid w:val="00672B83"/>
    <w:rsid w:val="00672D7D"/>
    <w:rsid w:val="0067348D"/>
    <w:rsid w:val="00675799"/>
    <w:rsid w:val="00675FF9"/>
    <w:rsid w:val="0067609F"/>
    <w:rsid w:val="0067686B"/>
    <w:rsid w:val="00677022"/>
    <w:rsid w:val="006772C3"/>
    <w:rsid w:val="00677451"/>
    <w:rsid w:val="00680621"/>
    <w:rsid w:val="00680C67"/>
    <w:rsid w:val="00681135"/>
    <w:rsid w:val="00681DC0"/>
    <w:rsid w:val="00681EF9"/>
    <w:rsid w:val="00682125"/>
    <w:rsid w:val="00682BDC"/>
    <w:rsid w:val="00682E9E"/>
    <w:rsid w:val="006846F8"/>
    <w:rsid w:val="00684823"/>
    <w:rsid w:val="00684F82"/>
    <w:rsid w:val="00685D5A"/>
    <w:rsid w:val="0068604C"/>
    <w:rsid w:val="00686144"/>
    <w:rsid w:val="006866DA"/>
    <w:rsid w:val="00686757"/>
    <w:rsid w:val="006870B3"/>
    <w:rsid w:val="00687311"/>
    <w:rsid w:val="006874BE"/>
    <w:rsid w:val="006877C1"/>
    <w:rsid w:val="00690444"/>
    <w:rsid w:val="00690929"/>
    <w:rsid w:val="0069149F"/>
    <w:rsid w:val="0069165B"/>
    <w:rsid w:val="00691CE4"/>
    <w:rsid w:val="00691E4D"/>
    <w:rsid w:val="0069286F"/>
    <w:rsid w:val="006931AE"/>
    <w:rsid w:val="006939CF"/>
    <w:rsid w:val="00693EF3"/>
    <w:rsid w:val="0069485B"/>
    <w:rsid w:val="00694FDC"/>
    <w:rsid w:val="006957F2"/>
    <w:rsid w:val="00697117"/>
    <w:rsid w:val="00697A85"/>
    <w:rsid w:val="00697E17"/>
    <w:rsid w:val="006A05C7"/>
    <w:rsid w:val="006A0A1B"/>
    <w:rsid w:val="006A0F8D"/>
    <w:rsid w:val="006A1187"/>
    <w:rsid w:val="006A17D4"/>
    <w:rsid w:val="006A1844"/>
    <w:rsid w:val="006A192A"/>
    <w:rsid w:val="006A227E"/>
    <w:rsid w:val="006A237C"/>
    <w:rsid w:val="006A2677"/>
    <w:rsid w:val="006A2F9D"/>
    <w:rsid w:val="006A326F"/>
    <w:rsid w:val="006A487D"/>
    <w:rsid w:val="006A68FD"/>
    <w:rsid w:val="006A6ED2"/>
    <w:rsid w:val="006A73C4"/>
    <w:rsid w:val="006A748D"/>
    <w:rsid w:val="006A7680"/>
    <w:rsid w:val="006A7742"/>
    <w:rsid w:val="006A7A74"/>
    <w:rsid w:val="006B0339"/>
    <w:rsid w:val="006B03C7"/>
    <w:rsid w:val="006B08FA"/>
    <w:rsid w:val="006B0B94"/>
    <w:rsid w:val="006B0DD0"/>
    <w:rsid w:val="006B176A"/>
    <w:rsid w:val="006B1DB6"/>
    <w:rsid w:val="006B259B"/>
    <w:rsid w:val="006B354E"/>
    <w:rsid w:val="006B3736"/>
    <w:rsid w:val="006B3F18"/>
    <w:rsid w:val="006B3F37"/>
    <w:rsid w:val="006B46D5"/>
    <w:rsid w:val="006B584D"/>
    <w:rsid w:val="006B6237"/>
    <w:rsid w:val="006B66F8"/>
    <w:rsid w:val="006B6BB0"/>
    <w:rsid w:val="006C0A29"/>
    <w:rsid w:val="006C1617"/>
    <w:rsid w:val="006C1F9B"/>
    <w:rsid w:val="006C2DE3"/>
    <w:rsid w:val="006C313B"/>
    <w:rsid w:val="006C317C"/>
    <w:rsid w:val="006C4067"/>
    <w:rsid w:val="006C4450"/>
    <w:rsid w:val="006C484B"/>
    <w:rsid w:val="006C4E74"/>
    <w:rsid w:val="006C5D4F"/>
    <w:rsid w:val="006C6741"/>
    <w:rsid w:val="006C67F7"/>
    <w:rsid w:val="006C68BB"/>
    <w:rsid w:val="006C6DCA"/>
    <w:rsid w:val="006C6EB1"/>
    <w:rsid w:val="006C7218"/>
    <w:rsid w:val="006C72F4"/>
    <w:rsid w:val="006C7FD4"/>
    <w:rsid w:val="006D0BBA"/>
    <w:rsid w:val="006D15C8"/>
    <w:rsid w:val="006D1709"/>
    <w:rsid w:val="006D17A4"/>
    <w:rsid w:val="006D1F51"/>
    <w:rsid w:val="006D26A4"/>
    <w:rsid w:val="006D2836"/>
    <w:rsid w:val="006D2853"/>
    <w:rsid w:val="006D2C75"/>
    <w:rsid w:val="006D30E7"/>
    <w:rsid w:val="006D3285"/>
    <w:rsid w:val="006D3472"/>
    <w:rsid w:val="006D34E3"/>
    <w:rsid w:val="006D3855"/>
    <w:rsid w:val="006D480A"/>
    <w:rsid w:val="006D48F6"/>
    <w:rsid w:val="006D499B"/>
    <w:rsid w:val="006D501B"/>
    <w:rsid w:val="006D5285"/>
    <w:rsid w:val="006D5A1D"/>
    <w:rsid w:val="006D6498"/>
    <w:rsid w:val="006D6A0A"/>
    <w:rsid w:val="006D731B"/>
    <w:rsid w:val="006D79FD"/>
    <w:rsid w:val="006D7ACD"/>
    <w:rsid w:val="006E02D2"/>
    <w:rsid w:val="006E060D"/>
    <w:rsid w:val="006E08BF"/>
    <w:rsid w:val="006E0F87"/>
    <w:rsid w:val="006E2738"/>
    <w:rsid w:val="006E2849"/>
    <w:rsid w:val="006E2D00"/>
    <w:rsid w:val="006E2D79"/>
    <w:rsid w:val="006E33FF"/>
    <w:rsid w:val="006E3B91"/>
    <w:rsid w:val="006E45EB"/>
    <w:rsid w:val="006E466C"/>
    <w:rsid w:val="006E5142"/>
    <w:rsid w:val="006E5182"/>
    <w:rsid w:val="006E5497"/>
    <w:rsid w:val="006E5B6C"/>
    <w:rsid w:val="006E5CBC"/>
    <w:rsid w:val="006E5D68"/>
    <w:rsid w:val="006E5DF9"/>
    <w:rsid w:val="006E681E"/>
    <w:rsid w:val="006E6E1A"/>
    <w:rsid w:val="006E7149"/>
    <w:rsid w:val="006E78AA"/>
    <w:rsid w:val="006E7A50"/>
    <w:rsid w:val="006F09A5"/>
    <w:rsid w:val="006F0AAD"/>
    <w:rsid w:val="006F1F9A"/>
    <w:rsid w:val="006F2467"/>
    <w:rsid w:val="006F24BD"/>
    <w:rsid w:val="006F2B21"/>
    <w:rsid w:val="006F2BBB"/>
    <w:rsid w:val="006F34F6"/>
    <w:rsid w:val="006F3F0B"/>
    <w:rsid w:val="006F3F40"/>
    <w:rsid w:val="006F417C"/>
    <w:rsid w:val="006F435A"/>
    <w:rsid w:val="006F4CD9"/>
    <w:rsid w:val="006F5A55"/>
    <w:rsid w:val="006F5CEA"/>
    <w:rsid w:val="006F6116"/>
    <w:rsid w:val="006F6D26"/>
    <w:rsid w:val="006F6F0F"/>
    <w:rsid w:val="006F74A6"/>
    <w:rsid w:val="006F775D"/>
    <w:rsid w:val="007006B9"/>
    <w:rsid w:val="0070162F"/>
    <w:rsid w:val="00701764"/>
    <w:rsid w:val="007017AA"/>
    <w:rsid w:val="007019A0"/>
    <w:rsid w:val="00701FE6"/>
    <w:rsid w:val="00702355"/>
    <w:rsid w:val="0070287D"/>
    <w:rsid w:val="00702E5B"/>
    <w:rsid w:val="00702F04"/>
    <w:rsid w:val="00703EB0"/>
    <w:rsid w:val="00704255"/>
    <w:rsid w:val="00704C91"/>
    <w:rsid w:val="00704CC1"/>
    <w:rsid w:val="007054E4"/>
    <w:rsid w:val="00705C15"/>
    <w:rsid w:val="00705DF0"/>
    <w:rsid w:val="007067F6"/>
    <w:rsid w:val="00706C0D"/>
    <w:rsid w:val="00706EB2"/>
    <w:rsid w:val="0070740C"/>
    <w:rsid w:val="00707909"/>
    <w:rsid w:val="00707998"/>
    <w:rsid w:val="00710154"/>
    <w:rsid w:val="007101AE"/>
    <w:rsid w:val="007111AB"/>
    <w:rsid w:val="00712BA0"/>
    <w:rsid w:val="00712ED3"/>
    <w:rsid w:val="0071309F"/>
    <w:rsid w:val="007140FE"/>
    <w:rsid w:val="00714383"/>
    <w:rsid w:val="007150EB"/>
    <w:rsid w:val="00716755"/>
    <w:rsid w:val="0071701A"/>
    <w:rsid w:val="00717BC6"/>
    <w:rsid w:val="007200A2"/>
    <w:rsid w:val="0072020B"/>
    <w:rsid w:val="0072144C"/>
    <w:rsid w:val="00721725"/>
    <w:rsid w:val="007227C9"/>
    <w:rsid w:val="0072296E"/>
    <w:rsid w:val="007235B1"/>
    <w:rsid w:val="007236A1"/>
    <w:rsid w:val="00723890"/>
    <w:rsid w:val="007238A1"/>
    <w:rsid w:val="00724025"/>
    <w:rsid w:val="00724595"/>
    <w:rsid w:val="007248B1"/>
    <w:rsid w:val="00724C54"/>
    <w:rsid w:val="007252D9"/>
    <w:rsid w:val="00725637"/>
    <w:rsid w:val="007258DE"/>
    <w:rsid w:val="00726222"/>
    <w:rsid w:val="00727844"/>
    <w:rsid w:val="00727DCA"/>
    <w:rsid w:val="0073046E"/>
    <w:rsid w:val="007306EB"/>
    <w:rsid w:val="00730C71"/>
    <w:rsid w:val="00731146"/>
    <w:rsid w:val="00731881"/>
    <w:rsid w:val="00731E37"/>
    <w:rsid w:val="00731F83"/>
    <w:rsid w:val="007322AB"/>
    <w:rsid w:val="0073299D"/>
    <w:rsid w:val="00732D73"/>
    <w:rsid w:val="00732E95"/>
    <w:rsid w:val="007333FE"/>
    <w:rsid w:val="0073415F"/>
    <w:rsid w:val="00734879"/>
    <w:rsid w:val="00735190"/>
    <w:rsid w:val="00735393"/>
    <w:rsid w:val="00735852"/>
    <w:rsid w:val="00735D3B"/>
    <w:rsid w:val="00735DCB"/>
    <w:rsid w:val="007365AC"/>
    <w:rsid w:val="007404E2"/>
    <w:rsid w:val="007406E0"/>
    <w:rsid w:val="00740A5B"/>
    <w:rsid w:val="00740DE9"/>
    <w:rsid w:val="00741C94"/>
    <w:rsid w:val="00741CAF"/>
    <w:rsid w:val="00741E1A"/>
    <w:rsid w:val="00742C46"/>
    <w:rsid w:val="00744C9D"/>
    <w:rsid w:val="00745559"/>
    <w:rsid w:val="00746820"/>
    <w:rsid w:val="00746BBB"/>
    <w:rsid w:val="007474C3"/>
    <w:rsid w:val="0074790D"/>
    <w:rsid w:val="00747B87"/>
    <w:rsid w:val="00747E81"/>
    <w:rsid w:val="00750931"/>
    <w:rsid w:val="0075117D"/>
    <w:rsid w:val="007537D0"/>
    <w:rsid w:val="00753ED7"/>
    <w:rsid w:val="00753FE2"/>
    <w:rsid w:val="0075466D"/>
    <w:rsid w:val="007549E1"/>
    <w:rsid w:val="00754A1E"/>
    <w:rsid w:val="00754F04"/>
    <w:rsid w:val="007561B4"/>
    <w:rsid w:val="007561EC"/>
    <w:rsid w:val="00756474"/>
    <w:rsid w:val="007567AD"/>
    <w:rsid w:val="00756A51"/>
    <w:rsid w:val="00756AC5"/>
    <w:rsid w:val="00756B7A"/>
    <w:rsid w:val="00756FA0"/>
    <w:rsid w:val="00757121"/>
    <w:rsid w:val="007573AD"/>
    <w:rsid w:val="00757442"/>
    <w:rsid w:val="00757C77"/>
    <w:rsid w:val="00757DF3"/>
    <w:rsid w:val="00757FDF"/>
    <w:rsid w:val="007601FB"/>
    <w:rsid w:val="00760280"/>
    <w:rsid w:val="00760FD8"/>
    <w:rsid w:val="00761E12"/>
    <w:rsid w:val="00762859"/>
    <w:rsid w:val="00762CC4"/>
    <w:rsid w:val="00763393"/>
    <w:rsid w:val="0076393A"/>
    <w:rsid w:val="0076396D"/>
    <w:rsid w:val="00763CDD"/>
    <w:rsid w:val="007668E0"/>
    <w:rsid w:val="00766924"/>
    <w:rsid w:val="00766F0B"/>
    <w:rsid w:val="007671B5"/>
    <w:rsid w:val="00770040"/>
    <w:rsid w:val="00771985"/>
    <w:rsid w:val="00771FA6"/>
    <w:rsid w:val="007726B1"/>
    <w:rsid w:val="00772985"/>
    <w:rsid w:val="00772A24"/>
    <w:rsid w:val="0077320F"/>
    <w:rsid w:val="00773A95"/>
    <w:rsid w:val="00773DFF"/>
    <w:rsid w:val="00773F64"/>
    <w:rsid w:val="007743BD"/>
    <w:rsid w:val="007743C3"/>
    <w:rsid w:val="007752EE"/>
    <w:rsid w:val="0077569D"/>
    <w:rsid w:val="00775874"/>
    <w:rsid w:val="007769B9"/>
    <w:rsid w:val="00776B72"/>
    <w:rsid w:val="00776BE0"/>
    <w:rsid w:val="007770E5"/>
    <w:rsid w:val="007777B6"/>
    <w:rsid w:val="00777A2E"/>
    <w:rsid w:val="007800E7"/>
    <w:rsid w:val="00780245"/>
    <w:rsid w:val="00780A75"/>
    <w:rsid w:val="007810A3"/>
    <w:rsid w:val="00781447"/>
    <w:rsid w:val="00781729"/>
    <w:rsid w:val="00781747"/>
    <w:rsid w:val="007819D1"/>
    <w:rsid w:val="00781E15"/>
    <w:rsid w:val="00781F52"/>
    <w:rsid w:val="00782190"/>
    <w:rsid w:val="007823FA"/>
    <w:rsid w:val="0078247C"/>
    <w:rsid w:val="00782C00"/>
    <w:rsid w:val="00783686"/>
    <w:rsid w:val="0078515F"/>
    <w:rsid w:val="007869A0"/>
    <w:rsid w:val="00786DDB"/>
    <w:rsid w:val="0078703F"/>
    <w:rsid w:val="007879EE"/>
    <w:rsid w:val="00787CC8"/>
    <w:rsid w:val="00790738"/>
    <w:rsid w:val="00791F81"/>
    <w:rsid w:val="007924CE"/>
    <w:rsid w:val="0079278D"/>
    <w:rsid w:val="00792E85"/>
    <w:rsid w:val="0079381E"/>
    <w:rsid w:val="0079386A"/>
    <w:rsid w:val="0079397F"/>
    <w:rsid w:val="00794333"/>
    <w:rsid w:val="007946C9"/>
    <w:rsid w:val="00795132"/>
    <w:rsid w:val="00795E6C"/>
    <w:rsid w:val="007960D1"/>
    <w:rsid w:val="007968E5"/>
    <w:rsid w:val="00796B2A"/>
    <w:rsid w:val="00796CB8"/>
    <w:rsid w:val="00797096"/>
    <w:rsid w:val="007979FB"/>
    <w:rsid w:val="007A0881"/>
    <w:rsid w:val="007A0EB1"/>
    <w:rsid w:val="007A25D3"/>
    <w:rsid w:val="007A2A5A"/>
    <w:rsid w:val="007A340A"/>
    <w:rsid w:val="007A3BFB"/>
    <w:rsid w:val="007A3F41"/>
    <w:rsid w:val="007A42FE"/>
    <w:rsid w:val="007A44D3"/>
    <w:rsid w:val="007A4C4B"/>
    <w:rsid w:val="007A4E5E"/>
    <w:rsid w:val="007A581E"/>
    <w:rsid w:val="007A6602"/>
    <w:rsid w:val="007A68B0"/>
    <w:rsid w:val="007A738C"/>
    <w:rsid w:val="007A777D"/>
    <w:rsid w:val="007A7AC2"/>
    <w:rsid w:val="007A7B0E"/>
    <w:rsid w:val="007A7BF4"/>
    <w:rsid w:val="007B10AA"/>
    <w:rsid w:val="007B1524"/>
    <w:rsid w:val="007B1768"/>
    <w:rsid w:val="007B2766"/>
    <w:rsid w:val="007B304F"/>
    <w:rsid w:val="007B345A"/>
    <w:rsid w:val="007B3531"/>
    <w:rsid w:val="007B4744"/>
    <w:rsid w:val="007B4BAD"/>
    <w:rsid w:val="007B5F15"/>
    <w:rsid w:val="007B6678"/>
    <w:rsid w:val="007B75AA"/>
    <w:rsid w:val="007C1427"/>
    <w:rsid w:val="007C1FD2"/>
    <w:rsid w:val="007C21BE"/>
    <w:rsid w:val="007C2AEC"/>
    <w:rsid w:val="007C2D10"/>
    <w:rsid w:val="007C3370"/>
    <w:rsid w:val="007C3739"/>
    <w:rsid w:val="007C3774"/>
    <w:rsid w:val="007C3EB4"/>
    <w:rsid w:val="007C4131"/>
    <w:rsid w:val="007C47BB"/>
    <w:rsid w:val="007C47F6"/>
    <w:rsid w:val="007C4F43"/>
    <w:rsid w:val="007C4FCF"/>
    <w:rsid w:val="007C5031"/>
    <w:rsid w:val="007C529E"/>
    <w:rsid w:val="007C569D"/>
    <w:rsid w:val="007C5FA3"/>
    <w:rsid w:val="007C62F6"/>
    <w:rsid w:val="007C635C"/>
    <w:rsid w:val="007C64BA"/>
    <w:rsid w:val="007C6A99"/>
    <w:rsid w:val="007C6E00"/>
    <w:rsid w:val="007C7797"/>
    <w:rsid w:val="007C77BB"/>
    <w:rsid w:val="007D0665"/>
    <w:rsid w:val="007D0D6A"/>
    <w:rsid w:val="007D1494"/>
    <w:rsid w:val="007D22BF"/>
    <w:rsid w:val="007D24EA"/>
    <w:rsid w:val="007D2D09"/>
    <w:rsid w:val="007D3805"/>
    <w:rsid w:val="007D38CA"/>
    <w:rsid w:val="007D4817"/>
    <w:rsid w:val="007D4BBA"/>
    <w:rsid w:val="007D4BC6"/>
    <w:rsid w:val="007D4F8E"/>
    <w:rsid w:val="007D5298"/>
    <w:rsid w:val="007D5435"/>
    <w:rsid w:val="007D5747"/>
    <w:rsid w:val="007D698F"/>
    <w:rsid w:val="007D6B52"/>
    <w:rsid w:val="007D6FD6"/>
    <w:rsid w:val="007D7748"/>
    <w:rsid w:val="007D7854"/>
    <w:rsid w:val="007E02F6"/>
    <w:rsid w:val="007E0895"/>
    <w:rsid w:val="007E0AB3"/>
    <w:rsid w:val="007E1AC5"/>
    <w:rsid w:val="007E2162"/>
    <w:rsid w:val="007E2AFA"/>
    <w:rsid w:val="007E326D"/>
    <w:rsid w:val="007E3B3E"/>
    <w:rsid w:val="007E3D77"/>
    <w:rsid w:val="007E4214"/>
    <w:rsid w:val="007E5B14"/>
    <w:rsid w:val="007E6353"/>
    <w:rsid w:val="007E6739"/>
    <w:rsid w:val="007E7E66"/>
    <w:rsid w:val="007F093C"/>
    <w:rsid w:val="007F0A96"/>
    <w:rsid w:val="007F10D6"/>
    <w:rsid w:val="007F1444"/>
    <w:rsid w:val="007F14E1"/>
    <w:rsid w:val="007F1571"/>
    <w:rsid w:val="007F177E"/>
    <w:rsid w:val="007F191E"/>
    <w:rsid w:val="007F2CF1"/>
    <w:rsid w:val="007F31F0"/>
    <w:rsid w:val="007F35CE"/>
    <w:rsid w:val="007F3BCC"/>
    <w:rsid w:val="007F3CF7"/>
    <w:rsid w:val="007F43D5"/>
    <w:rsid w:val="007F44DA"/>
    <w:rsid w:val="007F4696"/>
    <w:rsid w:val="007F46A9"/>
    <w:rsid w:val="007F52B4"/>
    <w:rsid w:val="007F59D3"/>
    <w:rsid w:val="007F5B4A"/>
    <w:rsid w:val="007F668D"/>
    <w:rsid w:val="007F6EA6"/>
    <w:rsid w:val="007F772C"/>
    <w:rsid w:val="007F7AAE"/>
    <w:rsid w:val="007F7CBE"/>
    <w:rsid w:val="007F7D0D"/>
    <w:rsid w:val="007F7DD9"/>
    <w:rsid w:val="007F7F9E"/>
    <w:rsid w:val="008001AD"/>
    <w:rsid w:val="0080053B"/>
    <w:rsid w:val="00800A24"/>
    <w:rsid w:val="00800B98"/>
    <w:rsid w:val="00800CE6"/>
    <w:rsid w:val="00801C5A"/>
    <w:rsid w:val="00801F15"/>
    <w:rsid w:val="00802109"/>
    <w:rsid w:val="0080242E"/>
    <w:rsid w:val="008026CB"/>
    <w:rsid w:val="00803A75"/>
    <w:rsid w:val="00803D9E"/>
    <w:rsid w:val="00804269"/>
    <w:rsid w:val="00804A1F"/>
    <w:rsid w:val="00804C02"/>
    <w:rsid w:val="0080538B"/>
    <w:rsid w:val="00805ABE"/>
    <w:rsid w:val="00805B38"/>
    <w:rsid w:val="00805FF1"/>
    <w:rsid w:val="0080615A"/>
    <w:rsid w:val="00806BB8"/>
    <w:rsid w:val="00807B61"/>
    <w:rsid w:val="008106C5"/>
    <w:rsid w:val="008106C7"/>
    <w:rsid w:val="00810C39"/>
    <w:rsid w:val="0081208F"/>
    <w:rsid w:val="00812709"/>
    <w:rsid w:val="00812AED"/>
    <w:rsid w:val="0081308A"/>
    <w:rsid w:val="0081417E"/>
    <w:rsid w:val="008141AC"/>
    <w:rsid w:val="008141FF"/>
    <w:rsid w:val="00814224"/>
    <w:rsid w:val="00814744"/>
    <w:rsid w:val="0081496D"/>
    <w:rsid w:val="008149FF"/>
    <w:rsid w:val="0081587D"/>
    <w:rsid w:val="008159BA"/>
    <w:rsid w:val="0081699D"/>
    <w:rsid w:val="0082021F"/>
    <w:rsid w:val="008204F4"/>
    <w:rsid w:val="008205AD"/>
    <w:rsid w:val="008207BC"/>
    <w:rsid w:val="00820C8F"/>
    <w:rsid w:val="0082107A"/>
    <w:rsid w:val="00821A19"/>
    <w:rsid w:val="00821C7E"/>
    <w:rsid w:val="008220D7"/>
    <w:rsid w:val="00822559"/>
    <w:rsid w:val="00822A43"/>
    <w:rsid w:val="00822B7D"/>
    <w:rsid w:val="00822FAB"/>
    <w:rsid w:val="008230FD"/>
    <w:rsid w:val="00823E94"/>
    <w:rsid w:val="0082475A"/>
    <w:rsid w:val="00824C3A"/>
    <w:rsid w:val="00825F04"/>
    <w:rsid w:val="00826283"/>
    <w:rsid w:val="008270D5"/>
    <w:rsid w:val="00827255"/>
    <w:rsid w:val="00827374"/>
    <w:rsid w:val="008275F0"/>
    <w:rsid w:val="0082783A"/>
    <w:rsid w:val="00827B63"/>
    <w:rsid w:val="00830019"/>
    <w:rsid w:val="008301DA"/>
    <w:rsid w:val="008307A7"/>
    <w:rsid w:val="0083139E"/>
    <w:rsid w:val="00832124"/>
    <w:rsid w:val="008323E4"/>
    <w:rsid w:val="0083439B"/>
    <w:rsid w:val="008344FD"/>
    <w:rsid w:val="008346BA"/>
    <w:rsid w:val="00835121"/>
    <w:rsid w:val="00835B74"/>
    <w:rsid w:val="00836CC2"/>
    <w:rsid w:val="008408C0"/>
    <w:rsid w:val="00840E73"/>
    <w:rsid w:val="00841143"/>
    <w:rsid w:val="00841181"/>
    <w:rsid w:val="008417EF"/>
    <w:rsid w:val="00841898"/>
    <w:rsid w:val="00841E92"/>
    <w:rsid w:val="00842737"/>
    <w:rsid w:val="00842FED"/>
    <w:rsid w:val="0084313E"/>
    <w:rsid w:val="0084390E"/>
    <w:rsid w:val="00843AA6"/>
    <w:rsid w:val="00843FDE"/>
    <w:rsid w:val="00844675"/>
    <w:rsid w:val="008449D9"/>
    <w:rsid w:val="00845961"/>
    <w:rsid w:val="00845C94"/>
    <w:rsid w:val="00846315"/>
    <w:rsid w:val="00846D53"/>
    <w:rsid w:val="00846E2C"/>
    <w:rsid w:val="00846E5E"/>
    <w:rsid w:val="008472CA"/>
    <w:rsid w:val="008478C0"/>
    <w:rsid w:val="00847C04"/>
    <w:rsid w:val="00850C8F"/>
    <w:rsid w:val="0085272D"/>
    <w:rsid w:val="00852B32"/>
    <w:rsid w:val="00853607"/>
    <w:rsid w:val="00853D9E"/>
    <w:rsid w:val="00854A60"/>
    <w:rsid w:val="00855368"/>
    <w:rsid w:val="00855452"/>
    <w:rsid w:val="00855E12"/>
    <w:rsid w:val="00856197"/>
    <w:rsid w:val="0085671A"/>
    <w:rsid w:val="008567A5"/>
    <w:rsid w:val="008567F4"/>
    <w:rsid w:val="00860598"/>
    <w:rsid w:val="008606D6"/>
    <w:rsid w:val="008611D7"/>
    <w:rsid w:val="00861416"/>
    <w:rsid w:val="008624D6"/>
    <w:rsid w:val="00862A6C"/>
    <w:rsid w:val="00863F02"/>
    <w:rsid w:val="00865666"/>
    <w:rsid w:val="0086622B"/>
    <w:rsid w:val="00866331"/>
    <w:rsid w:val="00866BDB"/>
    <w:rsid w:val="008674D0"/>
    <w:rsid w:val="008702EE"/>
    <w:rsid w:val="008709C4"/>
    <w:rsid w:val="00870C3F"/>
    <w:rsid w:val="008710A6"/>
    <w:rsid w:val="00871509"/>
    <w:rsid w:val="00871566"/>
    <w:rsid w:val="00871C6F"/>
    <w:rsid w:val="00871E96"/>
    <w:rsid w:val="00872005"/>
    <w:rsid w:val="0087239F"/>
    <w:rsid w:val="0087260A"/>
    <w:rsid w:val="00873687"/>
    <w:rsid w:val="00873B06"/>
    <w:rsid w:val="00873E12"/>
    <w:rsid w:val="0087422E"/>
    <w:rsid w:val="008747F0"/>
    <w:rsid w:val="0087554D"/>
    <w:rsid w:val="0087642A"/>
    <w:rsid w:val="00877153"/>
    <w:rsid w:val="00880BA4"/>
    <w:rsid w:val="00881138"/>
    <w:rsid w:val="00881848"/>
    <w:rsid w:val="00881FAE"/>
    <w:rsid w:val="00882684"/>
    <w:rsid w:val="00882C22"/>
    <w:rsid w:val="00882FB8"/>
    <w:rsid w:val="0088300A"/>
    <w:rsid w:val="008844B8"/>
    <w:rsid w:val="008844BE"/>
    <w:rsid w:val="00884B58"/>
    <w:rsid w:val="00884E6A"/>
    <w:rsid w:val="0088589B"/>
    <w:rsid w:val="008862CA"/>
    <w:rsid w:val="00886B27"/>
    <w:rsid w:val="0088715B"/>
    <w:rsid w:val="00887651"/>
    <w:rsid w:val="00887AED"/>
    <w:rsid w:val="00887E04"/>
    <w:rsid w:val="008908F3"/>
    <w:rsid w:val="00890FD9"/>
    <w:rsid w:val="0089108A"/>
    <w:rsid w:val="008910E9"/>
    <w:rsid w:val="00891125"/>
    <w:rsid w:val="008916BD"/>
    <w:rsid w:val="00891743"/>
    <w:rsid w:val="00891A8D"/>
    <w:rsid w:val="00891CBB"/>
    <w:rsid w:val="00891D3C"/>
    <w:rsid w:val="00892002"/>
    <w:rsid w:val="0089215E"/>
    <w:rsid w:val="0089280B"/>
    <w:rsid w:val="00892982"/>
    <w:rsid w:val="00892D21"/>
    <w:rsid w:val="00893056"/>
    <w:rsid w:val="008934B0"/>
    <w:rsid w:val="00893D81"/>
    <w:rsid w:val="00894D56"/>
    <w:rsid w:val="008954E6"/>
    <w:rsid w:val="008958B4"/>
    <w:rsid w:val="00895AC3"/>
    <w:rsid w:val="00895BE4"/>
    <w:rsid w:val="00896516"/>
    <w:rsid w:val="00896619"/>
    <w:rsid w:val="00896FD1"/>
    <w:rsid w:val="0089716E"/>
    <w:rsid w:val="00897B73"/>
    <w:rsid w:val="008A05A5"/>
    <w:rsid w:val="008A05EC"/>
    <w:rsid w:val="008A0C97"/>
    <w:rsid w:val="008A162D"/>
    <w:rsid w:val="008A1757"/>
    <w:rsid w:val="008A1D28"/>
    <w:rsid w:val="008A2205"/>
    <w:rsid w:val="008A2670"/>
    <w:rsid w:val="008A2812"/>
    <w:rsid w:val="008A442B"/>
    <w:rsid w:val="008A511F"/>
    <w:rsid w:val="008A534B"/>
    <w:rsid w:val="008A5B1A"/>
    <w:rsid w:val="008A6499"/>
    <w:rsid w:val="008A7416"/>
    <w:rsid w:val="008A79C8"/>
    <w:rsid w:val="008B0375"/>
    <w:rsid w:val="008B094E"/>
    <w:rsid w:val="008B16D2"/>
    <w:rsid w:val="008B23F0"/>
    <w:rsid w:val="008B23F1"/>
    <w:rsid w:val="008B2A1A"/>
    <w:rsid w:val="008B2ABB"/>
    <w:rsid w:val="008B2B70"/>
    <w:rsid w:val="008B3058"/>
    <w:rsid w:val="008B391B"/>
    <w:rsid w:val="008B3B45"/>
    <w:rsid w:val="008B46A3"/>
    <w:rsid w:val="008B48B8"/>
    <w:rsid w:val="008B49E1"/>
    <w:rsid w:val="008B4CB5"/>
    <w:rsid w:val="008B506A"/>
    <w:rsid w:val="008B590F"/>
    <w:rsid w:val="008B66DA"/>
    <w:rsid w:val="008B7BEF"/>
    <w:rsid w:val="008C0BAA"/>
    <w:rsid w:val="008C15C6"/>
    <w:rsid w:val="008C18F6"/>
    <w:rsid w:val="008C1FC6"/>
    <w:rsid w:val="008C20B5"/>
    <w:rsid w:val="008C2CD7"/>
    <w:rsid w:val="008C2D78"/>
    <w:rsid w:val="008C38A0"/>
    <w:rsid w:val="008C393A"/>
    <w:rsid w:val="008C4C0F"/>
    <w:rsid w:val="008C4CF8"/>
    <w:rsid w:val="008C5365"/>
    <w:rsid w:val="008C632F"/>
    <w:rsid w:val="008C6412"/>
    <w:rsid w:val="008C65CB"/>
    <w:rsid w:val="008C6640"/>
    <w:rsid w:val="008C694F"/>
    <w:rsid w:val="008C6988"/>
    <w:rsid w:val="008C6A89"/>
    <w:rsid w:val="008C6BF1"/>
    <w:rsid w:val="008C7522"/>
    <w:rsid w:val="008C7CD4"/>
    <w:rsid w:val="008D05B8"/>
    <w:rsid w:val="008D08E2"/>
    <w:rsid w:val="008D1260"/>
    <w:rsid w:val="008D1C27"/>
    <w:rsid w:val="008D2019"/>
    <w:rsid w:val="008D21E0"/>
    <w:rsid w:val="008D243C"/>
    <w:rsid w:val="008D2610"/>
    <w:rsid w:val="008D274A"/>
    <w:rsid w:val="008D2981"/>
    <w:rsid w:val="008D2E8B"/>
    <w:rsid w:val="008D378F"/>
    <w:rsid w:val="008D3B36"/>
    <w:rsid w:val="008D43EE"/>
    <w:rsid w:val="008D5311"/>
    <w:rsid w:val="008D5FAD"/>
    <w:rsid w:val="008D65FD"/>
    <w:rsid w:val="008D709C"/>
    <w:rsid w:val="008D7B7F"/>
    <w:rsid w:val="008D7E25"/>
    <w:rsid w:val="008E02EE"/>
    <w:rsid w:val="008E0A0B"/>
    <w:rsid w:val="008E0F64"/>
    <w:rsid w:val="008E14FF"/>
    <w:rsid w:val="008E225C"/>
    <w:rsid w:val="008E22F3"/>
    <w:rsid w:val="008E2C32"/>
    <w:rsid w:val="008E2C87"/>
    <w:rsid w:val="008E3394"/>
    <w:rsid w:val="008E4378"/>
    <w:rsid w:val="008E48D9"/>
    <w:rsid w:val="008E4F93"/>
    <w:rsid w:val="008E5F41"/>
    <w:rsid w:val="008E6D0A"/>
    <w:rsid w:val="008E763C"/>
    <w:rsid w:val="008E77AC"/>
    <w:rsid w:val="008F0A39"/>
    <w:rsid w:val="008F0A47"/>
    <w:rsid w:val="008F0FF9"/>
    <w:rsid w:val="008F288D"/>
    <w:rsid w:val="008F334F"/>
    <w:rsid w:val="008F344C"/>
    <w:rsid w:val="008F3648"/>
    <w:rsid w:val="008F3BEB"/>
    <w:rsid w:val="008F42E5"/>
    <w:rsid w:val="008F4C1B"/>
    <w:rsid w:val="008F5084"/>
    <w:rsid w:val="008F54B6"/>
    <w:rsid w:val="008F54EB"/>
    <w:rsid w:val="008F578F"/>
    <w:rsid w:val="008F6896"/>
    <w:rsid w:val="008F6C46"/>
    <w:rsid w:val="008F6E93"/>
    <w:rsid w:val="008F7198"/>
    <w:rsid w:val="008F7322"/>
    <w:rsid w:val="008F74FA"/>
    <w:rsid w:val="008F756B"/>
    <w:rsid w:val="008F7894"/>
    <w:rsid w:val="008F79CB"/>
    <w:rsid w:val="009009D7"/>
    <w:rsid w:val="009010F0"/>
    <w:rsid w:val="009014C4"/>
    <w:rsid w:val="00901513"/>
    <w:rsid w:val="00901FAE"/>
    <w:rsid w:val="0090246D"/>
    <w:rsid w:val="00902B48"/>
    <w:rsid w:val="009032D8"/>
    <w:rsid w:val="009039CC"/>
    <w:rsid w:val="009042AF"/>
    <w:rsid w:val="009043CF"/>
    <w:rsid w:val="00904982"/>
    <w:rsid w:val="00904B56"/>
    <w:rsid w:val="00906510"/>
    <w:rsid w:val="0090769F"/>
    <w:rsid w:val="00910427"/>
    <w:rsid w:val="009109D6"/>
    <w:rsid w:val="00910A62"/>
    <w:rsid w:val="00910E7C"/>
    <w:rsid w:val="00911111"/>
    <w:rsid w:val="009116D4"/>
    <w:rsid w:val="00912064"/>
    <w:rsid w:val="00912218"/>
    <w:rsid w:val="009137FA"/>
    <w:rsid w:val="00913826"/>
    <w:rsid w:val="00914F14"/>
    <w:rsid w:val="00915530"/>
    <w:rsid w:val="009157D4"/>
    <w:rsid w:val="00915B01"/>
    <w:rsid w:val="0091700E"/>
    <w:rsid w:val="00917DD1"/>
    <w:rsid w:val="009200EC"/>
    <w:rsid w:val="00920435"/>
    <w:rsid w:val="00920901"/>
    <w:rsid w:val="00920C50"/>
    <w:rsid w:val="00920CF4"/>
    <w:rsid w:val="0092123A"/>
    <w:rsid w:val="00921602"/>
    <w:rsid w:val="009226AA"/>
    <w:rsid w:val="0092320B"/>
    <w:rsid w:val="009233CB"/>
    <w:rsid w:val="00923B29"/>
    <w:rsid w:val="00923D50"/>
    <w:rsid w:val="009241D1"/>
    <w:rsid w:val="009251CD"/>
    <w:rsid w:val="0092532A"/>
    <w:rsid w:val="00925A55"/>
    <w:rsid w:val="00925CCB"/>
    <w:rsid w:val="00925DE6"/>
    <w:rsid w:val="00926501"/>
    <w:rsid w:val="00926912"/>
    <w:rsid w:val="00926B8A"/>
    <w:rsid w:val="00926D6B"/>
    <w:rsid w:val="00926F41"/>
    <w:rsid w:val="00927312"/>
    <w:rsid w:val="0092735B"/>
    <w:rsid w:val="0093013E"/>
    <w:rsid w:val="00930C2E"/>
    <w:rsid w:val="00930D25"/>
    <w:rsid w:val="00931407"/>
    <w:rsid w:val="00931BF5"/>
    <w:rsid w:val="009320AF"/>
    <w:rsid w:val="009322E7"/>
    <w:rsid w:val="0093267F"/>
    <w:rsid w:val="00932852"/>
    <w:rsid w:val="009328F2"/>
    <w:rsid w:val="00932DB1"/>
    <w:rsid w:val="009331FB"/>
    <w:rsid w:val="009344C5"/>
    <w:rsid w:val="009345B0"/>
    <w:rsid w:val="009347E6"/>
    <w:rsid w:val="00934A73"/>
    <w:rsid w:val="00934FE8"/>
    <w:rsid w:val="00935D09"/>
    <w:rsid w:val="00935EBD"/>
    <w:rsid w:val="009364D0"/>
    <w:rsid w:val="00936751"/>
    <w:rsid w:val="00936968"/>
    <w:rsid w:val="00936DC6"/>
    <w:rsid w:val="00936E89"/>
    <w:rsid w:val="00936EB3"/>
    <w:rsid w:val="00940194"/>
    <w:rsid w:val="009405FC"/>
    <w:rsid w:val="00940978"/>
    <w:rsid w:val="00941697"/>
    <w:rsid w:val="00941AAA"/>
    <w:rsid w:val="00941EFF"/>
    <w:rsid w:val="009428C6"/>
    <w:rsid w:val="00942D32"/>
    <w:rsid w:val="00942EC6"/>
    <w:rsid w:val="00943097"/>
    <w:rsid w:val="0094390C"/>
    <w:rsid w:val="00943977"/>
    <w:rsid w:val="00943DCA"/>
    <w:rsid w:val="00943F70"/>
    <w:rsid w:val="009440FE"/>
    <w:rsid w:val="00944A92"/>
    <w:rsid w:val="00944BF7"/>
    <w:rsid w:val="0094514A"/>
    <w:rsid w:val="00945325"/>
    <w:rsid w:val="009453E2"/>
    <w:rsid w:val="0094584B"/>
    <w:rsid w:val="00946208"/>
    <w:rsid w:val="0094694F"/>
    <w:rsid w:val="00946E16"/>
    <w:rsid w:val="00946F30"/>
    <w:rsid w:val="00947243"/>
    <w:rsid w:val="00947494"/>
    <w:rsid w:val="00947791"/>
    <w:rsid w:val="00947B79"/>
    <w:rsid w:val="00947F57"/>
    <w:rsid w:val="009502E0"/>
    <w:rsid w:val="00950CEF"/>
    <w:rsid w:val="009513DB"/>
    <w:rsid w:val="00951561"/>
    <w:rsid w:val="00952A44"/>
    <w:rsid w:val="00952EFF"/>
    <w:rsid w:val="009531FA"/>
    <w:rsid w:val="009534C3"/>
    <w:rsid w:val="00953BFF"/>
    <w:rsid w:val="00954064"/>
    <w:rsid w:val="0095577E"/>
    <w:rsid w:val="00955A52"/>
    <w:rsid w:val="00956179"/>
    <w:rsid w:val="00956406"/>
    <w:rsid w:val="009567DA"/>
    <w:rsid w:val="0095683B"/>
    <w:rsid w:val="00956895"/>
    <w:rsid w:val="009568D0"/>
    <w:rsid w:val="00956C3A"/>
    <w:rsid w:val="00957BE4"/>
    <w:rsid w:val="00960190"/>
    <w:rsid w:val="0096021A"/>
    <w:rsid w:val="009602FD"/>
    <w:rsid w:val="009603F3"/>
    <w:rsid w:val="009606AA"/>
    <w:rsid w:val="00960795"/>
    <w:rsid w:val="00960FBB"/>
    <w:rsid w:val="00961602"/>
    <w:rsid w:val="009619EF"/>
    <w:rsid w:val="00961B88"/>
    <w:rsid w:val="00962817"/>
    <w:rsid w:val="00962B35"/>
    <w:rsid w:val="00962F1C"/>
    <w:rsid w:val="00963415"/>
    <w:rsid w:val="00963C96"/>
    <w:rsid w:val="00963E24"/>
    <w:rsid w:val="00963EC8"/>
    <w:rsid w:val="0096433E"/>
    <w:rsid w:val="009645EA"/>
    <w:rsid w:val="00964827"/>
    <w:rsid w:val="0096519D"/>
    <w:rsid w:val="00965207"/>
    <w:rsid w:val="009674A5"/>
    <w:rsid w:val="00967828"/>
    <w:rsid w:val="0096785E"/>
    <w:rsid w:val="00970672"/>
    <w:rsid w:val="009706F6"/>
    <w:rsid w:val="00970DEB"/>
    <w:rsid w:val="00971889"/>
    <w:rsid w:val="0097198E"/>
    <w:rsid w:val="00971CE4"/>
    <w:rsid w:val="0097251B"/>
    <w:rsid w:val="00972536"/>
    <w:rsid w:val="009726E0"/>
    <w:rsid w:val="00972F72"/>
    <w:rsid w:val="0097360F"/>
    <w:rsid w:val="00973F88"/>
    <w:rsid w:val="00974008"/>
    <w:rsid w:val="0097505C"/>
    <w:rsid w:val="00975708"/>
    <w:rsid w:val="00975AF0"/>
    <w:rsid w:val="009760B6"/>
    <w:rsid w:val="0097688E"/>
    <w:rsid w:val="009769B1"/>
    <w:rsid w:val="00976AB5"/>
    <w:rsid w:val="00976BFC"/>
    <w:rsid w:val="0097754E"/>
    <w:rsid w:val="00977B48"/>
    <w:rsid w:val="009803DD"/>
    <w:rsid w:val="00980755"/>
    <w:rsid w:val="00980A79"/>
    <w:rsid w:val="00980E9E"/>
    <w:rsid w:val="00980FD9"/>
    <w:rsid w:val="00981886"/>
    <w:rsid w:val="00982A97"/>
    <w:rsid w:val="00982AC9"/>
    <w:rsid w:val="009835CB"/>
    <w:rsid w:val="00983751"/>
    <w:rsid w:val="009838EE"/>
    <w:rsid w:val="00984219"/>
    <w:rsid w:val="00985FF0"/>
    <w:rsid w:val="00986448"/>
    <w:rsid w:val="00986B7A"/>
    <w:rsid w:val="00986C80"/>
    <w:rsid w:val="0098767C"/>
    <w:rsid w:val="009900D0"/>
    <w:rsid w:val="00990A99"/>
    <w:rsid w:val="00990CB2"/>
    <w:rsid w:val="00991030"/>
    <w:rsid w:val="009911C2"/>
    <w:rsid w:val="009911F3"/>
    <w:rsid w:val="00991A32"/>
    <w:rsid w:val="00991AB8"/>
    <w:rsid w:val="00992466"/>
    <w:rsid w:val="00992A77"/>
    <w:rsid w:val="00992BAF"/>
    <w:rsid w:val="00993118"/>
    <w:rsid w:val="009932BA"/>
    <w:rsid w:val="009935D9"/>
    <w:rsid w:val="0099459A"/>
    <w:rsid w:val="00994871"/>
    <w:rsid w:val="00994AC4"/>
    <w:rsid w:val="00994B48"/>
    <w:rsid w:val="00994C58"/>
    <w:rsid w:val="00994CB3"/>
    <w:rsid w:val="00994D73"/>
    <w:rsid w:val="009958F2"/>
    <w:rsid w:val="0099642E"/>
    <w:rsid w:val="009A032C"/>
    <w:rsid w:val="009A0F9B"/>
    <w:rsid w:val="009A1651"/>
    <w:rsid w:val="009A17AA"/>
    <w:rsid w:val="009A1FE4"/>
    <w:rsid w:val="009A4036"/>
    <w:rsid w:val="009A4203"/>
    <w:rsid w:val="009A4D9E"/>
    <w:rsid w:val="009A4F22"/>
    <w:rsid w:val="009A62CF"/>
    <w:rsid w:val="009A72BF"/>
    <w:rsid w:val="009A74DE"/>
    <w:rsid w:val="009B01FA"/>
    <w:rsid w:val="009B0359"/>
    <w:rsid w:val="009B0A83"/>
    <w:rsid w:val="009B0B2F"/>
    <w:rsid w:val="009B0EDC"/>
    <w:rsid w:val="009B0F7D"/>
    <w:rsid w:val="009B0FC3"/>
    <w:rsid w:val="009B18A5"/>
    <w:rsid w:val="009B1BC1"/>
    <w:rsid w:val="009B3197"/>
    <w:rsid w:val="009B333C"/>
    <w:rsid w:val="009B3AD6"/>
    <w:rsid w:val="009B4134"/>
    <w:rsid w:val="009B446D"/>
    <w:rsid w:val="009B4855"/>
    <w:rsid w:val="009B4A7F"/>
    <w:rsid w:val="009B50B4"/>
    <w:rsid w:val="009B56F2"/>
    <w:rsid w:val="009B5D16"/>
    <w:rsid w:val="009B63AA"/>
    <w:rsid w:val="009B657B"/>
    <w:rsid w:val="009B6870"/>
    <w:rsid w:val="009B6DA6"/>
    <w:rsid w:val="009C051B"/>
    <w:rsid w:val="009C0563"/>
    <w:rsid w:val="009C0E73"/>
    <w:rsid w:val="009C0F55"/>
    <w:rsid w:val="009C1C88"/>
    <w:rsid w:val="009C1C90"/>
    <w:rsid w:val="009C45DA"/>
    <w:rsid w:val="009C4A61"/>
    <w:rsid w:val="009C4CE7"/>
    <w:rsid w:val="009C58D7"/>
    <w:rsid w:val="009C5E87"/>
    <w:rsid w:val="009C60CD"/>
    <w:rsid w:val="009C6EB3"/>
    <w:rsid w:val="009C7624"/>
    <w:rsid w:val="009C76AC"/>
    <w:rsid w:val="009D0543"/>
    <w:rsid w:val="009D0A94"/>
    <w:rsid w:val="009D0BCE"/>
    <w:rsid w:val="009D14EC"/>
    <w:rsid w:val="009D2912"/>
    <w:rsid w:val="009D36BF"/>
    <w:rsid w:val="009D3D9E"/>
    <w:rsid w:val="009D3E10"/>
    <w:rsid w:val="009D5D6C"/>
    <w:rsid w:val="009D6621"/>
    <w:rsid w:val="009D6792"/>
    <w:rsid w:val="009D6ACC"/>
    <w:rsid w:val="009D7016"/>
    <w:rsid w:val="009D706C"/>
    <w:rsid w:val="009D720E"/>
    <w:rsid w:val="009D7B15"/>
    <w:rsid w:val="009D7F57"/>
    <w:rsid w:val="009E12F7"/>
    <w:rsid w:val="009E2548"/>
    <w:rsid w:val="009E2611"/>
    <w:rsid w:val="009E30BD"/>
    <w:rsid w:val="009E368F"/>
    <w:rsid w:val="009E38F8"/>
    <w:rsid w:val="009E409F"/>
    <w:rsid w:val="009E4369"/>
    <w:rsid w:val="009E471E"/>
    <w:rsid w:val="009E497F"/>
    <w:rsid w:val="009E5348"/>
    <w:rsid w:val="009E564F"/>
    <w:rsid w:val="009E58BD"/>
    <w:rsid w:val="009E5FE9"/>
    <w:rsid w:val="009E641D"/>
    <w:rsid w:val="009E701D"/>
    <w:rsid w:val="009E7F2B"/>
    <w:rsid w:val="009F020B"/>
    <w:rsid w:val="009F094C"/>
    <w:rsid w:val="009F10CD"/>
    <w:rsid w:val="009F1A28"/>
    <w:rsid w:val="009F2016"/>
    <w:rsid w:val="009F2871"/>
    <w:rsid w:val="009F366F"/>
    <w:rsid w:val="009F3DBA"/>
    <w:rsid w:val="009F463A"/>
    <w:rsid w:val="009F4ACD"/>
    <w:rsid w:val="009F5030"/>
    <w:rsid w:val="009F5428"/>
    <w:rsid w:val="009F5509"/>
    <w:rsid w:val="009F56C7"/>
    <w:rsid w:val="009F5DED"/>
    <w:rsid w:val="009F5FB0"/>
    <w:rsid w:val="009F628C"/>
    <w:rsid w:val="009F77EE"/>
    <w:rsid w:val="009F79BD"/>
    <w:rsid w:val="00A0096C"/>
    <w:rsid w:val="00A00B76"/>
    <w:rsid w:val="00A015FC"/>
    <w:rsid w:val="00A01C62"/>
    <w:rsid w:val="00A020C0"/>
    <w:rsid w:val="00A0281F"/>
    <w:rsid w:val="00A02D99"/>
    <w:rsid w:val="00A03475"/>
    <w:rsid w:val="00A03E0D"/>
    <w:rsid w:val="00A03FF4"/>
    <w:rsid w:val="00A04913"/>
    <w:rsid w:val="00A04AAF"/>
    <w:rsid w:val="00A04DD8"/>
    <w:rsid w:val="00A04E02"/>
    <w:rsid w:val="00A04F74"/>
    <w:rsid w:val="00A05CF9"/>
    <w:rsid w:val="00A06623"/>
    <w:rsid w:val="00A10A2A"/>
    <w:rsid w:val="00A11116"/>
    <w:rsid w:val="00A1124C"/>
    <w:rsid w:val="00A11BA6"/>
    <w:rsid w:val="00A11FC3"/>
    <w:rsid w:val="00A12036"/>
    <w:rsid w:val="00A1273C"/>
    <w:rsid w:val="00A13086"/>
    <w:rsid w:val="00A13107"/>
    <w:rsid w:val="00A13CAA"/>
    <w:rsid w:val="00A14503"/>
    <w:rsid w:val="00A1478F"/>
    <w:rsid w:val="00A148C7"/>
    <w:rsid w:val="00A15093"/>
    <w:rsid w:val="00A16BB9"/>
    <w:rsid w:val="00A16C01"/>
    <w:rsid w:val="00A16C0A"/>
    <w:rsid w:val="00A1758B"/>
    <w:rsid w:val="00A17CF1"/>
    <w:rsid w:val="00A202B6"/>
    <w:rsid w:val="00A212EF"/>
    <w:rsid w:val="00A2140E"/>
    <w:rsid w:val="00A2145F"/>
    <w:rsid w:val="00A215B6"/>
    <w:rsid w:val="00A23119"/>
    <w:rsid w:val="00A23D7C"/>
    <w:rsid w:val="00A24189"/>
    <w:rsid w:val="00A242A4"/>
    <w:rsid w:val="00A24F12"/>
    <w:rsid w:val="00A24F58"/>
    <w:rsid w:val="00A25316"/>
    <w:rsid w:val="00A258EB"/>
    <w:rsid w:val="00A25F68"/>
    <w:rsid w:val="00A26729"/>
    <w:rsid w:val="00A26AE8"/>
    <w:rsid w:val="00A26D78"/>
    <w:rsid w:val="00A276FA"/>
    <w:rsid w:val="00A27B05"/>
    <w:rsid w:val="00A3096E"/>
    <w:rsid w:val="00A30F19"/>
    <w:rsid w:val="00A3151B"/>
    <w:rsid w:val="00A31EA3"/>
    <w:rsid w:val="00A32D29"/>
    <w:rsid w:val="00A332C9"/>
    <w:rsid w:val="00A33468"/>
    <w:rsid w:val="00A3463D"/>
    <w:rsid w:val="00A346D3"/>
    <w:rsid w:val="00A35954"/>
    <w:rsid w:val="00A364DD"/>
    <w:rsid w:val="00A370D7"/>
    <w:rsid w:val="00A3756E"/>
    <w:rsid w:val="00A376B9"/>
    <w:rsid w:val="00A408A8"/>
    <w:rsid w:val="00A408A9"/>
    <w:rsid w:val="00A40B1F"/>
    <w:rsid w:val="00A40CB1"/>
    <w:rsid w:val="00A40E17"/>
    <w:rsid w:val="00A40F14"/>
    <w:rsid w:val="00A410AF"/>
    <w:rsid w:val="00A413DF"/>
    <w:rsid w:val="00A41613"/>
    <w:rsid w:val="00A41830"/>
    <w:rsid w:val="00A41BB4"/>
    <w:rsid w:val="00A44DA5"/>
    <w:rsid w:val="00A453B7"/>
    <w:rsid w:val="00A4568A"/>
    <w:rsid w:val="00A46149"/>
    <w:rsid w:val="00A46759"/>
    <w:rsid w:val="00A46856"/>
    <w:rsid w:val="00A46EDE"/>
    <w:rsid w:val="00A472CD"/>
    <w:rsid w:val="00A47313"/>
    <w:rsid w:val="00A506A2"/>
    <w:rsid w:val="00A50C3B"/>
    <w:rsid w:val="00A511F5"/>
    <w:rsid w:val="00A51332"/>
    <w:rsid w:val="00A5172B"/>
    <w:rsid w:val="00A51EB7"/>
    <w:rsid w:val="00A524C3"/>
    <w:rsid w:val="00A5268D"/>
    <w:rsid w:val="00A54639"/>
    <w:rsid w:val="00A55063"/>
    <w:rsid w:val="00A551C7"/>
    <w:rsid w:val="00A55517"/>
    <w:rsid w:val="00A562BF"/>
    <w:rsid w:val="00A563FE"/>
    <w:rsid w:val="00A5657B"/>
    <w:rsid w:val="00A56D1D"/>
    <w:rsid w:val="00A57D63"/>
    <w:rsid w:val="00A60791"/>
    <w:rsid w:val="00A6102F"/>
    <w:rsid w:val="00A6106A"/>
    <w:rsid w:val="00A61161"/>
    <w:rsid w:val="00A62744"/>
    <w:rsid w:val="00A627B5"/>
    <w:rsid w:val="00A62BA0"/>
    <w:rsid w:val="00A62D0D"/>
    <w:rsid w:val="00A62F4D"/>
    <w:rsid w:val="00A632C4"/>
    <w:rsid w:val="00A63B7F"/>
    <w:rsid w:val="00A6406C"/>
    <w:rsid w:val="00A6451C"/>
    <w:rsid w:val="00A64CB8"/>
    <w:rsid w:val="00A64D42"/>
    <w:rsid w:val="00A64EBB"/>
    <w:rsid w:val="00A6606C"/>
    <w:rsid w:val="00A66A3D"/>
    <w:rsid w:val="00A6749C"/>
    <w:rsid w:val="00A67E3C"/>
    <w:rsid w:val="00A703B6"/>
    <w:rsid w:val="00A7049C"/>
    <w:rsid w:val="00A7084A"/>
    <w:rsid w:val="00A71285"/>
    <w:rsid w:val="00A716DB"/>
    <w:rsid w:val="00A71850"/>
    <w:rsid w:val="00A725BA"/>
    <w:rsid w:val="00A72B7D"/>
    <w:rsid w:val="00A73199"/>
    <w:rsid w:val="00A73B9D"/>
    <w:rsid w:val="00A73DD1"/>
    <w:rsid w:val="00A752D3"/>
    <w:rsid w:val="00A75AC0"/>
    <w:rsid w:val="00A764B2"/>
    <w:rsid w:val="00A77144"/>
    <w:rsid w:val="00A778E0"/>
    <w:rsid w:val="00A77B44"/>
    <w:rsid w:val="00A77C07"/>
    <w:rsid w:val="00A77CF6"/>
    <w:rsid w:val="00A80687"/>
    <w:rsid w:val="00A8068B"/>
    <w:rsid w:val="00A81134"/>
    <w:rsid w:val="00A814D2"/>
    <w:rsid w:val="00A81ACC"/>
    <w:rsid w:val="00A829C9"/>
    <w:rsid w:val="00A83479"/>
    <w:rsid w:val="00A83F9D"/>
    <w:rsid w:val="00A83FC3"/>
    <w:rsid w:val="00A842C3"/>
    <w:rsid w:val="00A84C01"/>
    <w:rsid w:val="00A84C99"/>
    <w:rsid w:val="00A84DD1"/>
    <w:rsid w:val="00A84F6F"/>
    <w:rsid w:val="00A85305"/>
    <w:rsid w:val="00A86537"/>
    <w:rsid w:val="00A8689C"/>
    <w:rsid w:val="00A870D6"/>
    <w:rsid w:val="00A8765B"/>
    <w:rsid w:val="00A87B6D"/>
    <w:rsid w:val="00A87E51"/>
    <w:rsid w:val="00A87F88"/>
    <w:rsid w:val="00A91169"/>
    <w:rsid w:val="00A92E8D"/>
    <w:rsid w:val="00A935E8"/>
    <w:rsid w:val="00A93832"/>
    <w:rsid w:val="00A9392B"/>
    <w:rsid w:val="00A93BEE"/>
    <w:rsid w:val="00A93C74"/>
    <w:rsid w:val="00A940C5"/>
    <w:rsid w:val="00A94140"/>
    <w:rsid w:val="00A9472F"/>
    <w:rsid w:val="00A94C97"/>
    <w:rsid w:val="00A959A2"/>
    <w:rsid w:val="00A95B1E"/>
    <w:rsid w:val="00A9634F"/>
    <w:rsid w:val="00A96750"/>
    <w:rsid w:val="00A96C94"/>
    <w:rsid w:val="00A977D6"/>
    <w:rsid w:val="00A97A49"/>
    <w:rsid w:val="00A97BEF"/>
    <w:rsid w:val="00A97C7E"/>
    <w:rsid w:val="00A97E78"/>
    <w:rsid w:val="00A97FF8"/>
    <w:rsid w:val="00AA06F2"/>
    <w:rsid w:val="00AA0899"/>
    <w:rsid w:val="00AA097D"/>
    <w:rsid w:val="00AA0A23"/>
    <w:rsid w:val="00AA0FE9"/>
    <w:rsid w:val="00AA14E4"/>
    <w:rsid w:val="00AA1CE3"/>
    <w:rsid w:val="00AA1EF1"/>
    <w:rsid w:val="00AA203C"/>
    <w:rsid w:val="00AA24FE"/>
    <w:rsid w:val="00AA2501"/>
    <w:rsid w:val="00AA2B49"/>
    <w:rsid w:val="00AA397A"/>
    <w:rsid w:val="00AA6667"/>
    <w:rsid w:val="00AA6CC1"/>
    <w:rsid w:val="00AA770A"/>
    <w:rsid w:val="00AB0144"/>
    <w:rsid w:val="00AB0831"/>
    <w:rsid w:val="00AB1216"/>
    <w:rsid w:val="00AB125A"/>
    <w:rsid w:val="00AB1526"/>
    <w:rsid w:val="00AB1DAE"/>
    <w:rsid w:val="00AB2102"/>
    <w:rsid w:val="00AB28D5"/>
    <w:rsid w:val="00AB2B9A"/>
    <w:rsid w:val="00AB3272"/>
    <w:rsid w:val="00AB381D"/>
    <w:rsid w:val="00AB3B05"/>
    <w:rsid w:val="00AB4C07"/>
    <w:rsid w:val="00AB4E1F"/>
    <w:rsid w:val="00AB604F"/>
    <w:rsid w:val="00AB6442"/>
    <w:rsid w:val="00AB6D5B"/>
    <w:rsid w:val="00AB789E"/>
    <w:rsid w:val="00AB7A03"/>
    <w:rsid w:val="00AC0439"/>
    <w:rsid w:val="00AC0688"/>
    <w:rsid w:val="00AC0743"/>
    <w:rsid w:val="00AC09B3"/>
    <w:rsid w:val="00AC1D2A"/>
    <w:rsid w:val="00AC27DF"/>
    <w:rsid w:val="00AC3066"/>
    <w:rsid w:val="00AC336C"/>
    <w:rsid w:val="00AC3405"/>
    <w:rsid w:val="00AC3616"/>
    <w:rsid w:val="00AC3890"/>
    <w:rsid w:val="00AC397E"/>
    <w:rsid w:val="00AC39F4"/>
    <w:rsid w:val="00AC4408"/>
    <w:rsid w:val="00AC46F6"/>
    <w:rsid w:val="00AC5883"/>
    <w:rsid w:val="00AC58B3"/>
    <w:rsid w:val="00AC6A40"/>
    <w:rsid w:val="00AD02DF"/>
    <w:rsid w:val="00AD0501"/>
    <w:rsid w:val="00AD05CC"/>
    <w:rsid w:val="00AD0FAA"/>
    <w:rsid w:val="00AD13FE"/>
    <w:rsid w:val="00AD1EDD"/>
    <w:rsid w:val="00AD20A4"/>
    <w:rsid w:val="00AD25A9"/>
    <w:rsid w:val="00AD298B"/>
    <w:rsid w:val="00AD4915"/>
    <w:rsid w:val="00AD4DC0"/>
    <w:rsid w:val="00AD5464"/>
    <w:rsid w:val="00AD5A70"/>
    <w:rsid w:val="00AD6F15"/>
    <w:rsid w:val="00AD70BA"/>
    <w:rsid w:val="00AD7A5A"/>
    <w:rsid w:val="00AD7E50"/>
    <w:rsid w:val="00AE0372"/>
    <w:rsid w:val="00AE03BE"/>
    <w:rsid w:val="00AE07EA"/>
    <w:rsid w:val="00AE13E0"/>
    <w:rsid w:val="00AE13EB"/>
    <w:rsid w:val="00AE1811"/>
    <w:rsid w:val="00AE1D94"/>
    <w:rsid w:val="00AE2B61"/>
    <w:rsid w:val="00AE2E20"/>
    <w:rsid w:val="00AE2F42"/>
    <w:rsid w:val="00AE2FEE"/>
    <w:rsid w:val="00AE37DE"/>
    <w:rsid w:val="00AE3DAD"/>
    <w:rsid w:val="00AE3F8D"/>
    <w:rsid w:val="00AE4077"/>
    <w:rsid w:val="00AE407B"/>
    <w:rsid w:val="00AE4665"/>
    <w:rsid w:val="00AE49F0"/>
    <w:rsid w:val="00AE4C88"/>
    <w:rsid w:val="00AE4F3B"/>
    <w:rsid w:val="00AE6880"/>
    <w:rsid w:val="00AE6E92"/>
    <w:rsid w:val="00AE6FA5"/>
    <w:rsid w:val="00AE7020"/>
    <w:rsid w:val="00AE7843"/>
    <w:rsid w:val="00AE7BF0"/>
    <w:rsid w:val="00AF002D"/>
    <w:rsid w:val="00AF17A9"/>
    <w:rsid w:val="00AF2019"/>
    <w:rsid w:val="00AF28C8"/>
    <w:rsid w:val="00AF2E13"/>
    <w:rsid w:val="00AF2E69"/>
    <w:rsid w:val="00AF2F55"/>
    <w:rsid w:val="00AF3997"/>
    <w:rsid w:val="00AF4092"/>
    <w:rsid w:val="00AF4870"/>
    <w:rsid w:val="00AF48D5"/>
    <w:rsid w:val="00AF5451"/>
    <w:rsid w:val="00AF5A52"/>
    <w:rsid w:val="00AF5E48"/>
    <w:rsid w:val="00AF605E"/>
    <w:rsid w:val="00AF6A83"/>
    <w:rsid w:val="00AF7345"/>
    <w:rsid w:val="00AF76A6"/>
    <w:rsid w:val="00AF76F0"/>
    <w:rsid w:val="00AF7B16"/>
    <w:rsid w:val="00B00088"/>
    <w:rsid w:val="00B001F3"/>
    <w:rsid w:val="00B00A82"/>
    <w:rsid w:val="00B00CFA"/>
    <w:rsid w:val="00B00EBD"/>
    <w:rsid w:val="00B010F0"/>
    <w:rsid w:val="00B01246"/>
    <w:rsid w:val="00B024EB"/>
    <w:rsid w:val="00B0286E"/>
    <w:rsid w:val="00B032FC"/>
    <w:rsid w:val="00B03AA8"/>
    <w:rsid w:val="00B04A17"/>
    <w:rsid w:val="00B050E3"/>
    <w:rsid w:val="00B051B4"/>
    <w:rsid w:val="00B05881"/>
    <w:rsid w:val="00B0602D"/>
    <w:rsid w:val="00B065F8"/>
    <w:rsid w:val="00B0736B"/>
    <w:rsid w:val="00B07A28"/>
    <w:rsid w:val="00B07C3F"/>
    <w:rsid w:val="00B102D2"/>
    <w:rsid w:val="00B10780"/>
    <w:rsid w:val="00B10836"/>
    <w:rsid w:val="00B10E4C"/>
    <w:rsid w:val="00B12451"/>
    <w:rsid w:val="00B125D0"/>
    <w:rsid w:val="00B129E1"/>
    <w:rsid w:val="00B131EC"/>
    <w:rsid w:val="00B13D1A"/>
    <w:rsid w:val="00B14631"/>
    <w:rsid w:val="00B15018"/>
    <w:rsid w:val="00B1545A"/>
    <w:rsid w:val="00B160C3"/>
    <w:rsid w:val="00B1613E"/>
    <w:rsid w:val="00B1670A"/>
    <w:rsid w:val="00B16ED8"/>
    <w:rsid w:val="00B17A56"/>
    <w:rsid w:val="00B20A5D"/>
    <w:rsid w:val="00B21894"/>
    <w:rsid w:val="00B21C0F"/>
    <w:rsid w:val="00B21EF3"/>
    <w:rsid w:val="00B22117"/>
    <w:rsid w:val="00B22484"/>
    <w:rsid w:val="00B2256B"/>
    <w:rsid w:val="00B23ABA"/>
    <w:rsid w:val="00B23B09"/>
    <w:rsid w:val="00B23D23"/>
    <w:rsid w:val="00B24E9B"/>
    <w:rsid w:val="00B24EB1"/>
    <w:rsid w:val="00B257D7"/>
    <w:rsid w:val="00B25E53"/>
    <w:rsid w:val="00B26A4E"/>
    <w:rsid w:val="00B26A4F"/>
    <w:rsid w:val="00B26E33"/>
    <w:rsid w:val="00B270CD"/>
    <w:rsid w:val="00B271C8"/>
    <w:rsid w:val="00B2735D"/>
    <w:rsid w:val="00B303F8"/>
    <w:rsid w:val="00B30C91"/>
    <w:rsid w:val="00B30DBD"/>
    <w:rsid w:val="00B30E51"/>
    <w:rsid w:val="00B30E76"/>
    <w:rsid w:val="00B31030"/>
    <w:rsid w:val="00B31BB4"/>
    <w:rsid w:val="00B31EF4"/>
    <w:rsid w:val="00B32006"/>
    <w:rsid w:val="00B32034"/>
    <w:rsid w:val="00B32437"/>
    <w:rsid w:val="00B325FE"/>
    <w:rsid w:val="00B32E57"/>
    <w:rsid w:val="00B333C3"/>
    <w:rsid w:val="00B33664"/>
    <w:rsid w:val="00B33C84"/>
    <w:rsid w:val="00B35D5E"/>
    <w:rsid w:val="00B35DE0"/>
    <w:rsid w:val="00B3774A"/>
    <w:rsid w:val="00B37B0F"/>
    <w:rsid w:val="00B409D9"/>
    <w:rsid w:val="00B40D1C"/>
    <w:rsid w:val="00B43674"/>
    <w:rsid w:val="00B436D2"/>
    <w:rsid w:val="00B43C57"/>
    <w:rsid w:val="00B43EB7"/>
    <w:rsid w:val="00B4476F"/>
    <w:rsid w:val="00B44B53"/>
    <w:rsid w:val="00B44CE0"/>
    <w:rsid w:val="00B44F84"/>
    <w:rsid w:val="00B45108"/>
    <w:rsid w:val="00B451F5"/>
    <w:rsid w:val="00B4532F"/>
    <w:rsid w:val="00B4570E"/>
    <w:rsid w:val="00B469EF"/>
    <w:rsid w:val="00B46CB5"/>
    <w:rsid w:val="00B5019E"/>
    <w:rsid w:val="00B50B77"/>
    <w:rsid w:val="00B51254"/>
    <w:rsid w:val="00B51BB3"/>
    <w:rsid w:val="00B51D8A"/>
    <w:rsid w:val="00B524D0"/>
    <w:rsid w:val="00B52A3A"/>
    <w:rsid w:val="00B52F61"/>
    <w:rsid w:val="00B532FC"/>
    <w:rsid w:val="00B534E8"/>
    <w:rsid w:val="00B54757"/>
    <w:rsid w:val="00B54852"/>
    <w:rsid w:val="00B54943"/>
    <w:rsid w:val="00B54DA0"/>
    <w:rsid w:val="00B55F4C"/>
    <w:rsid w:val="00B56242"/>
    <w:rsid w:val="00B562A2"/>
    <w:rsid w:val="00B57792"/>
    <w:rsid w:val="00B57EC7"/>
    <w:rsid w:val="00B60CFA"/>
    <w:rsid w:val="00B60D06"/>
    <w:rsid w:val="00B60F9F"/>
    <w:rsid w:val="00B619F7"/>
    <w:rsid w:val="00B622F8"/>
    <w:rsid w:val="00B62584"/>
    <w:rsid w:val="00B62E41"/>
    <w:rsid w:val="00B63A0B"/>
    <w:rsid w:val="00B63AE0"/>
    <w:rsid w:val="00B63F85"/>
    <w:rsid w:val="00B642A9"/>
    <w:rsid w:val="00B6517E"/>
    <w:rsid w:val="00B654C7"/>
    <w:rsid w:val="00B660D1"/>
    <w:rsid w:val="00B66BDF"/>
    <w:rsid w:val="00B67C11"/>
    <w:rsid w:val="00B702C6"/>
    <w:rsid w:val="00B704BF"/>
    <w:rsid w:val="00B70CB6"/>
    <w:rsid w:val="00B70D77"/>
    <w:rsid w:val="00B70E7D"/>
    <w:rsid w:val="00B719E8"/>
    <w:rsid w:val="00B719F8"/>
    <w:rsid w:val="00B72885"/>
    <w:rsid w:val="00B73245"/>
    <w:rsid w:val="00B732FC"/>
    <w:rsid w:val="00B7409F"/>
    <w:rsid w:val="00B74214"/>
    <w:rsid w:val="00B747A0"/>
    <w:rsid w:val="00B75012"/>
    <w:rsid w:val="00B75E32"/>
    <w:rsid w:val="00B76BD9"/>
    <w:rsid w:val="00B76E64"/>
    <w:rsid w:val="00B76EF1"/>
    <w:rsid w:val="00B76F17"/>
    <w:rsid w:val="00B770E5"/>
    <w:rsid w:val="00B77199"/>
    <w:rsid w:val="00B774E5"/>
    <w:rsid w:val="00B775D1"/>
    <w:rsid w:val="00B8195D"/>
    <w:rsid w:val="00B82293"/>
    <w:rsid w:val="00B82554"/>
    <w:rsid w:val="00B825DC"/>
    <w:rsid w:val="00B830FD"/>
    <w:rsid w:val="00B83960"/>
    <w:rsid w:val="00B83EF9"/>
    <w:rsid w:val="00B83F54"/>
    <w:rsid w:val="00B84CFD"/>
    <w:rsid w:val="00B8513B"/>
    <w:rsid w:val="00B85380"/>
    <w:rsid w:val="00B85A0D"/>
    <w:rsid w:val="00B86128"/>
    <w:rsid w:val="00B8643B"/>
    <w:rsid w:val="00B873ED"/>
    <w:rsid w:val="00B876CF"/>
    <w:rsid w:val="00B87981"/>
    <w:rsid w:val="00B903F5"/>
    <w:rsid w:val="00B91297"/>
    <w:rsid w:val="00B9192F"/>
    <w:rsid w:val="00B9222A"/>
    <w:rsid w:val="00B9284E"/>
    <w:rsid w:val="00B92AD7"/>
    <w:rsid w:val="00B92B20"/>
    <w:rsid w:val="00B92C50"/>
    <w:rsid w:val="00B9360C"/>
    <w:rsid w:val="00B93EA0"/>
    <w:rsid w:val="00B940F0"/>
    <w:rsid w:val="00B94E24"/>
    <w:rsid w:val="00B95589"/>
    <w:rsid w:val="00B959FE"/>
    <w:rsid w:val="00B9647B"/>
    <w:rsid w:val="00B9656F"/>
    <w:rsid w:val="00B9668E"/>
    <w:rsid w:val="00B96A1E"/>
    <w:rsid w:val="00B96D5F"/>
    <w:rsid w:val="00B97082"/>
    <w:rsid w:val="00B978F4"/>
    <w:rsid w:val="00BA1CC2"/>
    <w:rsid w:val="00BA2620"/>
    <w:rsid w:val="00BA26C1"/>
    <w:rsid w:val="00BA27D8"/>
    <w:rsid w:val="00BA2D50"/>
    <w:rsid w:val="00BA3100"/>
    <w:rsid w:val="00BA3B2D"/>
    <w:rsid w:val="00BA454C"/>
    <w:rsid w:val="00BA46FF"/>
    <w:rsid w:val="00BA5290"/>
    <w:rsid w:val="00BA5342"/>
    <w:rsid w:val="00BA55C8"/>
    <w:rsid w:val="00BA587D"/>
    <w:rsid w:val="00BA6E3B"/>
    <w:rsid w:val="00BA7580"/>
    <w:rsid w:val="00BB095D"/>
    <w:rsid w:val="00BB0E62"/>
    <w:rsid w:val="00BB10B5"/>
    <w:rsid w:val="00BB1178"/>
    <w:rsid w:val="00BB1BDA"/>
    <w:rsid w:val="00BB20A4"/>
    <w:rsid w:val="00BB2A5C"/>
    <w:rsid w:val="00BB2B05"/>
    <w:rsid w:val="00BB2BA7"/>
    <w:rsid w:val="00BB2E2F"/>
    <w:rsid w:val="00BB2F13"/>
    <w:rsid w:val="00BB3B31"/>
    <w:rsid w:val="00BB3B69"/>
    <w:rsid w:val="00BB5355"/>
    <w:rsid w:val="00BB64BD"/>
    <w:rsid w:val="00BB6688"/>
    <w:rsid w:val="00BB6BB9"/>
    <w:rsid w:val="00BB6F93"/>
    <w:rsid w:val="00BB703B"/>
    <w:rsid w:val="00BB7191"/>
    <w:rsid w:val="00BB7574"/>
    <w:rsid w:val="00BC0501"/>
    <w:rsid w:val="00BC0DB5"/>
    <w:rsid w:val="00BC1E9C"/>
    <w:rsid w:val="00BC209C"/>
    <w:rsid w:val="00BC2D1E"/>
    <w:rsid w:val="00BC39E5"/>
    <w:rsid w:val="00BC3D4B"/>
    <w:rsid w:val="00BC3D85"/>
    <w:rsid w:val="00BC50FA"/>
    <w:rsid w:val="00BC5E77"/>
    <w:rsid w:val="00BC5FF3"/>
    <w:rsid w:val="00BC60B2"/>
    <w:rsid w:val="00BC60DB"/>
    <w:rsid w:val="00BC63D1"/>
    <w:rsid w:val="00BC72A7"/>
    <w:rsid w:val="00BC7FE9"/>
    <w:rsid w:val="00BD0A1D"/>
    <w:rsid w:val="00BD0BB8"/>
    <w:rsid w:val="00BD10EA"/>
    <w:rsid w:val="00BD19C6"/>
    <w:rsid w:val="00BD2DA7"/>
    <w:rsid w:val="00BD34CC"/>
    <w:rsid w:val="00BD3E9E"/>
    <w:rsid w:val="00BD4ADB"/>
    <w:rsid w:val="00BD4DB6"/>
    <w:rsid w:val="00BD4E6D"/>
    <w:rsid w:val="00BD55C1"/>
    <w:rsid w:val="00BD5DBA"/>
    <w:rsid w:val="00BD71B4"/>
    <w:rsid w:val="00BD7771"/>
    <w:rsid w:val="00BD7A87"/>
    <w:rsid w:val="00BD7F30"/>
    <w:rsid w:val="00BE01F3"/>
    <w:rsid w:val="00BE0522"/>
    <w:rsid w:val="00BE0BAB"/>
    <w:rsid w:val="00BE10A9"/>
    <w:rsid w:val="00BE1903"/>
    <w:rsid w:val="00BE1BFB"/>
    <w:rsid w:val="00BE278F"/>
    <w:rsid w:val="00BE31A0"/>
    <w:rsid w:val="00BE3247"/>
    <w:rsid w:val="00BE33A8"/>
    <w:rsid w:val="00BE3CC0"/>
    <w:rsid w:val="00BE491E"/>
    <w:rsid w:val="00BE4AAB"/>
    <w:rsid w:val="00BE5054"/>
    <w:rsid w:val="00BE5651"/>
    <w:rsid w:val="00BE655C"/>
    <w:rsid w:val="00BE66A0"/>
    <w:rsid w:val="00BE66BC"/>
    <w:rsid w:val="00BE6801"/>
    <w:rsid w:val="00BE6E8F"/>
    <w:rsid w:val="00BE78E6"/>
    <w:rsid w:val="00BE7A44"/>
    <w:rsid w:val="00BF0B71"/>
    <w:rsid w:val="00BF1928"/>
    <w:rsid w:val="00BF233D"/>
    <w:rsid w:val="00BF369D"/>
    <w:rsid w:val="00BF4E0E"/>
    <w:rsid w:val="00BF51F4"/>
    <w:rsid w:val="00BF5431"/>
    <w:rsid w:val="00BF58CE"/>
    <w:rsid w:val="00BF5CB8"/>
    <w:rsid w:val="00BF68CB"/>
    <w:rsid w:val="00BF6EA6"/>
    <w:rsid w:val="00BF77AE"/>
    <w:rsid w:val="00BF7908"/>
    <w:rsid w:val="00BF7A5D"/>
    <w:rsid w:val="00BF7B49"/>
    <w:rsid w:val="00C0014A"/>
    <w:rsid w:val="00C009D1"/>
    <w:rsid w:val="00C01183"/>
    <w:rsid w:val="00C0139D"/>
    <w:rsid w:val="00C01433"/>
    <w:rsid w:val="00C01A8E"/>
    <w:rsid w:val="00C02185"/>
    <w:rsid w:val="00C02E56"/>
    <w:rsid w:val="00C0331E"/>
    <w:rsid w:val="00C03754"/>
    <w:rsid w:val="00C03975"/>
    <w:rsid w:val="00C04290"/>
    <w:rsid w:val="00C054FD"/>
    <w:rsid w:val="00C0567A"/>
    <w:rsid w:val="00C06457"/>
    <w:rsid w:val="00C06677"/>
    <w:rsid w:val="00C06A0C"/>
    <w:rsid w:val="00C072B9"/>
    <w:rsid w:val="00C10132"/>
    <w:rsid w:val="00C11470"/>
    <w:rsid w:val="00C11590"/>
    <w:rsid w:val="00C11838"/>
    <w:rsid w:val="00C118B2"/>
    <w:rsid w:val="00C12313"/>
    <w:rsid w:val="00C123D7"/>
    <w:rsid w:val="00C13F56"/>
    <w:rsid w:val="00C14124"/>
    <w:rsid w:val="00C1583F"/>
    <w:rsid w:val="00C162A5"/>
    <w:rsid w:val="00C1657B"/>
    <w:rsid w:val="00C16EB8"/>
    <w:rsid w:val="00C17274"/>
    <w:rsid w:val="00C17472"/>
    <w:rsid w:val="00C174F2"/>
    <w:rsid w:val="00C17AC8"/>
    <w:rsid w:val="00C20639"/>
    <w:rsid w:val="00C20A82"/>
    <w:rsid w:val="00C211D8"/>
    <w:rsid w:val="00C212AD"/>
    <w:rsid w:val="00C2194A"/>
    <w:rsid w:val="00C221F5"/>
    <w:rsid w:val="00C22249"/>
    <w:rsid w:val="00C22658"/>
    <w:rsid w:val="00C22B48"/>
    <w:rsid w:val="00C22C05"/>
    <w:rsid w:val="00C24089"/>
    <w:rsid w:val="00C240EF"/>
    <w:rsid w:val="00C24384"/>
    <w:rsid w:val="00C2489D"/>
    <w:rsid w:val="00C24946"/>
    <w:rsid w:val="00C252C4"/>
    <w:rsid w:val="00C26323"/>
    <w:rsid w:val="00C2669C"/>
    <w:rsid w:val="00C2681E"/>
    <w:rsid w:val="00C269CD"/>
    <w:rsid w:val="00C2713E"/>
    <w:rsid w:val="00C277FF"/>
    <w:rsid w:val="00C27E13"/>
    <w:rsid w:val="00C30657"/>
    <w:rsid w:val="00C31D3F"/>
    <w:rsid w:val="00C31F2D"/>
    <w:rsid w:val="00C32066"/>
    <w:rsid w:val="00C3287F"/>
    <w:rsid w:val="00C328BE"/>
    <w:rsid w:val="00C32B2D"/>
    <w:rsid w:val="00C33186"/>
    <w:rsid w:val="00C3324D"/>
    <w:rsid w:val="00C33465"/>
    <w:rsid w:val="00C33A47"/>
    <w:rsid w:val="00C33BCA"/>
    <w:rsid w:val="00C3489C"/>
    <w:rsid w:val="00C349A2"/>
    <w:rsid w:val="00C34DE8"/>
    <w:rsid w:val="00C35386"/>
    <w:rsid w:val="00C3598F"/>
    <w:rsid w:val="00C35AEE"/>
    <w:rsid w:val="00C36B18"/>
    <w:rsid w:val="00C36BC2"/>
    <w:rsid w:val="00C36D50"/>
    <w:rsid w:val="00C408DE"/>
    <w:rsid w:val="00C421B8"/>
    <w:rsid w:val="00C4242D"/>
    <w:rsid w:val="00C42528"/>
    <w:rsid w:val="00C42C9E"/>
    <w:rsid w:val="00C42E74"/>
    <w:rsid w:val="00C4346E"/>
    <w:rsid w:val="00C43EEA"/>
    <w:rsid w:val="00C43FEC"/>
    <w:rsid w:val="00C443F0"/>
    <w:rsid w:val="00C4448B"/>
    <w:rsid w:val="00C448FE"/>
    <w:rsid w:val="00C44992"/>
    <w:rsid w:val="00C44BC7"/>
    <w:rsid w:val="00C44EBA"/>
    <w:rsid w:val="00C452B0"/>
    <w:rsid w:val="00C454B1"/>
    <w:rsid w:val="00C4597D"/>
    <w:rsid w:val="00C46B00"/>
    <w:rsid w:val="00C46B4F"/>
    <w:rsid w:val="00C46C6C"/>
    <w:rsid w:val="00C46CA1"/>
    <w:rsid w:val="00C46CA9"/>
    <w:rsid w:val="00C46D86"/>
    <w:rsid w:val="00C46ED3"/>
    <w:rsid w:val="00C47179"/>
    <w:rsid w:val="00C47BF8"/>
    <w:rsid w:val="00C50864"/>
    <w:rsid w:val="00C50E3F"/>
    <w:rsid w:val="00C51BAF"/>
    <w:rsid w:val="00C51DA8"/>
    <w:rsid w:val="00C5221E"/>
    <w:rsid w:val="00C52C9B"/>
    <w:rsid w:val="00C5325A"/>
    <w:rsid w:val="00C546C9"/>
    <w:rsid w:val="00C549AA"/>
    <w:rsid w:val="00C54DE1"/>
    <w:rsid w:val="00C54F62"/>
    <w:rsid w:val="00C550A1"/>
    <w:rsid w:val="00C55710"/>
    <w:rsid w:val="00C559C9"/>
    <w:rsid w:val="00C55E49"/>
    <w:rsid w:val="00C56497"/>
    <w:rsid w:val="00C605D4"/>
    <w:rsid w:val="00C60778"/>
    <w:rsid w:val="00C61777"/>
    <w:rsid w:val="00C62D7F"/>
    <w:rsid w:val="00C62E18"/>
    <w:rsid w:val="00C6346F"/>
    <w:rsid w:val="00C6369F"/>
    <w:rsid w:val="00C64996"/>
    <w:rsid w:val="00C64A6B"/>
    <w:rsid w:val="00C64F56"/>
    <w:rsid w:val="00C65247"/>
    <w:rsid w:val="00C65829"/>
    <w:rsid w:val="00C6585C"/>
    <w:rsid w:val="00C6651E"/>
    <w:rsid w:val="00C66892"/>
    <w:rsid w:val="00C66A94"/>
    <w:rsid w:val="00C67077"/>
    <w:rsid w:val="00C70110"/>
    <w:rsid w:val="00C70750"/>
    <w:rsid w:val="00C70BB5"/>
    <w:rsid w:val="00C70DAC"/>
    <w:rsid w:val="00C7136F"/>
    <w:rsid w:val="00C71493"/>
    <w:rsid w:val="00C7168E"/>
    <w:rsid w:val="00C72B8F"/>
    <w:rsid w:val="00C72C34"/>
    <w:rsid w:val="00C73255"/>
    <w:rsid w:val="00C73719"/>
    <w:rsid w:val="00C74247"/>
    <w:rsid w:val="00C743CD"/>
    <w:rsid w:val="00C74607"/>
    <w:rsid w:val="00C751F0"/>
    <w:rsid w:val="00C75C80"/>
    <w:rsid w:val="00C75DCD"/>
    <w:rsid w:val="00C7681A"/>
    <w:rsid w:val="00C769B7"/>
    <w:rsid w:val="00C76D61"/>
    <w:rsid w:val="00C77005"/>
    <w:rsid w:val="00C778CC"/>
    <w:rsid w:val="00C77988"/>
    <w:rsid w:val="00C80B2B"/>
    <w:rsid w:val="00C81059"/>
    <w:rsid w:val="00C818CC"/>
    <w:rsid w:val="00C821B5"/>
    <w:rsid w:val="00C82E8F"/>
    <w:rsid w:val="00C83753"/>
    <w:rsid w:val="00C83779"/>
    <w:rsid w:val="00C838AF"/>
    <w:rsid w:val="00C83907"/>
    <w:rsid w:val="00C83919"/>
    <w:rsid w:val="00C83EE2"/>
    <w:rsid w:val="00C84944"/>
    <w:rsid w:val="00C84D30"/>
    <w:rsid w:val="00C84DD2"/>
    <w:rsid w:val="00C85226"/>
    <w:rsid w:val="00C859CC"/>
    <w:rsid w:val="00C85B72"/>
    <w:rsid w:val="00C85CCF"/>
    <w:rsid w:val="00C8613E"/>
    <w:rsid w:val="00C8690C"/>
    <w:rsid w:val="00C874A7"/>
    <w:rsid w:val="00C87535"/>
    <w:rsid w:val="00C87CBD"/>
    <w:rsid w:val="00C907A2"/>
    <w:rsid w:val="00C90CF9"/>
    <w:rsid w:val="00C90E27"/>
    <w:rsid w:val="00C90ECE"/>
    <w:rsid w:val="00C91731"/>
    <w:rsid w:val="00C91A29"/>
    <w:rsid w:val="00C92B00"/>
    <w:rsid w:val="00C92BC5"/>
    <w:rsid w:val="00C9317E"/>
    <w:rsid w:val="00C93926"/>
    <w:rsid w:val="00C940FE"/>
    <w:rsid w:val="00C946F5"/>
    <w:rsid w:val="00C94A65"/>
    <w:rsid w:val="00C94D9B"/>
    <w:rsid w:val="00C95D96"/>
    <w:rsid w:val="00C95E0C"/>
    <w:rsid w:val="00C95F46"/>
    <w:rsid w:val="00C96492"/>
    <w:rsid w:val="00C96C0D"/>
    <w:rsid w:val="00C96EAA"/>
    <w:rsid w:val="00C977C3"/>
    <w:rsid w:val="00C97BFB"/>
    <w:rsid w:val="00CA0029"/>
    <w:rsid w:val="00CA05C4"/>
    <w:rsid w:val="00CA0B46"/>
    <w:rsid w:val="00CA0DE6"/>
    <w:rsid w:val="00CA1378"/>
    <w:rsid w:val="00CA1C87"/>
    <w:rsid w:val="00CA20E5"/>
    <w:rsid w:val="00CA294E"/>
    <w:rsid w:val="00CA29DD"/>
    <w:rsid w:val="00CA2D47"/>
    <w:rsid w:val="00CA2FDE"/>
    <w:rsid w:val="00CA39BA"/>
    <w:rsid w:val="00CA3DB6"/>
    <w:rsid w:val="00CA3DC9"/>
    <w:rsid w:val="00CA6661"/>
    <w:rsid w:val="00CA68D2"/>
    <w:rsid w:val="00CA6A7B"/>
    <w:rsid w:val="00CA7504"/>
    <w:rsid w:val="00CA7AAF"/>
    <w:rsid w:val="00CA7DE9"/>
    <w:rsid w:val="00CB0237"/>
    <w:rsid w:val="00CB0828"/>
    <w:rsid w:val="00CB0D5C"/>
    <w:rsid w:val="00CB3050"/>
    <w:rsid w:val="00CB30AF"/>
    <w:rsid w:val="00CB378D"/>
    <w:rsid w:val="00CB3A28"/>
    <w:rsid w:val="00CB4253"/>
    <w:rsid w:val="00CB52D8"/>
    <w:rsid w:val="00CB55A3"/>
    <w:rsid w:val="00CB5752"/>
    <w:rsid w:val="00CB5F4D"/>
    <w:rsid w:val="00CB653A"/>
    <w:rsid w:val="00CB70FC"/>
    <w:rsid w:val="00CB7786"/>
    <w:rsid w:val="00CB7D64"/>
    <w:rsid w:val="00CC00EE"/>
    <w:rsid w:val="00CC0F60"/>
    <w:rsid w:val="00CC1475"/>
    <w:rsid w:val="00CC15A7"/>
    <w:rsid w:val="00CC1A2F"/>
    <w:rsid w:val="00CC1A4E"/>
    <w:rsid w:val="00CC1A8B"/>
    <w:rsid w:val="00CC2140"/>
    <w:rsid w:val="00CC3162"/>
    <w:rsid w:val="00CC3614"/>
    <w:rsid w:val="00CC3B94"/>
    <w:rsid w:val="00CC4423"/>
    <w:rsid w:val="00CC49C1"/>
    <w:rsid w:val="00CC5EFD"/>
    <w:rsid w:val="00CC601C"/>
    <w:rsid w:val="00CC6FFA"/>
    <w:rsid w:val="00CD0D6D"/>
    <w:rsid w:val="00CD19A3"/>
    <w:rsid w:val="00CD1F2C"/>
    <w:rsid w:val="00CD2198"/>
    <w:rsid w:val="00CD296C"/>
    <w:rsid w:val="00CD2D87"/>
    <w:rsid w:val="00CD30AD"/>
    <w:rsid w:val="00CD3304"/>
    <w:rsid w:val="00CD3CC0"/>
    <w:rsid w:val="00CD4263"/>
    <w:rsid w:val="00CD4975"/>
    <w:rsid w:val="00CD4ACE"/>
    <w:rsid w:val="00CD53DC"/>
    <w:rsid w:val="00CD5605"/>
    <w:rsid w:val="00CD562F"/>
    <w:rsid w:val="00CD5D03"/>
    <w:rsid w:val="00CD5F79"/>
    <w:rsid w:val="00CD6129"/>
    <w:rsid w:val="00CD6A8E"/>
    <w:rsid w:val="00CD708C"/>
    <w:rsid w:val="00CD764C"/>
    <w:rsid w:val="00CD784C"/>
    <w:rsid w:val="00CE001A"/>
    <w:rsid w:val="00CE204D"/>
    <w:rsid w:val="00CE22AB"/>
    <w:rsid w:val="00CE28BA"/>
    <w:rsid w:val="00CE345F"/>
    <w:rsid w:val="00CE369E"/>
    <w:rsid w:val="00CE3760"/>
    <w:rsid w:val="00CE377A"/>
    <w:rsid w:val="00CE39D5"/>
    <w:rsid w:val="00CE3C11"/>
    <w:rsid w:val="00CE404A"/>
    <w:rsid w:val="00CE5C33"/>
    <w:rsid w:val="00CE608E"/>
    <w:rsid w:val="00CE65C1"/>
    <w:rsid w:val="00CE6EB5"/>
    <w:rsid w:val="00CE70C2"/>
    <w:rsid w:val="00CE7394"/>
    <w:rsid w:val="00CE7F7C"/>
    <w:rsid w:val="00CF0A2B"/>
    <w:rsid w:val="00CF0B9E"/>
    <w:rsid w:val="00CF0BCB"/>
    <w:rsid w:val="00CF0F06"/>
    <w:rsid w:val="00CF1173"/>
    <w:rsid w:val="00CF14C7"/>
    <w:rsid w:val="00CF15B5"/>
    <w:rsid w:val="00CF2C03"/>
    <w:rsid w:val="00CF3280"/>
    <w:rsid w:val="00CF35D4"/>
    <w:rsid w:val="00CF41A1"/>
    <w:rsid w:val="00CF42E6"/>
    <w:rsid w:val="00CF4651"/>
    <w:rsid w:val="00CF5142"/>
    <w:rsid w:val="00CF5986"/>
    <w:rsid w:val="00CF62CB"/>
    <w:rsid w:val="00CF738F"/>
    <w:rsid w:val="00CF789D"/>
    <w:rsid w:val="00CF7DD8"/>
    <w:rsid w:val="00D005AE"/>
    <w:rsid w:val="00D0093C"/>
    <w:rsid w:val="00D00AD6"/>
    <w:rsid w:val="00D00BE1"/>
    <w:rsid w:val="00D0168A"/>
    <w:rsid w:val="00D01931"/>
    <w:rsid w:val="00D01B19"/>
    <w:rsid w:val="00D0205A"/>
    <w:rsid w:val="00D02255"/>
    <w:rsid w:val="00D026DB"/>
    <w:rsid w:val="00D0283A"/>
    <w:rsid w:val="00D02C27"/>
    <w:rsid w:val="00D02CB5"/>
    <w:rsid w:val="00D03CAA"/>
    <w:rsid w:val="00D041CE"/>
    <w:rsid w:val="00D04917"/>
    <w:rsid w:val="00D05013"/>
    <w:rsid w:val="00D050B8"/>
    <w:rsid w:val="00D056C4"/>
    <w:rsid w:val="00D0579E"/>
    <w:rsid w:val="00D058D6"/>
    <w:rsid w:val="00D064E0"/>
    <w:rsid w:val="00D06A61"/>
    <w:rsid w:val="00D06BE2"/>
    <w:rsid w:val="00D06FDA"/>
    <w:rsid w:val="00D07061"/>
    <w:rsid w:val="00D07F1E"/>
    <w:rsid w:val="00D10309"/>
    <w:rsid w:val="00D10929"/>
    <w:rsid w:val="00D10F22"/>
    <w:rsid w:val="00D1103A"/>
    <w:rsid w:val="00D11B26"/>
    <w:rsid w:val="00D11D12"/>
    <w:rsid w:val="00D1243B"/>
    <w:rsid w:val="00D125E3"/>
    <w:rsid w:val="00D125ED"/>
    <w:rsid w:val="00D12C51"/>
    <w:rsid w:val="00D14FA5"/>
    <w:rsid w:val="00D152C2"/>
    <w:rsid w:val="00D15DE5"/>
    <w:rsid w:val="00D1617A"/>
    <w:rsid w:val="00D1618C"/>
    <w:rsid w:val="00D172EF"/>
    <w:rsid w:val="00D17D07"/>
    <w:rsid w:val="00D17E53"/>
    <w:rsid w:val="00D17E9B"/>
    <w:rsid w:val="00D17F97"/>
    <w:rsid w:val="00D205BC"/>
    <w:rsid w:val="00D20DEA"/>
    <w:rsid w:val="00D20E3A"/>
    <w:rsid w:val="00D20E86"/>
    <w:rsid w:val="00D21279"/>
    <w:rsid w:val="00D2150E"/>
    <w:rsid w:val="00D21773"/>
    <w:rsid w:val="00D2215D"/>
    <w:rsid w:val="00D2377A"/>
    <w:rsid w:val="00D2377E"/>
    <w:rsid w:val="00D242CB"/>
    <w:rsid w:val="00D24331"/>
    <w:rsid w:val="00D24598"/>
    <w:rsid w:val="00D247EF"/>
    <w:rsid w:val="00D24CA2"/>
    <w:rsid w:val="00D25A80"/>
    <w:rsid w:val="00D26856"/>
    <w:rsid w:val="00D269FA"/>
    <w:rsid w:val="00D274A1"/>
    <w:rsid w:val="00D274B4"/>
    <w:rsid w:val="00D27AE1"/>
    <w:rsid w:val="00D307FB"/>
    <w:rsid w:val="00D30913"/>
    <w:rsid w:val="00D312F0"/>
    <w:rsid w:val="00D31BF4"/>
    <w:rsid w:val="00D329CB"/>
    <w:rsid w:val="00D32E20"/>
    <w:rsid w:val="00D33400"/>
    <w:rsid w:val="00D338B6"/>
    <w:rsid w:val="00D33C4E"/>
    <w:rsid w:val="00D340F4"/>
    <w:rsid w:val="00D343A9"/>
    <w:rsid w:val="00D34844"/>
    <w:rsid w:val="00D35344"/>
    <w:rsid w:val="00D35A71"/>
    <w:rsid w:val="00D366FF"/>
    <w:rsid w:val="00D36825"/>
    <w:rsid w:val="00D3744C"/>
    <w:rsid w:val="00D40901"/>
    <w:rsid w:val="00D40C2E"/>
    <w:rsid w:val="00D4107E"/>
    <w:rsid w:val="00D41A8C"/>
    <w:rsid w:val="00D41C76"/>
    <w:rsid w:val="00D432AF"/>
    <w:rsid w:val="00D43948"/>
    <w:rsid w:val="00D43A59"/>
    <w:rsid w:val="00D44075"/>
    <w:rsid w:val="00D440D8"/>
    <w:rsid w:val="00D44C5C"/>
    <w:rsid w:val="00D45316"/>
    <w:rsid w:val="00D4581C"/>
    <w:rsid w:val="00D458CD"/>
    <w:rsid w:val="00D459DA"/>
    <w:rsid w:val="00D4623A"/>
    <w:rsid w:val="00D46289"/>
    <w:rsid w:val="00D46455"/>
    <w:rsid w:val="00D46499"/>
    <w:rsid w:val="00D4719D"/>
    <w:rsid w:val="00D50261"/>
    <w:rsid w:val="00D50903"/>
    <w:rsid w:val="00D50EC1"/>
    <w:rsid w:val="00D510FE"/>
    <w:rsid w:val="00D51F38"/>
    <w:rsid w:val="00D520E9"/>
    <w:rsid w:val="00D526F1"/>
    <w:rsid w:val="00D52705"/>
    <w:rsid w:val="00D5311B"/>
    <w:rsid w:val="00D53A3D"/>
    <w:rsid w:val="00D54084"/>
    <w:rsid w:val="00D54F1F"/>
    <w:rsid w:val="00D55436"/>
    <w:rsid w:val="00D5582A"/>
    <w:rsid w:val="00D5586E"/>
    <w:rsid w:val="00D56318"/>
    <w:rsid w:val="00D57002"/>
    <w:rsid w:val="00D5735F"/>
    <w:rsid w:val="00D57784"/>
    <w:rsid w:val="00D57EF6"/>
    <w:rsid w:val="00D60377"/>
    <w:rsid w:val="00D6071F"/>
    <w:rsid w:val="00D60C55"/>
    <w:rsid w:val="00D611C5"/>
    <w:rsid w:val="00D6177C"/>
    <w:rsid w:val="00D618D8"/>
    <w:rsid w:val="00D61ADD"/>
    <w:rsid w:val="00D61DB7"/>
    <w:rsid w:val="00D6233E"/>
    <w:rsid w:val="00D62920"/>
    <w:rsid w:val="00D62E68"/>
    <w:rsid w:val="00D63CDA"/>
    <w:rsid w:val="00D6414C"/>
    <w:rsid w:val="00D646F0"/>
    <w:rsid w:val="00D64EB7"/>
    <w:rsid w:val="00D65723"/>
    <w:rsid w:val="00D66144"/>
    <w:rsid w:val="00D6627A"/>
    <w:rsid w:val="00D66633"/>
    <w:rsid w:val="00D66D2C"/>
    <w:rsid w:val="00D702FA"/>
    <w:rsid w:val="00D7113F"/>
    <w:rsid w:val="00D71354"/>
    <w:rsid w:val="00D71BA1"/>
    <w:rsid w:val="00D7204F"/>
    <w:rsid w:val="00D7241D"/>
    <w:rsid w:val="00D72654"/>
    <w:rsid w:val="00D72EFE"/>
    <w:rsid w:val="00D73FF1"/>
    <w:rsid w:val="00D74141"/>
    <w:rsid w:val="00D746D0"/>
    <w:rsid w:val="00D74765"/>
    <w:rsid w:val="00D7525E"/>
    <w:rsid w:val="00D758B5"/>
    <w:rsid w:val="00D758F7"/>
    <w:rsid w:val="00D75A04"/>
    <w:rsid w:val="00D75C41"/>
    <w:rsid w:val="00D76C62"/>
    <w:rsid w:val="00D7788D"/>
    <w:rsid w:val="00D800A1"/>
    <w:rsid w:val="00D8017E"/>
    <w:rsid w:val="00D808AA"/>
    <w:rsid w:val="00D8091C"/>
    <w:rsid w:val="00D813FD"/>
    <w:rsid w:val="00D819AF"/>
    <w:rsid w:val="00D81FE5"/>
    <w:rsid w:val="00D82733"/>
    <w:rsid w:val="00D839F9"/>
    <w:rsid w:val="00D83D34"/>
    <w:rsid w:val="00D83DDC"/>
    <w:rsid w:val="00D83EB0"/>
    <w:rsid w:val="00D8453E"/>
    <w:rsid w:val="00D8462F"/>
    <w:rsid w:val="00D8502A"/>
    <w:rsid w:val="00D85063"/>
    <w:rsid w:val="00D85527"/>
    <w:rsid w:val="00D855BE"/>
    <w:rsid w:val="00D870B2"/>
    <w:rsid w:val="00D9137A"/>
    <w:rsid w:val="00D91415"/>
    <w:rsid w:val="00D917A6"/>
    <w:rsid w:val="00D91ECC"/>
    <w:rsid w:val="00D924F5"/>
    <w:rsid w:val="00D927CB"/>
    <w:rsid w:val="00D92902"/>
    <w:rsid w:val="00D929A9"/>
    <w:rsid w:val="00D92EB9"/>
    <w:rsid w:val="00D935C3"/>
    <w:rsid w:val="00D93694"/>
    <w:rsid w:val="00D9379F"/>
    <w:rsid w:val="00D93DA8"/>
    <w:rsid w:val="00D94223"/>
    <w:rsid w:val="00D9438C"/>
    <w:rsid w:val="00D94433"/>
    <w:rsid w:val="00D94C69"/>
    <w:rsid w:val="00D951D7"/>
    <w:rsid w:val="00D95B55"/>
    <w:rsid w:val="00D95DB9"/>
    <w:rsid w:val="00D95DEE"/>
    <w:rsid w:val="00D961B5"/>
    <w:rsid w:val="00D964D7"/>
    <w:rsid w:val="00D97606"/>
    <w:rsid w:val="00DA084C"/>
    <w:rsid w:val="00DA14D6"/>
    <w:rsid w:val="00DA161E"/>
    <w:rsid w:val="00DA184F"/>
    <w:rsid w:val="00DA1D52"/>
    <w:rsid w:val="00DA20D0"/>
    <w:rsid w:val="00DA2B79"/>
    <w:rsid w:val="00DA2C29"/>
    <w:rsid w:val="00DA2D11"/>
    <w:rsid w:val="00DA2DE0"/>
    <w:rsid w:val="00DA34E1"/>
    <w:rsid w:val="00DA366F"/>
    <w:rsid w:val="00DA3D0D"/>
    <w:rsid w:val="00DA404D"/>
    <w:rsid w:val="00DA4091"/>
    <w:rsid w:val="00DA48A5"/>
    <w:rsid w:val="00DA5374"/>
    <w:rsid w:val="00DA5971"/>
    <w:rsid w:val="00DA5DB2"/>
    <w:rsid w:val="00DA6021"/>
    <w:rsid w:val="00DA62CC"/>
    <w:rsid w:val="00DA6753"/>
    <w:rsid w:val="00DA683A"/>
    <w:rsid w:val="00DA756F"/>
    <w:rsid w:val="00DA7A10"/>
    <w:rsid w:val="00DA7A13"/>
    <w:rsid w:val="00DA7A47"/>
    <w:rsid w:val="00DA7BBA"/>
    <w:rsid w:val="00DB162E"/>
    <w:rsid w:val="00DB166C"/>
    <w:rsid w:val="00DB1988"/>
    <w:rsid w:val="00DB1D08"/>
    <w:rsid w:val="00DB1DAE"/>
    <w:rsid w:val="00DB1F53"/>
    <w:rsid w:val="00DB22BF"/>
    <w:rsid w:val="00DB3388"/>
    <w:rsid w:val="00DB3DE7"/>
    <w:rsid w:val="00DB42C3"/>
    <w:rsid w:val="00DB4396"/>
    <w:rsid w:val="00DB4737"/>
    <w:rsid w:val="00DB4919"/>
    <w:rsid w:val="00DB4966"/>
    <w:rsid w:val="00DB549A"/>
    <w:rsid w:val="00DB58D4"/>
    <w:rsid w:val="00DB6100"/>
    <w:rsid w:val="00DB625F"/>
    <w:rsid w:val="00DB785C"/>
    <w:rsid w:val="00DB7887"/>
    <w:rsid w:val="00DC0991"/>
    <w:rsid w:val="00DC15A3"/>
    <w:rsid w:val="00DC2177"/>
    <w:rsid w:val="00DC3BFE"/>
    <w:rsid w:val="00DC3E93"/>
    <w:rsid w:val="00DC4279"/>
    <w:rsid w:val="00DC44F2"/>
    <w:rsid w:val="00DC4556"/>
    <w:rsid w:val="00DC48F7"/>
    <w:rsid w:val="00DC4D28"/>
    <w:rsid w:val="00DC4EFA"/>
    <w:rsid w:val="00DC5606"/>
    <w:rsid w:val="00DC561E"/>
    <w:rsid w:val="00DC702B"/>
    <w:rsid w:val="00DC724A"/>
    <w:rsid w:val="00DC76E0"/>
    <w:rsid w:val="00DC7A58"/>
    <w:rsid w:val="00DC7C3D"/>
    <w:rsid w:val="00DD0461"/>
    <w:rsid w:val="00DD1E2B"/>
    <w:rsid w:val="00DD1F29"/>
    <w:rsid w:val="00DD2ABD"/>
    <w:rsid w:val="00DD3131"/>
    <w:rsid w:val="00DD314B"/>
    <w:rsid w:val="00DD35E8"/>
    <w:rsid w:val="00DD373C"/>
    <w:rsid w:val="00DD49EE"/>
    <w:rsid w:val="00DD4AD7"/>
    <w:rsid w:val="00DD5550"/>
    <w:rsid w:val="00DD5B0C"/>
    <w:rsid w:val="00DD5C40"/>
    <w:rsid w:val="00DD6FA6"/>
    <w:rsid w:val="00DD78CB"/>
    <w:rsid w:val="00DE0045"/>
    <w:rsid w:val="00DE0056"/>
    <w:rsid w:val="00DE048C"/>
    <w:rsid w:val="00DE07FA"/>
    <w:rsid w:val="00DE10CC"/>
    <w:rsid w:val="00DE192A"/>
    <w:rsid w:val="00DE1A65"/>
    <w:rsid w:val="00DE2B8F"/>
    <w:rsid w:val="00DE2E10"/>
    <w:rsid w:val="00DE5072"/>
    <w:rsid w:val="00DE5634"/>
    <w:rsid w:val="00DE5954"/>
    <w:rsid w:val="00DE5EFC"/>
    <w:rsid w:val="00DE6ED1"/>
    <w:rsid w:val="00DE6F16"/>
    <w:rsid w:val="00DE7810"/>
    <w:rsid w:val="00DE7BE5"/>
    <w:rsid w:val="00DE7CAE"/>
    <w:rsid w:val="00DF01DC"/>
    <w:rsid w:val="00DF1F75"/>
    <w:rsid w:val="00DF2D94"/>
    <w:rsid w:val="00DF449B"/>
    <w:rsid w:val="00DF45F1"/>
    <w:rsid w:val="00DF5143"/>
    <w:rsid w:val="00DF5A48"/>
    <w:rsid w:val="00DF5B56"/>
    <w:rsid w:val="00DF6D25"/>
    <w:rsid w:val="00DF7055"/>
    <w:rsid w:val="00DF71D0"/>
    <w:rsid w:val="00DF792E"/>
    <w:rsid w:val="00E001FD"/>
    <w:rsid w:val="00E002A5"/>
    <w:rsid w:val="00E003E0"/>
    <w:rsid w:val="00E004D8"/>
    <w:rsid w:val="00E00795"/>
    <w:rsid w:val="00E00CA2"/>
    <w:rsid w:val="00E00CBC"/>
    <w:rsid w:val="00E00D19"/>
    <w:rsid w:val="00E00FDB"/>
    <w:rsid w:val="00E01863"/>
    <w:rsid w:val="00E01D04"/>
    <w:rsid w:val="00E01FEB"/>
    <w:rsid w:val="00E02012"/>
    <w:rsid w:val="00E02487"/>
    <w:rsid w:val="00E02757"/>
    <w:rsid w:val="00E02B1A"/>
    <w:rsid w:val="00E03120"/>
    <w:rsid w:val="00E0319F"/>
    <w:rsid w:val="00E03351"/>
    <w:rsid w:val="00E033D1"/>
    <w:rsid w:val="00E03802"/>
    <w:rsid w:val="00E04993"/>
    <w:rsid w:val="00E04A68"/>
    <w:rsid w:val="00E04B1A"/>
    <w:rsid w:val="00E06720"/>
    <w:rsid w:val="00E06916"/>
    <w:rsid w:val="00E073BB"/>
    <w:rsid w:val="00E1073C"/>
    <w:rsid w:val="00E10FE0"/>
    <w:rsid w:val="00E11385"/>
    <w:rsid w:val="00E11CF7"/>
    <w:rsid w:val="00E12061"/>
    <w:rsid w:val="00E12266"/>
    <w:rsid w:val="00E13499"/>
    <w:rsid w:val="00E14008"/>
    <w:rsid w:val="00E14722"/>
    <w:rsid w:val="00E14B5E"/>
    <w:rsid w:val="00E154AA"/>
    <w:rsid w:val="00E15BCB"/>
    <w:rsid w:val="00E16352"/>
    <w:rsid w:val="00E16BE4"/>
    <w:rsid w:val="00E205FB"/>
    <w:rsid w:val="00E20BBA"/>
    <w:rsid w:val="00E20D69"/>
    <w:rsid w:val="00E20DA2"/>
    <w:rsid w:val="00E2103C"/>
    <w:rsid w:val="00E21DE8"/>
    <w:rsid w:val="00E22068"/>
    <w:rsid w:val="00E23815"/>
    <w:rsid w:val="00E23961"/>
    <w:rsid w:val="00E23E99"/>
    <w:rsid w:val="00E24108"/>
    <w:rsid w:val="00E2471B"/>
    <w:rsid w:val="00E2484B"/>
    <w:rsid w:val="00E24D32"/>
    <w:rsid w:val="00E250D7"/>
    <w:rsid w:val="00E2575B"/>
    <w:rsid w:val="00E25B3E"/>
    <w:rsid w:val="00E26E9A"/>
    <w:rsid w:val="00E30069"/>
    <w:rsid w:val="00E31AD0"/>
    <w:rsid w:val="00E31D09"/>
    <w:rsid w:val="00E32145"/>
    <w:rsid w:val="00E34900"/>
    <w:rsid w:val="00E34CE8"/>
    <w:rsid w:val="00E34CF8"/>
    <w:rsid w:val="00E35471"/>
    <w:rsid w:val="00E356A8"/>
    <w:rsid w:val="00E36AE8"/>
    <w:rsid w:val="00E37776"/>
    <w:rsid w:val="00E4041C"/>
    <w:rsid w:val="00E4173A"/>
    <w:rsid w:val="00E42042"/>
    <w:rsid w:val="00E42133"/>
    <w:rsid w:val="00E42B5C"/>
    <w:rsid w:val="00E42C65"/>
    <w:rsid w:val="00E430A2"/>
    <w:rsid w:val="00E4329F"/>
    <w:rsid w:val="00E432CF"/>
    <w:rsid w:val="00E43EBF"/>
    <w:rsid w:val="00E43F20"/>
    <w:rsid w:val="00E44244"/>
    <w:rsid w:val="00E442D5"/>
    <w:rsid w:val="00E450F9"/>
    <w:rsid w:val="00E45276"/>
    <w:rsid w:val="00E46415"/>
    <w:rsid w:val="00E469D1"/>
    <w:rsid w:val="00E469EE"/>
    <w:rsid w:val="00E46F0F"/>
    <w:rsid w:val="00E46FBD"/>
    <w:rsid w:val="00E4732E"/>
    <w:rsid w:val="00E505D5"/>
    <w:rsid w:val="00E509AA"/>
    <w:rsid w:val="00E5184B"/>
    <w:rsid w:val="00E52292"/>
    <w:rsid w:val="00E522A7"/>
    <w:rsid w:val="00E530DD"/>
    <w:rsid w:val="00E53DBA"/>
    <w:rsid w:val="00E54CA4"/>
    <w:rsid w:val="00E54F6C"/>
    <w:rsid w:val="00E55092"/>
    <w:rsid w:val="00E55682"/>
    <w:rsid w:val="00E562D0"/>
    <w:rsid w:val="00E56449"/>
    <w:rsid w:val="00E5668A"/>
    <w:rsid w:val="00E56968"/>
    <w:rsid w:val="00E572AE"/>
    <w:rsid w:val="00E57F52"/>
    <w:rsid w:val="00E604EA"/>
    <w:rsid w:val="00E60A07"/>
    <w:rsid w:val="00E60DF4"/>
    <w:rsid w:val="00E6140F"/>
    <w:rsid w:val="00E623F4"/>
    <w:rsid w:val="00E62753"/>
    <w:rsid w:val="00E629EF"/>
    <w:rsid w:val="00E62CBB"/>
    <w:rsid w:val="00E635E4"/>
    <w:rsid w:val="00E63FBB"/>
    <w:rsid w:val="00E63FF7"/>
    <w:rsid w:val="00E64BB5"/>
    <w:rsid w:val="00E64D80"/>
    <w:rsid w:val="00E64ECA"/>
    <w:rsid w:val="00E64F95"/>
    <w:rsid w:val="00E652E3"/>
    <w:rsid w:val="00E656CF"/>
    <w:rsid w:val="00E6664F"/>
    <w:rsid w:val="00E6699B"/>
    <w:rsid w:val="00E678BE"/>
    <w:rsid w:val="00E703E6"/>
    <w:rsid w:val="00E7124A"/>
    <w:rsid w:val="00E7278B"/>
    <w:rsid w:val="00E72A18"/>
    <w:rsid w:val="00E72D9B"/>
    <w:rsid w:val="00E7308C"/>
    <w:rsid w:val="00E7369E"/>
    <w:rsid w:val="00E744C7"/>
    <w:rsid w:val="00E74968"/>
    <w:rsid w:val="00E74BB8"/>
    <w:rsid w:val="00E74C17"/>
    <w:rsid w:val="00E7505E"/>
    <w:rsid w:val="00E7564A"/>
    <w:rsid w:val="00E75E1C"/>
    <w:rsid w:val="00E760C6"/>
    <w:rsid w:val="00E7693D"/>
    <w:rsid w:val="00E76CFC"/>
    <w:rsid w:val="00E77AF3"/>
    <w:rsid w:val="00E8043B"/>
    <w:rsid w:val="00E8059D"/>
    <w:rsid w:val="00E8113F"/>
    <w:rsid w:val="00E8138E"/>
    <w:rsid w:val="00E8142C"/>
    <w:rsid w:val="00E81439"/>
    <w:rsid w:val="00E8183D"/>
    <w:rsid w:val="00E81B65"/>
    <w:rsid w:val="00E81EAF"/>
    <w:rsid w:val="00E82103"/>
    <w:rsid w:val="00E824C7"/>
    <w:rsid w:val="00E825E6"/>
    <w:rsid w:val="00E82A9A"/>
    <w:rsid w:val="00E83407"/>
    <w:rsid w:val="00E83E56"/>
    <w:rsid w:val="00E83F75"/>
    <w:rsid w:val="00E84107"/>
    <w:rsid w:val="00E856AC"/>
    <w:rsid w:val="00E85849"/>
    <w:rsid w:val="00E85BDF"/>
    <w:rsid w:val="00E86F86"/>
    <w:rsid w:val="00E87D23"/>
    <w:rsid w:val="00E87DD6"/>
    <w:rsid w:val="00E90524"/>
    <w:rsid w:val="00E9097C"/>
    <w:rsid w:val="00E90FEE"/>
    <w:rsid w:val="00E9135A"/>
    <w:rsid w:val="00E913BE"/>
    <w:rsid w:val="00E91CC1"/>
    <w:rsid w:val="00E92738"/>
    <w:rsid w:val="00E941BD"/>
    <w:rsid w:val="00E941FC"/>
    <w:rsid w:val="00E94AA2"/>
    <w:rsid w:val="00E94C31"/>
    <w:rsid w:val="00E950B8"/>
    <w:rsid w:val="00E95AFB"/>
    <w:rsid w:val="00E95BD5"/>
    <w:rsid w:val="00E961A0"/>
    <w:rsid w:val="00E96407"/>
    <w:rsid w:val="00E9651B"/>
    <w:rsid w:val="00EA0423"/>
    <w:rsid w:val="00EA0807"/>
    <w:rsid w:val="00EA0CCA"/>
    <w:rsid w:val="00EA17EE"/>
    <w:rsid w:val="00EA1966"/>
    <w:rsid w:val="00EA2020"/>
    <w:rsid w:val="00EA21AE"/>
    <w:rsid w:val="00EA269A"/>
    <w:rsid w:val="00EA2C3E"/>
    <w:rsid w:val="00EA2F64"/>
    <w:rsid w:val="00EA3059"/>
    <w:rsid w:val="00EA3F8C"/>
    <w:rsid w:val="00EA45C7"/>
    <w:rsid w:val="00EA49D0"/>
    <w:rsid w:val="00EA4EA2"/>
    <w:rsid w:val="00EA5A72"/>
    <w:rsid w:val="00EA6375"/>
    <w:rsid w:val="00EA711F"/>
    <w:rsid w:val="00EA7A66"/>
    <w:rsid w:val="00EA7CDE"/>
    <w:rsid w:val="00EA7E60"/>
    <w:rsid w:val="00EB0420"/>
    <w:rsid w:val="00EB04C4"/>
    <w:rsid w:val="00EB1039"/>
    <w:rsid w:val="00EB1139"/>
    <w:rsid w:val="00EB14B8"/>
    <w:rsid w:val="00EB1E76"/>
    <w:rsid w:val="00EB1E9F"/>
    <w:rsid w:val="00EB1EE1"/>
    <w:rsid w:val="00EB1EFA"/>
    <w:rsid w:val="00EB209D"/>
    <w:rsid w:val="00EB24F5"/>
    <w:rsid w:val="00EB292B"/>
    <w:rsid w:val="00EB2C52"/>
    <w:rsid w:val="00EB2C98"/>
    <w:rsid w:val="00EB2FA6"/>
    <w:rsid w:val="00EB3630"/>
    <w:rsid w:val="00EB400C"/>
    <w:rsid w:val="00EB4993"/>
    <w:rsid w:val="00EB56AC"/>
    <w:rsid w:val="00EB5860"/>
    <w:rsid w:val="00EB5A15"/>
    <w:rsid w:val="00EB5EE5"/>
    <w:rsid w:val="00EB6A48"/>
    <w:rsid w:val="00EB6C40"/>
    <w:rsid w:val="00EB71CF"/>
    <w:rsid w:val="00EB722B"/>
    <w:rsid w:val="00EC065D"/>
    <w:rsid w:val="00EC07EE"/>
    <w:rsid w:val="00EC1069"/>
    <w:rsid w:val="00EC1E3E"/>
    <w:rsid w:val="00EC25B6"/>
    <w:rsid w:val="00EC2BB8"/>
    <w:rsid w:val="00EC2D43"/>
    <w:rsid w:val="00EC3531"/>
    <w:rsid w:val="00EC384A"/>
    <w:rsid w:val="00EC3AD8"/>
    <w:rsid w:val="00EC41EF"/>
    <w:rsid w:val="00EC4B34"/>
    <w:rsid w:val="00EC5211"/>
    <w:rsid w:val="00EC560A"/>
    <w:rsid w:val="00EC5BA3"/>
    <w:rsid w:val="00EC5EB0"/>
    <w:rsid w:val="00EC69D6"/>
    <w:rsid w:val="00EC6C09"/>
    <w:rsid w:val="00EC6F98"/>
    <w:rsid w:val="00EC74BB"/>
    <w:rsid w:val="00ED008D"/>
    <w:rsid w:val="00ED0FAC"/>
    <w:rsid w:val="00ED0FDD"/>
    <w:rsid w:val="00ED121C"/>
    <w:rsid w:val="00ED1A90"/>
    <w:rsid w:val="00ED2C0A"/>
    <w:rsid w:val="00ED3416"/>
    <w:rsid w:val="00ED3769"/>
    <w:rsid w:val="00ED42E4"/>
    <w:rsid w:val="00ED4701"/>
    <w:rsid w:val="00ED4A5D"/>
    <w:rsid w:val="00ED5039"/>
    <w:rsid w:val="00ED6597"/>
    <w:rsid w:val="00ED702A"/>
    <w:rsid w:val="00ED7250"/>
    <w:rsid w:val="00ED790E"/>
    <w:rsid w:val="00EE04E9"/>
    <w:rsid w:val="00EE0897"/>
    <w:rsid w:val="00EE17BA"/>
    <w:rsid w:val="00EE2233"/>
    <w:rsid w:val="00EE44AB"/>
    <w:rsid w:val="00EE4878"/>
    <w:rsid w:val="00EE5150"/>
    <w:rsid w:val="00EE5197"/>
    <w:rsid w:val="00EE53E6"/>
    <w:rsid w:val="00EE5625"/>
    <w:rsid w:val="00EE59EB"/>
    <w:rsid w:val="00EE5A12"/>
    <w:rsid w:val="00EE6050"/>
    <w:rsid w:val="00EE6D59"/>
    <w:rsid w:val="00EE7094"/>
    <w:rsid w:val="00EE72E8"/>
    <w:rsid w:val="00EE7491"/>
    <w:rsid w:val="00EE7763"/>
    <w:rsid w:val="00EE7BB4"/>
    <w:rsid w:val="00EF0219"/>
    <w:rsid w:val="00EF113B"/>
    <w:rsid w:val="00EF19A9"/>
    <w:rsid w:val="00EF1CE3"/>
    <w:rsid w:val="00EF1E6A"/>
    <w:rsid w:val="00EF2B67"/>
    <w:rsid w:val="00EF3320"/>
    <w:rsid w:val="00EF3EBB"/>
    <w:rsid w:val="00EF6A9C"/>
    <w:rsid w:val="00EF70AC"/>
    <w:rsid w:val="00F005F0"/>
    <w:rsid w:val="00F01091"/>
    <w:rsid w:val="00F01F9C"/>
    <w:rsid w:val="00F02405"/>
    <w:rsid w:val="00F02DC6"/>
    <w:rsid w:val="00F034FB"/>
    <w:rsid w:val="00F038B0"/>
    <w:rsid w:val="00F0419A"/>
    <w:rsid w:val="00F0428C"/>
    <w:rsid w:val="00F04853"/>
    <w:rsid w:val="00F04A1A"/>
    <w:rsid w:val="00F04BF8"/>
    <w:rsid w:val="00F050D2"/>
    <w:rsid w:val="00F062A5"/>
    <w:rsid w:val="00F068B6"/>
    <w:rsid w:val="00F06A09"/>
    <w:rsid w:val="00F06CA6"/>
    <w:rsid w:val="00F073E4"/>
    <w:rsid w:val="00F07539"/>
    <w:rsid w:val="00F078A8"/>
    <w:rsid w:val="00F07D7F"/>
    <w:rsid w:val="00F112FA"/>
    <w:rsid w:val="00F11468"/>
    <w:rsid w:val="00F118C4"/>
    <w:rsid w:val="00F11FBD"/>
    <w:rsid w:val="00F12093"/>
    <w:rsid w:val="00F123A6"/>
    <w:rsid w:val="00F12B9C"/>
    <w:rsid w:val="00F135D2"/>
    <w:rsid w:val="00F135D8"/>
    <w:rsid w:val="00F13A88"/>
    <w:rsid w:val="00F14CE4"/>
    <w:rsid w:val="00F15929"/>
    <w:rsid w:val="00F1646F"/>
    <w:rsid w:val="00F16B87"/>
    <w:rsid w:val="00F16C26"/>
    <w:rsid w:val="00F20F00"/>
    <w:rsid w:val="00F21175"/>
    <w:rsid w:val="00F219FF"/>
    <w:rsid w:val="00F21CF6"/>
    <w:rsid w:val="00F21E91"/>
    <w:rsid w:val="00F22003"/>
    <w:rsid w:val="00F2213C"/>
    <w:rsid w:val="00F223AD"/>
    <w:rsid w:val="00F2286B"/>
    <w:rsid w:val="00F231CE"/>
    <w:rsid w:val="00F236FC"/>
    <w:rsid w:val="00F23CB7"/>
    <w:rsid w:val="00F23CCA"/>
    <w:rsid w:val="00F23D9D"/>
    <w:rsid w:val="00F24E31"/>
    <w:rsid w:val="00F24F7B"/>
    <w:rsid w:val="00F25A5E"/>
    <w:rsid w:val="00F26783"/>
    <w:rsid w:val="00F271F6"/>
    <w:rsid w:val="00F2737D"/>
    <w:rsid w:val="00F2766F"/>
    <w:rsid w:val="00F27B4D"/>
    <w:rsid w:val="00F32251"/>
    <w:rsid w:val="00F3248F"/>
    <w:rsid w:val="00F32EA7"/>
    <w:rsid w:val="00F333F9"/>
    <w:rsid w:val="00F33C94"/>
    <w:rsid w:val="00F33FFD"/>
    <w:rsid w:val="00F3462B"/>
    <w:rsid w:val="00F34EED"/>
    <w:rsid w:val="00F35122"/>
    <w:rsid w:val="00F35C67"/>
    <w:rsid w:val="00F36481"/>
    <w:rsid w:val="00F36B24"/>
    <w:rsid w:val="00F36E38"/>
    <w:rsid w:val="00F36EDD"/>
    <w:rsid w:val="00F40033"/>
    <w:rsid w:val="00F40590"/>
    <w:rsid w:val="00F416A7"/>
    <w:rsid w:val="00F4187F"/>
    <w:rsid w:val="00F41A25"/>
    <w:rsid w:val="00F42998"/>
    <w:rsid w:val="00F43365"/>
    <w:rsid w:val="00F43609"/>
    <w:rsid w:val="00F43AE9"/>
    <w:rsid w:val="00F43DFC"/>
    <w:rsid w:val="00F43F46"/>
    <w:rsid w:val="00F441FF"/>
    <w:rsid w:val="00F4424D"/>
    <w:rsid w:val="00F44E5C"/>
    <w:rsid w:val="00F44FAC"/>
    <w:rsid w:val="00F452DF"/>
    <w:rsid w:val="00F470E6"/>
    <w:rsid w:val="00F4758E"/>
    <w:rsid w:val="00F47890"/>
    <w:rsid w:val="00F47C15"/>
    <w:rsid w:val="00F50718"/>
    <w:rsid w:val="00F50D28"/>
    <w:rsid w:val="00F52AE9"/>
    <w:rsid w:val="00F52DF0"/>
    <w:rsid w:val="00F52F9E"/>
    <w:rsid w:val="00F5350E"/>
    <w:rsid w:val="00F54349"/>
    <w:rsid w:val="00F559F2"/>
    <w:rsid w:val="00F55DC0"/>
    <w:rsid w:val="00F56AAC"/>
    <w:rsid w:val="00F56EF8"/>
    <w:rsid w:val="00F573A9"/>
    <w:rsid w:val="00F60646"/>
    <w:rsid w:val="00F60BE2"/>
    <w:rsid w:val="00F61301"/>
    <w:rsid w:val="00F61478"/>
    <w:rsid w:val="00F6251D"/>
    <w:rsid w:val="00F635E9"/>
    <w:rsid w:val="00F63A34"/>
    <w:rsid w:val="00F63AD4"/>
    <w:rsid w:val="00F63B71"/>
    <w:rsid w:val="00F63BD4"/>
    <w:rsid w:val="00F6420B"/>
    <w:rsid w:val="00F6499E"/>
    <w:rsid w:val="00F65514"/>
    <w:rsid w:val="00F65924"/>
    <w:rsid w:val="00F65AE9"/>
    <w:rsid w:val="00F65D23"/>
    <w:rsid w:val="00F66447"/>
    <w:rsid w:val="00F66FF5"/>
    <w:rsid w:val="00F672D7"/>
    <w:rsid w:val="00F673DB"/>
    <w:rsid w:val="00F67636"/>
    <w:rsid w:val="00F6777C"/>
    <w:rsid w:val="00F67A65"/>
    <w:rsid w:val="00F67B57"/>
    <w:rsid w:val="00F67CB3"/>
    <w:rsid w:val="00F70DDB"/>
    <w:rsid w:val="00F71E94"/>
    <w:rsid w:val="00F723F7"/>
    <w:rsid w:val="00F72ACF"/>
    <w:rsid w:val="00F72B68"/>
    <w:rsid w:val="00F73476"/>
    <w:rsid w:val="00F73563"/>
    <w:rsid w:val="00F73BDF"/>
    <w:rsid w:val="00F7422C"/>
    <w:rsid w:val="00F7492E"/>
    <w:rsid w:val="00F74A25"/>
    <w:rsid w:val="00F74F54"/>
    <w:rsid w:val="00F76167"/>
    <w:rsid w:val="00F768BF"/>
    <w:rsid w:val="00F76991"/>
    <w:rsid w:val="00F76CC6"/>
    <w:rsid w:val="00F76F41"/>
    <w:rsid w:val="00F77349"/>
    <w:rsid w:val="00F77A55"/>
    <w:rsid w:val="00F8039B"/>
    <w:rsid w:val="00F80C6E"/>
    <w:rsid w:val="00F8233C"/>
    <w:rsid w:val="00F824D8"/>
    <w:rsid w:val="00F82948"/>
    <w:rsid w:val="00F82E4C"/>
    <w:rsid w:val="00F8304F"/>
    <w:rsid w:val="00F8325C"/>
    <w:rsid w:val="00F832BB"/>
    <w:rsid w:val="00F83E4A"/>
    <w:rsid w:val="00F84702"/>
    <w:rsid w:val="00F84ED2"/>
    <w:rsid w:val="00F84FCD"/>
    <w:rsid w:val="00F85677"/>
    <w:rsid w:val="00F85900"/>
    <w:rsid w:val="00F85BD5"/>
    <w:rsid w:val="00F85E7D"/>
    <w:rsid w:val="00F85FBA"/>
    <w:rsid w:val="00F86A3E"/>
    <w:rsid w:val="00F873F5"/>
    <w:rsid w:val="00F874CE"/>
    <w:rsid w:val="00F8755F"/>
    <w:rsid w:val="00F87C75"/>
    <w:rsid w:val="00F87CD3"/>
    <w:rsid w:val="00F9071A"/>
    <w:rsid w:val="00F90A93"/>
    <w:rsid w:val="00F90FCC"/>
    <w:rsid w:val="00F910DC"/>
    <w:rsid w:val="00F91185"/>
    <w:rsid w:val="00F919D3"/>
    <w:rsid w:val="00F91A95"/>
    <w:rsid w:val="00F92888"/>
    <w:rsid w:val="00F93424"/>
    <w:rsid w:val="00F938AA"/>
    <w:rsid w:val="00F93935"/>
    <w:rsid w:val="00F94852"/>
    <w:rsid w:val="00F94F47"/>
    <w:rsid w:val="00F95F97"/>
    <w:rsid w:val="00F97616"/>
    <w:rsid w:val="00FA0726"/>
    <w:rsid w:val="00FA07D9"/>
    <w:rsid w:val="00FA0DB3"/>
    <w:rsid w:val="00FA137E"/>
    <w:rsid w:val="00FA1AAF"/>
    <w:rsid w:val="00FA29CB"/>
    <w:rsid w:val="00FA2B39"/>
    <w:rsid w:val="00FA2EF6"/>
    <w:rsid w:val="00FA3691"/>
    <w:rsid w:val="00FA374E"/>
    <w:rsid w:val="00FA3BBE"/>
    <w:rsid w:val="00FA4CB6"/>
    <w:rsid w:val="00FA4D92"/>
    <w:rsid w:val="00FA5720"/>
    <w:rsid w:val="00FA59FE"/>
    <w:rsid w:val="00FA5E46"/>
    <w:rsid w:val="00FA75CC"/>
    <w:rsid w:val="00FA7F34"/>
    <w:rsid w:val="00FA7FE1"/>
    <w:rsid w:val="00FB00F4"/>
    <w:rsid w:val="00FB05F5"/>
    <w:rsid w:val="00FB08F3"/>
    <w:rsid w:val="00FB115A"/>
    <w:rsid w:val="00FB12C5"/>
    <w:rsid w:val="00FB1B4B"/>
    <w:rsid w:val="00FB1E13"/>
    <w:rsid w:val="00FB279F"/>
    <w:rsid w:val="00FB2A2C"/>
    <w:rsid w:val="00FB2E74"/>
    <w:rsid w:val="00FB3FB7"/>
    <w:rsid w:val="00FB4037"/>
    <w:rsid w:val="00FB4174"/>
    <w:rsid w:val="00FB43CB"/>
    <w:rsid w:val="00FB506C"/>
    <w:rsid w:val="00FB6185"/>
    <w:rsid w:val="00FB68A1"/>
    <w:rsid w:val="00FB7160"/>
    <w:rsid w:val="00FB7CEC"/>
    <w:rsid w:val="00FC0C29"/>
    <w:rsid w:val="00FC0F02"/>
    <w:rsid w:val="00FC1899"/>
    <w:rsid w:val="00FC2B1C"/>
    <w:rsid w:val="00FC3790"/>
    <w:rsid w:val="00FC3A8A"/>
    <w:rsid w:val="00FC402D"/>
    <w:rsid w:val="00FC46C8"/>
    <w:rsid w:val="00FC46D5"/>
    <w:rsid w:val="00FC5362"/>
    <w:rsid w:val="00FC5E42"/>
    <w:rsid w:val="00FC6A9D"/>
    <w:rsid w:val="00FC6BDA"/>
    <w:rsid w:val="00FC7638"/>
    <w:rsid w:val="00FC7AE2"/>
    <w:rsid w:val="00FD1326"/>
    <w:rsid w:val="00FD144C"/>
    <w:rsid w:val="00FD25E2"/>
    <w:rsid w:val="00FD2C4F"/>
    <w:rsid w:val="00FD2E26"/>
    <w:rsid w:val="00FD30C9"/>
    <w:rsid w:val="00FD3923"/>
    <w:rsid w:val="00FD3CD7"/>
    <w:rsid w:val="00FD3E56"/>
    <w:rsid w:val="00FD3F28"/>
    <w:rsid w:val="00FD4492"/>
    <w:rsid w:val="00FD4730"/>
    <w:rsid w:val="00FD4C58"/>
    <w:rsid w:val="00FD4CAF"/>
    <w:rsid w:val="00FD5AF5"/>
    <w:rsid w:val="00FD5D61"/>
    <w:rsid w:val="00FD612D"/>
    <w:rsid w:val="00FD64A9"/>
    <w:rsid w:val="00FD6FD3"/>
    <w:rsid w:val="00FD79ED"/>
    <w:rsid w:val="00FE00D3"/>
    <w:rsid w:val="00FE1072"/>
    <w:rsid w:val="00FE1DD4"/>
    <w:rsid w:val="00FE2C9C"/>
    <w:rsid w:val="00FE2F17"/>
    <w:rsid w:val="00FE3525"/>
    <w:rsid w:val="00FE46E2"/>
    <w:rsid w:val="00FE4755"/>
    <w:rsid w:val="00FE4CD4"/>
    <w:rsid w:val="00FE5C63"/>
    <w:rsid w:val="00FE5EB8"/>
    <w:rsid w:val="00FE5F3B"/>
    <w:rsid w:val="00FE6E17"/>
    <w:rsid w:val="00FE748B"/>
    <w:rsid w:val="00FF00F6"/>
    <w:rsid w:val="00FF0399"/>
    <w:rsid w:val="00FF09E4"/>
    <w:rsid w:val="00FF0B41"/>
    <w:rsid w:val="00FF0B9F"/>
    <w:rsid w:val="00FF11DE"/>
    <w:rsid w:val="00FF1CAF"/>
    <w:rsid w:val="00FF2DFF"/>
    <w:rsid w:val="00FF39BA"/>
    <w:rsid w:val="00FF43D5"/>
    <w:rsid w:val="00FF4766"/>
    <w:rsid w:val="00FF4B51"/>
    <w:rsid w:val="00FF5F7F"/>
    <w:rsid w:val="00FF60C8"/>
    <w:rsid w:val="00FF68B2"/>
    <w:rsid w:val="00FF6E7E"/>
    <w:rsid w:val="00FF70EF"/>
    <w:rsid w:val="00FF7664"/>
    <w:rsid w:val="00FF7BDA"/>
    <w:rsid w:val="00FF7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60E13"/>
  <w15:chartTrackingRefBased/>
  <w15:docId w15:val="{C5C5197F-B30C-4753-904A-BFBFAAAC6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2CA5"/>
    <w:pPr>
      <w:jc w:val="both"/>
    </w:pPr>
    <w:rPr>
      <w:rFonts w:ascii="Arial" w:hAnsi="Arial"/>
    </w:rPr>
  </w:style>
  <w:style w:type="paragraph" w:styleId="Heading1">
    <w:name w:val="heading 1"/>
    <w:basedOn w:val="Normal"/>
    <w:link w:val="Heading1Char"/>
    <w:qFormat/>
    <w:rsid w:val="00B70D77"/>
    <w:pPr>
      <w:widowControl w:val="0"/>
      <w:numPr>
        <w:numId w:val="2"/>
      </w:numPr>
      <w:pBdr>
        <w:bottom w:val="single" w:sz="18" w:space="1" w:color="44546A" w:themeColor="text2"/>
      </w:pBdr>
      <w:autoSpaceDE w:val="0"/>
      <w:autoSpaceDN w:val="0"/>
      <w:spacing w:after="240" w:line="240" w:lineRule="auto"/>
      <w:jc w:val="left"/>
      <w:outlineLvl w:val="0"/>
    </w:pPr>
    <w:rPr>
      <w:rFonts w:eastAsia="Arial" w:cs="Arial"/>
      <w:b/>
      <w:bCs/>
      <w:color w:val="44546A" w:themeColor="text2"/>
      <w:kern w:val="0"/>
      <w:sz w:val="40"/>
      <w:szCs w:val="40"/>
      <w:lang w:bidi="en-US"/>
      <w14:ligatures w14:val="none"/>
    </w:rPr>
  </w:style>
  <w:style w:type="paragraph" w:styleId="Heading2">
    <w:name w:val="heading 2"/>
    <w:aliases w:val="Heading 2 Char Char Char Char"/>
    <w:basedOn w:val="Normal"/>
    <w:next w:val="Normal"/>
    <w:link w:val="Heading2Char"/>
    <w:uiPriority w:val="9"/>
    <w:unhideWhenUsed/>
    <w:qFormat/>
    <w:rsid w:val="00BB64BD"/>
    <w:pPr>
      <w:keepNext/>
      <w:keepLines/>
      <w:numPr>
        <w:ilvl w:val="1"/>
        <w:numId w:val="2"/>
      </w:numPr>
      <w:spacing w:before="40" w:after="120"/>
      <w:ind w:left="90"/>
      <w:outlineLvl w:val="1"/>
    </w:pPr>
    <w:rPr>
      <w:rFonts w:eastAsiaTheme="majorEastAsia" w:cstheme="majorBidi"/>
      <w:b/>
      <w:bCs/>
      <w:smallCaps/>
      <w:sz w:val="28"/>
      <w:szCs w:val="26"/>
    </w:rPr>
  </w:style>
  <w:style w:type="paragraph" w:styleId="Heading3">
    <w:name w:val="heading 3"/>
    <w:basedOn w:val="Normal"/>
    <w:next w:val="Normal"/>
    <w:link w:val="Heading3Char"/>
    <w:unhideWhenUsed/>
    <w:qFormat/>
    <w:rsid w:val="00677451"/>
    <w:pPr>
      <w:keepNext/>
      <w:keepLines/>
      <w:numPr>
        <w:ilvl w:val="2"/>
        <w:numId w:val="2"/>
      </w:numPr>
      <w:spacing w:before="40" w:after="120"/>
      <w:ind w:left="360"/>
      <w:outlineLvl w:val="2"/>
    </w:pPr>
    <w:rPr>
      <w:rFonts w:eastAsiaTheme="majorEastAsia" w:cstheme="majorBidi"/>
      <w:b/>
      <w:i/>
      <w:sz w:val="24"/>
      <w:szCs w:val="24"/>
    </w:rPr>
  </w:style>
  <w:style w:type="paragraph" w:styleId="Heading4">
    <w:name w:val="heading 4"/>
    <w:basedOn w:val="Normal"/>
    <w:next w:val="Normal"/>
    <w:link w:val="Heading4Char"/>
    <w:unhideWhenUsed/>
    <w:qFormat/>
    <w:rsid w:val="00AD5464"/>
    <w:pPr>
      <w:outlineLvl w:val="3"/>
    </w:pPr>
    <w:rPr>
      <w:b/>
      <w:bCs/>
      <w:i/>
      <w:iCs/>
    </w:rPr>
  </w:style>
  <w:style w:type="paragraph" w:styleId="Heading5">
    <w:name w:val="heading 5"/>
    <w:basedOn w:val="Normal"/>
    <w:next w:val="Normal"/>
    <w:link w:val="Heading5Char"/>
    <w:uiPriority w:val="9"/>
    <w:unhideWhenUsed/>
    <w:qFormat/>
    <w:rsid w:val="006F6F0F"/>
    <w:pPr>
      <w:ind w:firstLine="720"/>
      <w:outlineLvl w:val="4"/>
    </w:pPr>
    <w:rPr>
      <w:b/>
    </w:rPr>
  </w:style>
  <w:style w:type="paragraph" w:styleId="Heading6">
    <w:name w:val="heading 6"/>
    <w:basedOn w:val="Normal"/>
    <w:next w:val="Normal"/>
    <w:link w:val="Heading6Char"/>
    <w:unhideWhenUsed/>
    <w:qFormat/>
    <w:rsid w:val="006E6E1A"/>
    <w:pPr>
      <w:keepNext/>
      <w:keepLines/>
      <w:numPr>
        <w:ilvl w:val="5"/>
        <w:numId w:val="2"/>
      </w:numPr>
      <w:tabs>
        <w:tab w:val="num" w:pos="360"/>
      </w:tabs>
      <w:spacing w:before="40" w:after="0"/>
      <w:ind w:left="0" w:firstLine="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6E6E1A"/>
    <w:pPr>
      <w:keepNext/>
      <w:keepLines/>
      <w:numPr>
        <w:ilvl w:val="6"/>
        <w:numId w:val="2"/>
      </w:numPr>
      <w:tabs>
        <w:tab w:val="num" w:pos="360"/>
      </w:tabs>
      <w:spacing w:before="40" w:after="0"/>
      <w:ind w:left="0" w:firstLine="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6E6E1A"/>
    <w:pPr>
      <w:keepNext/>
      <w:keepLines/>
      <w:numPr>
        <w:ilvl w:val="7"/>
        <w:numId w:val="2"/>
      </w:numPr>
      <w:tabs>
        <w:tab w:val="num" w:pos="360"/>
      </w:tabs>
      <w:spacing w:before="40" w:after="0"/>
      <w:ind w:left="0"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E6E1A"/>
    <w:pPr>
      <w:keepNext/>
      <w:keepLines/>
      <w:numPr>
        <w:ilvl w:val="8"/>
        <w:numId w:val="2"/>
      </w:numPr>
      <w:tabs>
        <w:tab w:val="num" w:pos="360"/>
      </w:tabs>
      <w:spacing w:before="40" w:after="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0D77"/>
    <w:rPr>
      <w:rFonts w:ascii="Arial" w:eastAsia="Arial" w:hAnsi="Arial" w:cs="Arial"/>
      <w:b/>
      <w:bCs/>
      <w:color w:val="44546A" w:themeColor="text2"/>
      <w:kern w:val="0"/>
      <w:sz w:val="40"/>
      <w:szCs w:val="40"/>
      <w:lang w:bidi="en-US"/>
      <w14:ligatures w14:val="none"/>
    </w:rPr>
  </w:style>
  <w:style w:type="character" w:customStyle="1" w:styleId="Heading4Char">
    <w:name w:val="Heading 4 Char"/>
    <w:basedOn w:val="DefaultParagraphFont"/>
    <w:link w:val="Heading4"/>
    <w:rsid w:val="00AD5464"/>
    <w:rPr>
      <w:rFonts w:ascii="Arial" w:hAnsi="Arial"/>
      <w:b/>
      <w:bCs/>
      <w:i/>
      <w:iCs/>
    </w:rPr>
  </w:style>
  <w:style w:type="character" w:customStyle="1" w:styleId="Heading2Char">
    <w:name w:val="Heading 2 Char"/>
    <w:aliases w:val="Heading 2 Char Char Char Char Char"/>
    <w:basedOn w:val="DefaultParagraphFont"/>
    <w:link w:val="Heading2"/>
    <w:uiPriority w:val="9"/>
    <w:rsid w:val="00BB64BD"/>
    <w:rPr>
      <w:rFonts w:ascii="Arial" w:eastAsiaTheme="majorEastAsia" w:hAnsi="Arial" w:cstheme="majorBidi"/>
      <w:b/>
      <w:bCs/>
      <w:smallCaps/>
      <w:sz w:val="28"/>
      <w:szCs w:val="26"/>
    </w:rPr>
  </w:style>
  <w:style w:type="character" w:customStyle="1" w:styleId="Heading3Char">
    <w:name w:val="Heading 3 Char"/>
    <w:basedOn w:val="DefaultParagraphFont"/>
    <w:link w:val="Heading3"/>
    <w:rsid w:val="00677451"/>
    <w:rPr>
      <w:rFonts w:ascii="Arial" w:eastAsiaTheme="majorEastAsia" w:hAnsi="Arial" w:cstheme="majorBidi"/>
      <w:b/>
      <w:i/>
      <w:sz w:val="24"/>
      <w:szCs w:val="24"/>
    </w:rPr>
  </w:style>
  <w:style w:type="character" w:customStyle="1" w:styleId="Heading5Char">
    <w:name w:val="Heading 5 Char"/>
    <w:basedOn w:val="DefaultParagraphFont"/>
    <w:link w:val="Heading5"/>
    <w:uiPriority w:val="9"/>
    <w:rsid w:val="006F6F0F"/>
    <w:rPr>
      <w:rFonts w:ascii="Arial" w:hAnsi="Arial"/>
      <w:b/>
    </w:rPr>
  </w:style>
  <w:style w:type="character" w:customStyle="1" w:styleId="Heading6Char">
    <w:name w:val="Heading 6 Char"/>
    <w:basedOn w:val="DefaultParagraphFont"/>
    <w:link w:val="Heading6"/>
    <w:rsid w:val="006E6E1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rsid w:val="006E6E1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6E6E1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E6E1A"/>
    <w:rPr>
      <w:rFonts w:asciiTheme="majorHAnsi" w:eastAsiaTheme="majorEastAsia" w:hAnsiTheme="majorHAnsi" w:cstheme="majorBidi"/>
      <w:i/>
      <w:iCs/>
      <w:color w:val="272727" w:themeColor="text1" w:themeTint="D8"/>
      <w:sz w:val="21"/>
      <w:szCs w:val="21"/>
    </w:rPr>
  </w:style>
  <w:style w:type="paragraph" w:styleId="ListParagraph">
    <w:name w:val="List Paragraph"/>
    <w:aliases w:val="5 LIST,7 INDENT,Colorful List - Accent 11,LAR NOFA"/>
    <w:basedOn w:val="Normal"/>
    <w:link w:val="ListParagraphChar"/>
    <w:uiPriority w:val="34"/>
    <w:qFormat/>
    <w:rsid w:val="006E6E1A"/>
    <w:pPr>
      <w:ind w:left="720"/>
      <w:contextualSpacing/>
    </w:pPr>
  </w:style>
  <w:style w:type="paragraph" w:styleId="NoSpacing">
    <w:name w:val="No Spacing"/>
    <w:link w:val="NoSpacingChar"/>
    <w:uiPriority w:val="1"/>
    <w:qFormat/>
    <w:rsid w:val="00482CA5"/>
    <w:pPr>
      <w:widowControl w:val="0"/>
      <w:autoSpaceDE w:val="0"/>
      <w:autoSpaceDN w:val="0"/>
      <w:spacing w:after="0" w:line="240" w:lineRule="auto"/>
    </w:pPr>
    <w:rPr>
      <w:rFonts w:ascii="Arial" w:eastAsia="Arial" w:hAnsi="Arial" w:cs="Arial"/>
      <w:kern w:val="0"/>
      <w:lang w:bidi="en-US"/>
      <w14:ligatures w14:val="none"/>
    </w:rPr>
  </w:style>
  <w:style w:type="paragraph" w:styleId="Header">
    <w:name w:val="header"/>
    <w:basedOn w:val="Normal"/>
    <w:link w:val="HeaderChar"/>
    <w:uiPriority w:val="99"/>
    <w:unhideWhenUsed/>
    <w:rsid w:val="00482C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CA5"/>
    <w:rPr>
      <w:rFonts w:ascii="Arial" w:hAnsi="Arial"/>
    </w:rPr>
  </w:style>
  <w:style w:type="paragraph" w:styleId="Footer">
    <w:name w:val="footer"/>
    <w:basedOn w:val="Normal"/>
    <w:link w:val="FooterChar"/>
    <w:uiPriority w:val="99"/>
    <w:unhideWhenUsed/>
    <w:rsid w:val="00482C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CA5"/>
    <w:rPr>
      <w:rFonts w:ascii="Arial" w:hAnsi="Arial"/>
    </w:rPr>
  </w:style>
  <w:style w:type="character" w:customStyle="1" w:styleId="ListParagraphChar">
    <w:name w:val="List Paragraph Char"/>
    <w:aliases w:val="5 LIST Char,7 INDENT Char,Colorful List - Accent 11 Char,LAR NOFA Char"/>
    <w:link w:val="ListParagraph"/>
    <w:uiPriority w:val="34"/>
    <w:rsid w:val="00DF792E"/>
    <w:rPr>
      <w:rFonts w:ascii="Arial" w:hAnsi="Arial"/>
    </w:rPr>
  </w:style>
  <w:style w:type="paragraph" w:styleId="TOC1">
    <w:name w:val="toc 1"/>
    <w:basedOn w:val="Normal"/>
    <w:next w:val="Normal"/>
    <w:autoRedefine/>
    <w:uiPriority w:val="39"/>
    <w:unhideWhenUsed/>
    <w:qFormat/>
    <w:rsid w:val="00AD20A4"/>
    <w:pPr>
      <w:tabs>
        <w:tab w:val="right" w:leader="dot" w:pos="9350"/>
      </w:tabs>
      <w:spacing w:after="100"/>
      <w:jc w:val="center"/>
    </w:pPr>
    <w:rPr>
      <w:b/>
      <w:bCs/>
      <w:color w:val="44546A" w:themeColor="text2"/>
      <w:sz w:val="24"/>
      <w:szCs w:val="28"/>
    </w:rPr>
  </w:style>
  <w:style w:type="paragraph" w:styleId="TOC2">
    <w:name w:val="toc 2"/>
    <w:basedOn w:val="Normal"/>
    <w:next w:val="Normal"/>
    <w:autoRedefine/>
    <w:uiPriority w:val="39"/>
    <w:unhideWhenUsed/>
    <w:qFormat/>
    <w:rsid w:val="00844675"/>
    <w:pPr>
      <w:tabs>
        <w:tab w:val="left" w:pos="900"/>
        <w:tab w:val="right" w:leader="dot" w:pos="9350"/>
      </w:tabs>
      <w:spacing w:after="100"/>
      <w:ind w:left="220"/>
      <w:jc w:val="left"/>
    </w:pPr>
  </w:style>
  <w:style w:type="paragraph" w:styleId="TOC3">
    <w:name w:val="toc 3"/>
    <w:basedOn w:val="Normal"/>
    <w:next w:val="Normal"/>
    <w:autoRedefine/>
    <w:uiPriority w:val="39"/>
    <w:unhideWhenUsed/>
    <w:qFormat/>
    <w:rsid w:val="00B70D77"/>
    <w:pPr>
      <w:spacing w:after="100"/>
      <w:ind w:left="440"/>
      <w:jc w:val="left"/>
    </w:pPr>
  </w:style>
  <w:style w:type="character" w:styleId="Hyperlink">
    <w:name w:val="Hyperlink"/>
    <w:basedOn w:val="DefaultParagraphFont"/>
    <w:uiPriority w:val="99"/>
    <w:unhideWhenUsed/>
    <w:rsid w:val="00E90FEE"/>
    <w:rPr>
      <w:b/>
      <w:color w:val="0563C1" w:themeColor="hyperlink"/>
      <w:u w:val="single"/>
    </w:rPr>
  </w:style>
  <w:style w:type="character" w:styleId="CommentReference">
    <w:name w:val="annotation reference"/>
    <w:basedOn w:val="DefaultParagraphFont"/>
    <w:unhideWhenUsed/>
    <w:rsid w:val="00FA7FE1"/>
    <w:rPr>
      <w:sz w:val="16"/>
      <w:szCs w:val="16"/>
    </w:rPr>
  </w:style>
  <w:style w:type="paragraph" w:styleId="CommentText">
    <w:name w:val="annotation text"/>
    <w:basedOn w:val="Normal"/>
    <w:link w:val="CommentTextChar"/>
    <w:unhideWhenUsed/>
    <w:rsid w:val="00FA7FE1"/>
    <w:pPr>
      <w:spacing w:line="240" w:lineRule="auto"/>
    </w:pPr>
    <w:rPr>
      <w:sz w:val="20"/>
      <w:szCs w:val="20"/>
    </w:rPr>
  </w:style>
  <w:style w:type="character" w:customStyle="1" w:styleId="CommentTextChar">
    <w:name w:val="Comment Text Char"/>
    <w:basedOn w:val="DefaultParagraphFont"/>
    <w:link w:val="CommentText"/>
    <w:rsid w:val="00FA7FE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A7FE1"/>
    <w:rPr>
      <w:b/>
      <w:bCs/>
    </w:rPr>
  </w:style>
  <w:style w:type="character" w:customStyle="1" w:styleId="CommentSubjectChar">
    <w:name w:val="Comment Subject Char"/>
    <w:basedOn w:val="CommentTextChar"/>
    <w:link w:val="CommentSubject"/>
    <w:uiPriority w:val="99"/>
    <w:semiHidden/>
    <w:rsid w:val="00FA7FE1"/>
    <w:rPr>
      <w:rFonts w:ascii="Arial" w:hAnsi="Arial"/>
      <w:b/>
      <w:bCs/>
      <w:sz w:val="20"/>
      <w:szCs w:val="20"/>
    </w:rPr>
  </w:style>
  <w:style w:type="paragraph" w:styleId="BodyText">
    <w:name w:val="Body Text"/>
    <w:basedOn w:val="Normal"/>
    <w:link w:val="BodyTextChar"/>
    <w:uiPriority w:val="1"/>
    <w:qFormat/>
    <w:rsid w:val="009345B0"/>
    <w:pPr>
      <w:widowControl w:val="0"/>
      <w:autoSpaceDE w:val="0"/>
      <w:autoSpaceDN w:val="0"/>
      <w:spacing w:after="0" w:line="240" w:lineRule="auto"/>
      <w:jc w:val="left"/>
    </w:pPr>
    <w:rPr>
      <w:rFonts w:eastAsia="Arial" w:cs="Arial"/>
      <w:kern w:val="0"/>
      <w:sz w:val="24"/>
      <w:szCs w:val="24"/>
      <w:lang w:bidi="en-US"/>
      <w14:ligatures w14:val="none"/>
    </w:rPr>
  </w:style>
  <w:style w:type="character" w:customStyle="1" w:styleId="BodyTextChar">
    <w:name w:val="Body Text Char"/>
    <w:basedOn w:val="DefaultParagraphFont"/>
    <w:link w:val="BodyText"/>
    <w:uiPriority w:val="1"/>
    <w:rsid w:val="009345B0"/>
    <w:rPr>
      <w:rFonts w:ascii="Arial" w:eastAsia="Arial" w:hAnsi="Arial" w:cs="Arial"/>
      <w:kern w:val="0"/>
      <w:sz w:val="24"/>
      <w:szCs w:val="24"/>
      <w:lang w:bidi="en-US"/>
      <w14:ligatures w14:val="none"/>
    </w:rPr>
  </w:style>
  <w:style w:type="character" w:styleId="UnresolvedMention">
    <w:name w:val="Unresolved Mention"/>
    <w:basedOn w:val="DefaultParagraphFont"/>
    <w:uiPriority w:val="99"/>
    <w:semiHidden/>
    <w:unhideWhenUsed/>
    <w:rsid w:val="00E90FEE"/>
    <w:rPr>
      <w:color w:val="605E5C"/>
      <w:shd w:val="clear" w:color="auto" w:fill="E1DFDD"/>
    </w:rPr>
  </w:style>
  <w:style w:type="character" w:styleId="FootnoteReference">
    <w:name w:val="footnote reference"/>
    <w:rsid w:val="00DC561E"/>
    <w:rPr>
      <w:vertAlign w:val="superscript"/>
    </w:rPr>
  </w:style>
  <w:style w:type="paragraph" w:customStyle="1" w:styleId="TableParagraph">
    <w:name w:val="Table Paragraph"/>
    <w:basedOn w:val="Normal"/>
    <w:uiPriority w:val="1"/>
    <w:qFormat/>
    <w:rsid w:val="00DC561E"/>
    <w:pPr>
      <w:widowControl w:val="0"/>
      <w:autoSpaceDE w:val="0"/>
      <w:autoSpaceDN w:val="0"/>
      <w:spacing w:after="0" w:line="240" w:lineRule="auto"/>
      <w:jc w:val="left"/>
    </w:pPr>
    <w:rPr>
      <w:rFonts w:ascii="Calibri" w:eastAsia="Calibri" w:hAnsi="Calibri" w:cs="Calibri"/>
      <w:kern w:val="0"/>
      <w:lang w:bidi="en-US"/>
      <w14:ligatures w14:val="none"/>
    </w:rPr>
  </w:style>
  <w:style w:type="paragraph" w:customStyle="1" w:styleId="HeadingRunIn">
    <w:name w:val="HeadingRunIn"/>
    <w:next w:val="Body"/>
    <w:rsid w:val="000040F7"/>
    <w:pPr>
      <w:keepNext/>
      <w:autoSpaceDE w:val="0"/>
      <w:autoSpaceDN w:val="0"/>
      <w:adjustRightInd w:val="0"/>
      <w:spacing w:before="120" w:after="0" w:line="280" w:lineRule="atLeast"/>
    </w:pPr>
    <w:rPr>
      <w:rFonts w:ascii="Times New Roman" w:eastAsia="Times New Roman" w:hAnsi="Times New Roman" w:cs="Times New Roman"/>
      <w:b/>
      <w:bCs/>
      <w:color w:val="000000"/>
      <w:w w:val="0"/>
      <w:kern w:val="0"/>
      <w:sz w:val="24"/>
      <w:szCs w:val="24"/>
      <w14:ligatures w14:val="none"/>
    </w:rPr>
  </w:style>
  <w:style w:type="paragraph" w:customStyle="1" w:styleId="Bodywide">
    <w:name w:val="Bodywide"/>
    <w:rsid w:val="000040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40" w:after="40" w:line="260" w:lineRule="atLeast"/>
      <w:ind w:left="360" w:hanging="360"/>
    </w:pPr>
    <w:rPr>
      <w:rFonts w:ascii="Times New Roman" w:eastAsia="Times New Roman" w:hAnsi="Times New Roman" w:cs="Times New Roman"/>
      <w:color w:val="000000"/>
      <w:w w:val="0"/>
      <w:kern w:val="0"/>
      <w:sz w:val="24"/>
      <w:szCs w:val="24"/>
      <w14:ligatures w14:val="none"/>
    </w:rPr>
  </w:style>
  <w:style w:type="paragraph" w:customStyle="1" w:styleId="Bulleted">
    <w:name w:val="Bulleted"/>
    <w:rsid w:val="000040F7"/>
    <w:pPr>
      <w:tabs>
        <w:tab w:val="left" w:pos="360"/>
      </w:tabs>
      <w:autoSpaceDE w:val="0"/>
      <w:autoSpaceDN w:val="0"/>
      <w:adjustRightInd w:val="0"/>
      <w:spacing w:after="0" w:line="280" w:lineRule="atLeast"/>
      <w:ind w:left="360" w:hanging="360"/>
    </w:pPr>
    <w:rPr>
      <w:rFonts w:ascii="Times New Roman" w:eastAsia="Times New Roman" w:hAnsi="Times New Roman" w:cs="Times New Roman"/>
      <w:color w:val="000000"/>
      <w:w w:val="0"/>
      <w:kern w:val="0"/>
      <w:sz w:val="24"/>
      <w:szCs w:val="24"/>
      <w14:ligatures w14:val="none"/>
    </w:rPr>
  </w:style>
  <w:style w:type="paragraph" w:customStyle="1" w:styleId="Bodywide-dash">
    <w:name w:val="Bodywide-dash"/>
    <w:rsid w:val="000040F7"/>
    <w:pPr>
      <w:tabs>
        <w:tab w:val="left" w:pos="360"/>
        <w:tab w:val="left" w:pos="54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after="0" w:line="240" w:lineRule="atLeast"/>
      <w:ind w:left="540" w:hanging="180"/>
    </w:pPr>
    <w:rPr>
      <w:rFonts w:ascii="Arial" w:eastAsia="Times New Roman" w:hAnsi="Arial" w:cs="Arial"/>
      <w:color w:val="000000"/>
      <w:w w:val="0"/>
      <w:kern w:val="0"/>
      <w:sz w:val="20"/>
      <w:szCs w:val="20"/>
      <w14:ligatures w14:val="none"/>
    </w:rPr>
  </w:style>
  <w:style w:type="paragraph" w:customStyle="1" w:styleId="Heading10">
    <w:name w:val="Heading1"/>
    <w:next w:val="Body"/>
    <w:rsid w:val="000040F7"/>
    <w:pPr>
      <w:keepNext/>
      <w:autoSpaceDE w:val="0"/>
      <w:autoSpaceDN w:val="0"/>
      <w:adjustRightInd w:val="0"/>
      <w:spacing w:before="280" w:after="120" w:line="320" w:lineRule="atLeast"/>
    </w:pPr>
    <w:rPr>
      <w:rFonts w:ascii="Times New Roman" w:eastAsia="Times New Roman" w:hAnsi="Times New Roman" w:cs="Times New Roman"/>
      <w:b/>
      <w:bCs/>
      <w:color w:val="000000"/>
      <w:w w:val="0"/>
      <w:kern w:val="0"/>
      <w:sz w:val="28"/>
      <w:szCs w:val="28"/>
      <w14:ligatures w14:val="none"/>
    </w:rPr>
  </w:style>
  <w:style w:type="paragraph" w:customStyle="1" w:styleId="Heading20">
    <w:name w:val="Heading2"/>
    <w:next w:val="Body"/>
    <w:rsid w:val="000040F7"/>
    <w:pPr>
      <w:keepNext/>
      <w:autoSpaceDE w:val="0"/>
      <w:autoSpaceDN w:val="0"/>
      <w:adjustRightInd w:val="0"/>
      <w:spacing w:before="240" w:after="60" w:line="280" w:lineRule="atLeast"/>
    </w:pPr>
    <w:rPr>
      <w:rFonts w:ascii="Times New Roman" w:eastAsia="Times New Roman" w:hAnsi="Times New Roman" w:cs="Times New Roman"/>
      <w:b/>
      <w:bCs/>
      <w:color w:val="000000"/>
      <w:w w:val="0"/>
      <w:kern w:val="0"/>
      <w:sz w:val="24"/>
      <w:szCs w:val="24"/>
      <w14:ligatures w14:val="none"/>
    </w:rPr>
  </w:style>
  <w:style w:type="paragraph" w:customStyle="1" w:styleId="Indented">
    <w:name w:val="Indented"/>
    <w:rsid w:val="000040F7"/>
    <w:pPr>
      <w:tabs>
        <w:tab w:val="left" w:pos="360"/>
      </w:tabs>
      <w:autoSpaceDE w:val="0"/>
      <w:autoSpaceDN w:val="0"/>
      <w:adjustRightInd w:val="0"/>
      <w:spacing w:after="0" w:line="280" w:lineRule="atLeast"/>
      <w:ind w:left="360"/>
    </w:pPr>
    <w:rPr>
      <w:rFonts w:ascii="Times New Roman" w:eastAsia="Times New Roman" w:hAnsi="Times New Roman" w:cs="Times New Roman"/>
      <w:color w:val="000000"/>
      <w:w w:val="0"/>
      <w:kern w:val="0"/>
      <w:sz w:val="24"/>
      <w:szCs w:val="24"/>
      <w14:ligatures w14:val="none"/>
    </w:rPr>
  </w:style>
  <w:style w:type="paragraph" w:customStyle="1" w:styleId="Numbered">
    <w:name w:val="Numbered"/>
    <w:rsid w:val="000040F7"/>
    <w:pPr>
      <w:tabs>
        <w:tab w:val="left" w:pos="360"/>
      </w:tabs>
      <w:autoSpaceDE w:val="0"/>
      <w:autoSpaceDN w:val="0"/>
      <w:adjustRightInd w:val="0"/>
      <w:spacing w:after="0" w:line="280" w:lineRule="atLeast"/>
      <w:ind w:left="360" w:hanging="360"/>
    </w:pPr>
    <w:rPr>
      <w:rFonts w:ascii="Times New Roman" w:eastAsia="Times New Roman" w:hAnsi="Times New Roman" w:cs="Times New Roman"/>
      <w:color w:val="000000"/>
      <w:w w:val="0"/>
      <w:kern w:val="0"/>
      <w:sz w:val="24"/>
      <w:szCs w:val="24"/>
      <w14:ligatures w14:val="none"/>
    </w:rPr>
  </w:style>
  <w:style w:type="paragraph" w:customStyle="1" w:styleId="Numbered1">
    <w:name w:val="Numbered1"/>
    <w:next w:val="Numbered"/>
    <w:rsid w:val="000040F7"/>
    <w:pPr>
      <w:tabs>
        <w:tab w:val="left" w:pos="360"/>
      </w:tabs>
      <w:autoSpaceDE w:val="0"/>
      <w:autoSpaceDN w:val="0"/>
      <w:adjustRightInd w:val="0"/>
      <w:spacing w:after="0" w:line="280" w:lineRule="atLeast"/>
      <w:ind w:left="360" w:hanging="360"/>
    </w:pPr>
    <w:rPr>
      <w:rFonts w:ascii="Times New Roman" w:eastAsia="Times New Roman" w:hAnsi="Times New Roman" w:cs="Times New Roman"/>
      <w:color w:val="000000"/>
      <w:w w:val="0"/>
      <w:kern w:val="0"/>
      <w:sz w:val="24"/>
      <w:szCs w:val="24"/>
      <w14:ligatures w14:val="none"/>
    </w:rPr>
  </w:style>
  <w:style w:type="paragraph" w:customStyle="1" w:styleId="TableFootnote">
    <w:name w:val="TableFootnote"/>
    <w:rsid w:val="000040F7"/>
    <w:pPr>
      <w:tabs>
        <w:tab w:val="left" w:pos="600"/>
      </w:tabs>
      <w:autoSpaceDE w:val="0"/>
      <w:autoSpaceDN w:val="0"/>
      <w:adjustRightInd w:val="0"/>
      <w:spacing w:after="0" w:line="240" w:lineRule="atLeast"/>
      <w:ind w:left="600" w:right="360" w:hanging="240"/>
    </w:pPr>
    <w:rPr>
      <w:rFonts w:ascii="Times New Roman" w:eastAsia="Times New Roman" w:hAnsi="Times New Roman" w:cs="Times New Roman"/>
      <w:color w:val="000000"/>
      <w:w w:val="0"/>
      <w:kern w:val="0"/>
      <w:sz w:val="20"/>
      <w:szCs w:val="20"/>
      <w14:ligatures w14:val="none"/>
    </w:rPr>
  </w:style>
  <w:style w:type="paragraph" w:customStyle="1" w:styleId="TableTitle">
    <w:name w:val="TableTitle"/>
    <w:rsid w:val="000040F7"/>
    <w:pPr>
      <w:suppressAutoHyphens/>
      <w:autoSpaceDE w:val="0"/>
      <w:autoSpaceDN w:val="0"/>
      <w:adjustRightInd w:val="0"/>
      <w:spacing w:after="0" w:line="280" w:lineRule="atLeast"/>
      <w:jc w:val="center"/>
    </w:pPr>
    <w:rPr>
      <w:rFonts w:ascii="Times New Roman" w:eastAsia="Times New Roman" w:hAnsi="Times New Roman" w:cs="Times New Roman"/>
      <w:b/>
      <w:bCs/>
      <w:color w:val="000000"/>
      <w:w w:val="0"/>
      <w:kern w:val="0"/>
      <w:sz w:val="24"/>
      <w:szCs w:val="24"/>
      <w14:ligatures w14:val="none"/>
    </w:rPr>
  </w:style>
  <w:style w:type="paragraph" w:customStyle="1" w:styleId="Body3First">
    <w:name w:val="Body3(First)"/>
    <w:rsid w:val="000040F7"/>
    <w:pPr>
      <w:tabs>
        <w:tab w:val="left" w:pos="1280"/>
      </w:tabs>
      <w:suppressAutoHyphens/>
      <w:autoSpaceDE w:val="0"/>
      <w:autoSpaceDN w:val="0"/>
      <w:adjustRightInd w:val="0"/>
      <w:spacing w:before="80" w:line="300" w:lineRule="atLeast"/>
      <w:ind w:left="1280" w:right="4320" w:hanging="360"/>
    </w:pPr>
    <w:rPr>
      <w:rFonts w:ascii="Times New Roman" w:eastAsia="Times New Roman" w:hAnsi="Times New Roman" w:cs="Times New Roman"/>
      <w:color w:val="000000"/>
      <w:w w:val="0"/>
      <w:kern w:val="0"/>
      <w:sz w:val="26"/>
      <w:szCs w:val="26"/>
      <w14:ligatures w14:val="none"/>
    </w:rPr>
  </w:style>
  <w:style w:type="paragraph" w:customStyle="1" w:styleId="ChartTitle">
    <w:name w:val="ChartTitle"/>
    <w:rsid w:val="000040F7"/>
    <w:pPr>
      <w:pageBreakBefore/>
      <w:widowControl w:val="0"/>
      <w:autoSpaceDE w:val="0"/>
      <w:autoSpaceDN w:val="0"/>
      <w:adjustRightInd w:val="0"/>
      <w:spacing w:after="100" w:line="380" w:lineRule="atLeast"/>
      <w:ind w:right="720"/>
    </w:pPr>
    <w:rPr>
      <w:rFonts w:ascii="Times New Roman" w:eastAsia="Times New Roman" w:hAnsi="Times New Roman" w:cs="Times New Roman"/>
      <w:b/>
      <w:bCs/>
      <w:i/>
      <w:iCs/>
      <w:color w:val="000000"/>
      <w:w w:val="0"/>
      <w:kern w:val="0"/>
      <w:sz w:val="32"/>
      <w:szCs w:val="32"/>
      <w14:ligatures w14:val="none"/>
    </w:rPr>
  </w:style>
  <w:style w:type="paragraph" w:customStyle="1" w:styleId="Bibliogrphy7">
    <w:name w:val="Bibliogrphy7"/>
    <w:rsid w:val="000040F7"/>
    <w:pPr>
      <w:widowControl w:val="0"/>
      <w:autoSpaceDE w:val="0"/>
      <w:autoSpaceDN w:val="0"/>
      <w:adjustRightInd w:val="0"/>
      <w:spacing w:after="100" w:line="280" w:lineRule="atLeast"/>
    </w:pPr>
    <w:rPr>
      <w:rFonts w:ascii="Times New Roman" w:eastAsia="Times New Roman" w:hAnsi="Times New Roman" w:cs="Times New Roman"/>
      <w:color w:val="000000"/>
      <w:w w:val="0"/>
      <w:kern w:val="0"/>
      <w:sz w:val="24"/>
      <w:szCs w:val="24"/>
      <w14:ligatures w14:val="none"/>
    </w:rPr>
  </w:style>
  <w:style w:type="paragraph" w:styleId="Title">
    <w:name w:val="Title"/>
    <w:basedOn w:val="Normal"/>
    <w:next w:val="Body"/>
    <w:link w:val="TitleChar"/>
    <w:uiPriority w:val="10"/>
    <w:qFormat/>
    <w:rsid w:val="000040F7"/>
    <w:pPr>
      <w:keepNext/>
      <w:widowControl w:val="0"/>
      <w:suppressAutoHyphens/>
      <w:autoSpaceDE w:val="0"/>
      <w:autoSpaceDN w:val="0"/>
      <w:adjustRightInd w:val="0"/>
      <w:spacing w:after="420" w:line="840" w:lineRule="atLeast"/>
      <w:jc w:val="right"/>
    </w:pPr>
    <w:rPr>
      <w:rFonts w:ascii="Times New Roman" w:eastAsia="Times New Roman" w:hAnsi="Times New Roman" w:cs="Times New Roman"/>
      <w:i/>
      <w:iCs/>
      <w:color w:val="000000"/>
      <w:w w:val="0"/>
      <w:kern w:val="0"/>
      <w:sz w:val="64"/>
      <w:szCs w:val="64"/>
      <w14:ligatures w14:val="none"/>
    </w:rPr>
  </w:style>
  <w:style w:type="character" w:customStyle="1" w:styleId="TitleChar">
    <w:name w:val="Title Char"/>
    <w:basedOn w:val="DefaultParagraphFont"/>
    <w:link w:val="Title"/>
    <w:uiPriority w:val="10"/>
    <w:rsid w:val="000040F7"/>
    <w:rPr>
      <w:rFonts w:ascii="Times New Roman" w:eastAsia="Times New Roman" w:hAnsi="Times New Roman" w:cs="Times New Roman"/>
      <w:i/>
      <w:iCs/>
      <w:color w:val="000000"/>
      <w:w w:val="0"/>
      <w:kern w:val="0"/>
      <w:sz w:val="64"/>
      <w:szCs w:val="64"/>
      <w14:ligatures w14:val="none"/>
    </w:rPr>
  </w:style>
  <w:style w:type="paragraph" w:customStyle="1" w:styleId="4Heading">
    <w:name w:val="4Heading"/>
    <w:next w:val="Body"/>
    <w:rsid w:val="000040F7"/>
    <w:pPr>
      <w:keepNext/>
      <w:widowControl w:val="0"/>
      <w:tabs>
        <w:tab w:val="left" w:pos="720"/>
        <w:tab w:val="left" w:pos="1440"/>
        <w:tab w:val="right" w:pos="2520"/>
        <w:tab w:val="left" w:pos="2700"/>
      </w:tabs>
      <w:suppressAutoHyphens/>
      <w:autoSpaceDE w:val="0"/>
      <w:autoSpaceDN w:val="0"/>
      <w:adjustRightInd w:val="0"/>
      <w:spacing w:before="240" w:after="120" w:line="340" w:lineRule="atLeast"/>
      <w:ind w:right="4320"/>
    </w:pPr>
    <w:rPr>
      <w:rFonts w:ascii="Helvetica" w:eastAsia="Times New Roman" w:hAnsi="Helvetica" w:cs="Helvetica"/>
      <w:b/>
      <w:bCs/>
      <w:color w:val="000000"/>
      <w:w w:val="0"/>
      <w:kern w:val="0"/>
      <w:sz w:val="28"/>
      <w:szCs w:val="28"/>
      <w14:ligatures w14:val="none"/>
    </w:rPr>
  </w:style>
  <w:style w:type="paragraph" w:customStyle="1" w:styleId="CFR-Heading">
    <w:name w:val="CFR-Heading"/>
    <w:next w:val="CFR-Body"/>
    <w:rsid w:val="000040F7"/>
    <w:pPr>
      <w:keepNext/>
      <w:tabs>
        <w:tab w:val="left" w:pos="720"/>
        <w:tab w:val="left" w:pos="1440"/>
        <w:tab w:val="right" w:pos="2520"/>
        <w:tab w:val="left" w:pos="2700"/>
      </w:tabs>
      <w:suppressAutoHyphens/>
      <w:autoSpaceDE w:val="0"/>
      <w:autoSpaceDN w:val="0"/>
      <w:adjustRightInd w:val="0"/>
      <w:spacing w:before="240" w:after="120" w:line="320" w:lineRule="atLeast"/>
      <w:ind w:right="4320"/>
    </w:pPr>
    <w:rPr>
      <w:rFonts w:ascii="Helvetica" w:eastAsia="Times New Roman" w:hAnsi="Helvetica" w:cs="Helvetica"/>
      <w:b/>
      <w:bCs/>
      <w:color w:val="000000"/>
      <w:w w:val="0"/>
      <w:kern w:val="0"/>
      <w:sz w:val="26"/>
      <w:szCs w:val="26"/>
      <w14:ligatures w14:val="none"/>
    </w:rPr>
  </w:style>
  <w:style w:type="paragraph" w:customStyle="1" w:styleId="1ChapterTOC">
    <w:name w:val="1ChapterTOC"/>
    <w:rsid w:val="000040F7"/>
    <w:pPr>
      <w:widowControl w:val="0"/>
      <w:pBdr>
        <w:bottom w:val="single" w:sz="8" w:space="0" w:color="auto"/>
      </w:pBdr>
      <w:tabs>
        <w:tab w:val="left" w:pos="2160"/>
        <w:tab w:val="left" w:pos="8680"/>
      </w:tabs>
      <w:autoSpaceDE w:val="0"/>
      <w:autoSpaceDN w:val="0"/>
      <w:adjustRightInd w:val="0"/>
      <w:spacing w:before="440" w:after="0" w:line="320" w:lineRule="atLeast"/>
      <w:ind w:left="2160" w:hanging="2160"/>
    </w:pPr>
    <w:rPr>
      <w:rFonts w:ascii="Times New Roman" w:eastAsia="Times New Roman" w:hAnsi="Times New Roman" w:cs="Times New Roman"/>
      <w:color w:val="000000"/>
      <w:w w:val="0"/>
      <w:kern w:val="0"/>
      <w:sz w:val="28"/>
      <w:szCs w:val="28"/>
      <w14:ligatures w14:val="none"/>
    </w:rPr>
  </w:style>
  <w:style w:type="paragraph" w:customStyle="1" w:styleId="CFR-Body">
    <w:name w:val="CFR-Body"/>
    <w:rsid w:val="000040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00" w:after="0" w:line="280" w:lineRule="atLeast"/>
    </w:pPr>
    <w:rPr>
      <w:rFonts w:ascii="Times New Roman" w:eastAsia="Times New Roman" w:hAnsi="Times New Roman" w:cs="Times New Roman"/>
      <w:color w:val="000000"/>
      <w:w w:val="0"/>
      <w:kern w:val="0"/>
      <w:sz w:val="24"/>
      <w:szCs w:val="24"/>
      <w14:ligatures w14:val="none"/>
    </w:rPr>
  </w:style>
  <w:style w:type="paragraph" w:customStyle="1" w:styleId="CellBody">
    <w:name w:val="CellBody"/>
    <w:rsid w:val="000040F7"/>
    <w:pPr>
      <w:autoSpaceDE w:val="0"/>
      <w:autoSpaceDN w:val="0"/>
      <w:adjustRightInd w:val="0"/>
      <w:spacing w:after="80" w:line="220" w:lineRule="atLeast"/>
    </w:pPr>
    <w:rPr>
      <w:rFonts w:ascii="Times New Roman" w:eastAsia="Times New Roman" w:hAnsi="Times New Roman" w:cs="Times New Roman"/>
      <w:color w:val="000000"/>
      <w:w w:val="0"/>
      <w:kern w:val="0"/>
      <w:sz w:val="18"/>
      <w:szCs w:val="18"/>
      <w14:ligatures w14:val="none"/>
    </w:rPr>
  </w:style>
  <w:style w:type="paragraph" w:customStyle="1" w:styleId="Body3Next">
    <w:name w:val="Body3(Next)"/>
    <w:rsid w:val="000040F7"/>
    <w:pPr>
      <w:tabs>
        <w:tab w:val="left" w:pos="1280"/>
      </w:tabs>
      <w:suppressAutoHyphens/>
      <w:autoSpaceDE w:val="0"/>
      <w:autoSpaceDN w:val="0"/>
      <w:adjustRightInd w:val="0"/>
      <w:spacing w:before="80" w:line="300" w:lineRule="atLeast"/>
      <w:ind w:left="1280" w:right="4320" w:hanging="360"/>
    </w:pPr>
    <w:rPr>
      <w:rFonts w:ascii="Times New Roman" w:eastAsia="Times New Roman" w:hAnsi="Times New Roman" w:cs="Times New Roman"/>
      <w:color w:val="000000"/>
      <w:w w:val="0"/>
      <w:kern w:val="0"/>
      <w:sz w:val="26"/>
      <w:szCs w:val="26"/>
      <w14:ligatures w14:val="none"/>
    </w:rPr>
  </w:style>
  <w:style w:type="paragraph" w:customStyle="1" w:styleId="Body">
    <w:name w:val="Body"/>
    <w:rsid w:val="000040F7"/>
    <w:pPr>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20" w:after="240" w:line="320" w:lineRule="atLeast"/>
      <w:ind w:left="500" w:right="4320" w:hanging="500"/>
    </w:pPr>
    <w:rPr>
      <w:rFonts w:ascii="Times New Roman" w:eastAsia="Times New Roman" w:hAnsi="Times New Roman" w:cs="Times New Roman"/>
      <w:color w:val="000000"/>
      <w:w w:val="0"/>
      <w:kern w:val="0"/>
      <w:sz w:val="28"/>
      <w:szCs w:val="28"/>
      <w14:ligatures w14:val="none"/>
    </w:rPr>
  </w:style>
  <w:style w:type="paragraph" w:customStyle="1" w:styleId="2Heading">
    <w:name w:val="2Heading"/>
    <w:next w:val="Body"/>
    <w:rsid w:val="000040F7"/>
    <w:pPr>
      <w:keepNext/>
      <w:tabs>
        <w:tab w:val="right" w:pos="2520"/>
        <w:tab w:val="left" w:pos="2700"/>
      </w:tabs>
      <w:suppressAutoHyphens/>
      <w:autoSpaceDE w:val="0"/>
      <w:autoSpaceDN w:val="0"/>
      <w:adjustRightInd w:val="0"/>
      <w:spacing w:before="360" w:after="80" w:line="320" w:lineRule="atLeast"/>
      <w:ind w:right="3600"/>
    </w:pPr>
    <w:rPr>
      <w:rFonts w:ascii="Helvetica" w:eastAsia="Times New Roman" w:hAnsi="Helvetica" w:cs="Helvetica"/>
      <w:b/>
      <w:bCs/>
      <w:color w:val="000000"/>
      <w:w w:val="0"/>
      <w:kern w:val="0"/>
      <w:sz w:val="28"/>
      <w:szCs w:val="28"/>
      <w14:ligatures w14:val="none"/>
    </w:rPr>
  </w:style>
  <w:style w:type="paragraph" w:customStyle="1" w:styleId="3HeadingTOC">
    <w:name w:val="3HeadingTOC"/>
    <w:rsid w:val="000040F7"/>
    <w:pPr>
      <w:widowControl w:val="0"/>
      <w:tabs>
        <w:tab w:val="left" w:pos="2880"/>
        <w:tab w:val="left" w:pos="9000"/>
      </w:tabs>
      <w:autoSpaceDE w:val="0"/>
      <w:autoSpaceDN w:val="0"/>
      <w:adjustRightInd w:val="0"/>
      <w:spacing w:before="40" w:after="0" w:line="280" w:lineRule="atLeast"/>
      <w:ind w:left="2880"/>
    </w:pPr>
    <w:rPr>
      <w:rFonts w:ascii="Times New Roman" w:eastAsia="Times New Roman" w:hAnsi="Times New Roman" w:cs="Times New Roman"/>
      <w:color w:val="000000"/>
      <w:w w:val="0"/>
      <w:kern w:val="0"/>
      <w:sz w:val="28"/>
      <w:szCs w:val="28"/>
      <w14:ligatures w14:val="none"/>
    </w:rPr>
  </w:style>
  <w:style w:type="paragraph" w:customStyle="1" w:styleId="CellHeading">
    <w:name w:val="CellHeading"/>
    <w:rsid w:val="000040F7"/>
    <w:pPr>
      <w:suppressAutoHyphens/>
      <w:autoSpaceDE w:val="0"/>
      <w:autoSpaceDN w:val="0"/>
      <w:adjustRightInd w:val="0"/>
      <w:spacing w:after="0" w:line="200" w:lineRule="atLeast"/>
    </w:pPr>
    <w:rPr>
      <w:rFonts w:ascii="Helvetica" w:eastAsia="Times New Roman" w:hAnsi="Helvetica" w:cs="Helvetica"/>
      <w:b/>
      <w:bCs/>
      <w:color w:val="000000"/>
      <w:w w:val="0"/>
      <w:kern w:val="0"/>
      <w:sz w:val="18"/>
      <w:szCs w:val="18"/>
      <w14:ligatures w14:val="none"/>
    </w:rPr>
  </w:style>
  <w:style w:type="paragraph" w:customStyle="1" w:styleId="BodywideA">
    <w:name w:val="BodywideA"/>
    <w:rsid w:val="000040F7"/>
    <w:pPr>
      <w:widowControl w:val="0"/>
      <w:tabs>
        <w:tab w:val="left" w:pos="1440"/>
      </w:tabs>
      <w:autoSpaceDE w:val="0"/>
      <w:autoSpaceDN w:val="0"/>
      <w:adjustRightInd w:val="0"/>
      <w:spacing w:before="100" w:after="0" w:line="320" w:lineRule="atLeast"/>
      <w:ind w:left="1440" w:hanging="720"/>
    </w:pPr>
    <w:rPr>
      <w:rFonts w:ascii="Times New Roman" w:eastAsia="Times New Roman" w:hAnsi="Times New Roman" w:cs="Times New Roman"/>
      <w:color w:val="000000"/>
      <w:w w:val="0"/>
      <w:kern w:val="0"/>
      <w:sz w:val="28"/>
      <w:szCs w:val="28"/>
      <w14:ligatures w14:val="none"/>
    </w:rPr>
  </w:style>
  <w:style w:type="paragraph" w:customStyle="1" w:styleId="Footnote">
    <w:name w:val="Footnote"/>
    <w:rsid w:val="000040F7"/>
    <w:pPr>
      <w:widowControl w:val="0"/>
      <w:autoSpaceDE w:val="0"/>
      <w:autoSpaceDN w:val="0"/>
      <w:adjustRightInd w:val="0"/>
      <w:spacing w:after="0" w:line="280" w:lineRule="atLeast"/>
      <w:ind w:left="360" w:right="360"/>
    </w:pPr>
    <w:rPr>
      <w:rFonts w:ascii="Times New Roman" w:eastAsia="Times New Roman" w:hAnsi="Times New Roman" w:cs="Times New Roman"/>
      <w:color w:val="000000"/>
      <w:w w:val="0"/>
      <w:kern w:val="0"/>
      <w:sz w:val="24"/>
      <w:szCs w:val="24"/>
      <w14:ligatures w14:val="none"/>
    </w:rPr>
  </w:style>
  <w:style w:type="paragraph" w:customStyle="1" w:styleId="Body2Dash">
    <w:name w:val="Body2 (Dash)"/>
    <w:rsid w:val="000040F7"/>
    <w:pPr>
      <w:tabs>
        <w:tab w:val="left" w:pos="360"/>
        <w:tab w:val="left" w:pos="92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80" w:line="300" w:lineRule="atLeast"/>
      <w:ind w:left="920" w:right="4320" w:hanging="420"/>
    </w:pPr>
    <w:rPr>
      <w:rFonts w:ascii="Helvetica" w:eastAsia="Times New Roman" w:hAnsi="Helvetica" w:cs="Helvetica"/>
      <w:color w:val="000000"/>
      <w:w w:val="0"/>
      <w:kern w:val="0"/>
      <w:sz w:val="26"/>
      <w:szCs w:val="26"/>
      <w14:ligatures w14:val="none"/>
    </w:rPr>
  </w:style>
  <w:style w:type="paragraph" w:customStyle="1" w:styleId="4HeadingTOC">
    <w:name w:val="4HeadingTOC"/>
    <w:rsid w:val="000040F7"/>
    <w:pPr>
      <w:widowControl w:val="0"/>
      <w:tabs>
        <w:tab w:val="left" w:pos="3420"/>
        <w:tab w:val="left" w:pos="9000"/>
      </w:tabs>
      <w:autoSpaceDE w:val="0"/>
      <w:autoSpaceDN w:val="0"/>
      <w:adjustRightInd w:val="0"/>
      <w:spacing w:before="40" w:after="0" w:line="280" w:lineRule="atLeast"/>
      <w:ind w:left="3440"/>
    </w:pPr>
    <w:rPr>
      <w:rFonts w:ascii="Times New Roman" w:eastAsia="Times New Roman" w:hAnsi="Times New Roman" w:cs="Times New Roman"/>
      <w:color w:val="000000"/>
      <w:w w:val="0"/>
      <w:kern w:val="0"/>
      <w:sz w:val="28"/>
      <w:szCs w:val="28"/>
      <w14:ligatures w14:val="none"/>
    </w:rPr>
  </w:style>
  <w:style w:type="paragraph" w:customStyle="1" w:styleId="BodyTextNxt">
    <w:name w:val="BodyTextNxt"/>
    <w:rsid w:val="000040F7"/>
    <w:pPr>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20" w:after="240" w:line="320" w:lineRule="atLeast"/>
      <w:ind w:left="500" w:right="4320" w:hanging="500"/>
    </w:pPr>
    <w:rPr>
      <w:rFonts w:ascii="Times New Roman" w:eastAsia="Times New Roman" w:hAnsi="Times New Roman" w:cs="Times New Roman"/>
      <w:color w:val="000000"/>
      <w:w w:val="0"/>
      <w:kern w:val="0"/>
      <w:sz w:val="28"/>
      <w:szCs w:val="28"/>
      <w14:ligatures w14:val="none"/>
    </w:rPr>
  </w:style>
  <w:style w:type="paragraph" w:customStyle="1" w:styleId="Body1bullet">
    <w:name w:val="Body1(bullet)"/>
    <w:rsid w:val="000040F7"/>
    <w:pPr>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20" w:after="240" w:line="320" w:lineRule="atLeast"/>
      <w:ind w:left="500" w:right="4320" w:hanging="500"/>
    </w:pPr>
    <w:rPr>
      <w:rFonts w:ascii="Times New Roman" w:eastAsia="Times New Roman" w:hAnsi="Times New Roman" w:cs="Times New Roman"/>
      <w:color w:val="000000"/>
      <w:w w:val="0"/>
      <w:kern w:val="0"/>
      <w:sz w:val="28"/>
      <w:szCs w:val="28"/>
      <w14:ligatures w14:val="none"/>
    </w:rPr>
  </w:style>
  <w:style w:type="paragraph" w:customStyle="1" w:styleId="3Heading">
    <w:name w:val="3Heading"/>
    <w:next w:val="Body"/>
    <w:rsid w:val="000040F7"/>
    <w:pPr>
      <w:keepNext/>
      <w:tabs>
        <w:tab w:val="left" w:pos="720"/>
        <w:tab w:val="left" w:pos="1440"/>
        <w:tab w:val="right" w:pos="2520"/>
        <w:tab w:val="left" w:pos="2700"/>
      </w:tabs>
      <w:suppressAutoHyphens/>
      <w:autoSpaceDE w:val="0"/>
      <w:autoSpaceDN w:val="0"/>
      <w:adjustRightInd w:val="0"/>
      <w:spacing w:before="240" w:after="120" w:line="340" w:lineRule="atLeast"/>
      <w:ind w:right="4320"/>
    </w:pPr>
    <w:rPr>
      <w:rFonts w:ascii="Helvetica" w:eastAsia="Times New Roman" w:hAnsi="Helvetica" w:cs="Helvetica"/>
      <w:b/>
      <w:bCs/>
      <w:strike/>
      <w:color w:val="000000"/>
      <w:w w:val="0"/>
      <w:kern w:val="0"/>
      <w:sz w:val="28"/>
      <w:szCs w:val="28"/>
      <w:u w:val="thick"/>
      <w14:ligatures w14:val="none"/>
    </w:rPr>
  </w:style>
  <w:style w:type="paragraph" w:customStyle="1" w:styleId="Body4First">
    <w:name w:val="Body4(First)"/>
    <w:rsid w:val="000040F7"/>
    <w:pPr>
      <w:tabs>
        <w:tab w:val="left" w:pos="1560"/>
      </w:tabs>
      <w:suppressAutoHyphens/>
      <w:autoSpaceDE w:val="0"/>
      <w:autoSpaceDN w:val="0"/>
      <w:adjustRightInd w:val="0"/>
      <w:spacing w:before="80" w:line="280" w:lineRule="atLeast"/>
      <w:ind w:left="1580" w:right="4320" w:hanging="280"/>
    </w:pPr>
    <w:rPr>
      <w:rFonts w:ascii="Helvetica" w:eastAsia="Times New Roman" w:hAnsi="Helvetica" w:cs="Helvetica"/>
      <w:color w:val="000000"/>
      <w:w w:val="0"/>
      <w:kern w:val="0"/>
      <w:sz w:val="24"/>
      <w:szCs w:val="24"/>
      <w14:ligatures w14:val="none"/>
    </w:rPr>
  </w:style>
  <w:style w:type="paragraph" w:customStyle="1" w:styleId="Body4Next">
    <w:name w:val="Body4(Next)"/>
    <w:rsid w:val="000040F7"/>
    <w:pPr>
      <w:tabs>
        <w:tab w:val="left" w:pos="1560"/>
      </w:tabs>
      <w:suppressAutoHyphens/>
      <w:autoSpaceDE w:val="0"/>
      <w:autoSpaceDN w:val="0"/>
      <w:adjustRightInd w:val="0"/>
      <w:spacing w:before="80" w:line="280" w:lineRule="atLeast"/>
      <w:ind w:left="1580" w:right="4320" w:hanging="280"/>
    </w:pPr>
    <w:rPr>
      <w:rFonts w:ascii="Helvetica" w:eastAsia="Times New Roman" w:hAnsi="Helvetica" w:cs="Helvetica"/>
      <w:color w:val="000000"/>
      <w:w w:val="0"/>
      <w:kern w:val="0"/>
      <w:sz w:val="24"/>
      <w:szCs w:val="24"/>
      <w14:ligatures w14:val="none"/>
    </w:rPr>
  </w:style>
  <w:style w:type="paragraph" w:customStyle="1" w:styleId="Bulletwide">
    <w:name w:val="Bulletwide"/>
    <w:rsid w:val="000040F7"/>
    <w:pPr>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20" w:after="240" w:line="320" w:lineRule="atLeast"/>
      <w:ind w:left="500" w:hanging="500"/>
    </w:pPr>
    <w:rPr>
      <w:rFonts w:ascii="Times New Roman" w:eastAsia="Times New Roman" w:hAnsi="Times New Roman" w:cs="Times New Roman"/>
      <w:color w:val="000000"/>
      <w:w w:val="0"/>
      <w:kern w:val="0"/>
      <w:sz w:val="28"/>
      <w:szCs w:val="28"/>
      <w14:ligatures w14:val="none"/>
    </w:rPr>
  </w:style>
  <w:style w:type="paragraph" w:customStyle="1" w:styleId="Note">
    <w:name w:val="Note"/>
    <w:rsid w:val="000040F7"/>
    <w:pPr>
      <w:tabs>
        <w:tab w:val="left" w:pos="0"/>
        <w:tab w:val="left" w:pos="92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00" w:after="200" w:line="300" w:lineRule="atLeast"/>
      <w:ind w:left="960" w:right="4320" w:hanging="960"/>
    </w:pPr>
    <w:rPr>
      <w:rFonts w:ascii="Helvetica" w:eastAsia="Times New Roman" w:hAnsi="Helvetica" w:cs="Helvetica"/>
      <w:color w:val="000000"/>
      <w:w w:val="0"/>
      <w:kern w:val="0"/>
      <w:sz w:val="26"/>
      <w:szCs w:val="26"/>
      <w14:ligatures w14:val="none"/>
    </w:rPr>
  </w:style>
  <w:style w:type="paragraph" w:customStyle="1" w:styleId="Bulletwide1">
    <w:name w:val="Bulletwide1"/>
    <w:rsid w:val="000040F7"/>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20" w:after="240" w:line="320" w:lineRule="atLeast"/>
      <w:ind w:left="1440" w:hanging="360"/>
    </w:pPr>
    <w:rPr>
      <w:rFonts w:ascii="Times New Roman" w:eastAsia="Times New Roman" w:hAnsi="Times New Roman" w:cs="Times New Roman"/>
      <w:color w:val="000000"/>
      <w:w w:val="0"/>
      <w:kern w:val="0"/>
      <w:sz w:val="28"/>
      <w:szCs w:val="28"/>
      <w14:ligatures w14:val="none"/>
    </w:rPr>
  </w:style>
  <w:style w:type="paragraph" w:customStyle="1" w:styleId="Bodywide1">
    <w:name w:val="Bodywide1"/>
    <w:rsid w:val="000040F7"/>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after="100" w:line="320" w:lineRule="atLeast"/>
      <w:ind w:left="1080" w:hanging="540"/>
    </w:pPr>
    <w:rPr>
      <w:rFonts w:ascii="Times New Roman" w:eastAsia="Times New Roman" w:hAnsi="Times New Roman" w:cs="Times New Roman"/>
      <w:color w:val="000000"/>
      <w:w w:val="0"/>
      <w:kern w:val="0"/>
      <w:sz w:val="28"/>
      <w:szCs w:val="28"/>
      <w14:ligatures w14:val="none"/>
    </w:rPr>
  </w:style>
  <w:style w:type="paragraph" w:customStyle="1" w:styleId="2HeadingTOC">
    <w:name w:val="2HeadingTOC"/>
    <w:rsid w:val="000040F7"/>
    <w:pPr>
      <w:widowControl w:val="0"/>
      <w:tabs>
        <w:tab w:val="left" w:pos="2360"/>
        <w:tab w:val="left" w:pos="9000"/>
      </w:tabs>
      <w:autoSpaceDE w:val="0"/>
      <w:autoSpaceDN w:val="0"/>
      <w:adjustRightInd w:val="0"/>
      <w:spacing w:before="40" w:after="0" w:line="280" w:lineRule="atLeast"/>
      <w:ind w:left="2360"/>
    </w:pPr>
    <w:rPr>
      <w:rFonts w:ascii="Times New Roman" w:eastAsia="Times New Roman" w:hAnsi="Times New Roman" w:cs="Times New Roman"/>
      <w:color w:val="000000"/>
      <w:w w:val="0"/>
      <w:kern w:val="0"/>
      <w:sz w:val="28"/>
      <w:szCs w:val="28"/>
      <w14:ligatures w14:val="none"/>
    </w:rPr>
  </w:style>
  <w:style w:type="paragraph" w:customStyle="1" w:styleId="BodyText1">
    <w:name w:val="BodyText1"/>
    <w:rsid w:val="000040F7"/>
    <w:pPr>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20" w:after="240" w:line="320" w:lineRule="atLeast"/>
      <w:ind w:left="500" w:right="4320" w:hanging="500"/>
    </w:pPr>
    <w:rPr>
      <w:rFonts w:ascii="Times New Roman" w:eastAsia="Times New Roman" w:hAnsi="Times New Roman" w:cs="Times New Roman"/>
      <w:color w:val="000000"/>
      <w:w w:val="0"/>
      <w:kern w:val="0"/>
      <w:sz w:val="28"/>
      <w:szCs w:val="28"/>
      <w14:ligatures w14:val="none"/>
    </w:rPr>
  </w:style>
  <w:style w:type="paragraph" w:customStyle="1" w:styleId="ChapterTOC">
    <w:name w:val="ChapterTOC"/>
    <w:rsid w:val="000040F7"/>
    <w:pPr>
      <w:keepNext/>
      <w:widowControl w:val="0"/>
      <w:pBdr>
        <w:bottom w:val="single" w:sz="8" w:space="0" w:color="auto"/>
      </w:pBdr>
      <w:tabs>
        <w:tab w:val="left" w:pos="2360"/>
        <w:tab w:val="right" w:pos="9000"/>
      </w:tabs>
      <w:autoSpaceDE w:val="0"/>
      <w:autoSpaceDN w:val="0"/>
      <w:adjustRightInd w:val="0"/>
      <w:spacing w:before="440" w:after="0" w:line="320" w:lineRule="atLeast"/>
      <w:ind w:left="2360" w:hanging="2360"/>
    </w:pPr>
    <w:rPr>
      <w:rFonts w:ascii="Times New Roman" w:eastAsia="Times New Roman" w:hAnsi="Times New Roman" w:cs="Times New Roman"/>
      <w:color w:val="000000"/>
      <w:w w:val="0"/>
      <w:kern w:val="0"/>
      <w:sz w:val="28"/>
      <w:szCs w:val="28"/>
      <w14:ligatures w14:val="none"/>
    </w:rPr>
  </w:style>
  <w:style w:type="paragraph" w:customStyle="1" w:styleId="1HeadingTOC">
    <w:name w:val="1HeadingTOC"/>
    <w:rsid w:val="000040F7"/>
    <w:pPr>
      <w:widowControl w:val="0"/>
      <w:tabs>
        <w:tab w:val="left" w:pos="2360"/>
        <w:tab w:val="left" w:pos="8980"/>
        <w:tab w:val="right" w:pos="9720"/>
      </w:tabs>
      <w:autoSpaceDE w:val="0"/>
      <w:autoSpaceDN w:val="0"/>
      <w:adjustRightInd w:val="0"/>
      <w:spacing w:before="80" w:after="0" w:line="320" w:lineRule="atLeast"/>
      <w:ind w:left="2360" w:hanging="2000"/>
    </w:pPr>
    <w:rPr>
      <w:rFonts w:ascii="Times New Roman" w:eastAsia="Times New Roman" w:hAnsi="Times New Roman" w:cs="Times New Roman"/>
      <w:color w:val="000000"/>
      <w:w w:val="0"/>
      <w:kern w:val="0"/>
      <w:sz w:val="28"/>
      <w:szCs w:val="28"/>
      <w14:ligatures w14:val="none"/>
    </w:rPr>
  </w:style>
  <w:style w:type="paragraph" w:customStyle="1" w:styleId="BookTitle1">
    <w:name w:val="Book Title1"/>
    <w:rsid w:val="000040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80" w:after="280" w:line="260" w:lineRule="atLeast"/>
      <w:jc w:val="center"/>
    </w:pPr>
    <w:rPr>
      <w:rFonts w:ascii="Arial" w:eastAsia="Times New Roman" w:hAnsi="Arial" w:cs="Arial"/>
      <w:color w:val="000000"/>
      <w:w w:val="0"/>
      <w:kern w:val="0"/>
      <w14:ligatures w14:val="none"/>
    </w:rPr>
  </w:style>
  <w:style w:type="paragraph" w:customStyle="1" w:styleId="Bodywide-A">
    <w:name w:val="Bodywide-A"/>
    <w:rsid w:val="000040F7"/>
    <w:p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40" w:after="40" w:line="280" w:lineRule="atLeast"/>
      <w:ind w:left="1260" w:hanging="1260"/>
    </w:pPr>
    <w:rPr>
      <w:rFonts w:ascii="Times New Roman" w:eastAsia="Times New Roman" w:hAnsi="Times New Roman" w:cs="Times New Roman"/>
      <w:color w:val="000000"/>
      <w:w w:val="0"/>
      <w:kern w:val="0"/>
      <w:sz w:val="24"/>
      <w:szCs w:val="24"/>
      <w14:ligatures w14:val="none"/>
    </w:rPr>
  </w:style>
  <w:style w:type="paragraph" w:customStyle="1" w:styleId="1Chapter">
    <w:name w:val="1Chapter"/>
    <w:next w:val="Body"/>
    <w:rsid w:val="000040F7"/>
    <w:pPr>
      <w:keepNext/>
      <w:widowControl w:val="0"/>
      <w:suppressAutoHyphens/>
      <w:autoSpaceDE w:val="0"/>
      <w:autoSpaceDN w:val="0"/>
      <w:adjustRightInd w:val="0"/>
      <w:spacing w:after="420" w:line="840" w:lineRule="atLeast"/>
      <w:jc w:val="right"/>
    </w:pPr>
    <w:rPr>
      <w:rFonts w:ascii="Times New Roman" w:eastAsia="Times New Roman" w:hAnsi="Times New Roman" w:cs="Times New Roman"/>
      <w:i/>
      <w:iCs/>
      <w:color w:val="000000"/>
      <w:w w:val="0"/>
      <w:kern w:val="0"/>
      <w:sz w:val="64"/>
      <w:szCs w:val="64"/>
      <w14:ligatures w14:val="none"/>
    </w:rPr>
  </w:style>
  <w:style w:type="paragraph" w:customStyle="1" w:styleId="1Heading">
    <w:name w:val="1Heading"/>
    <w:next w:val="2Heading"/>
    <w:rsid w:val="000040F7"/>
    <w:pPr>
      <w:keepNext/>
      <w:tabs>
        <w:tab w:val="left" w:pos="2160"/>
        <w:tab w:val="right" w:pos="2520"/>
      </w:tabs>
      <w:suppressAutoHyphens/>
      <w:autoSpaceDE w:val="0"/>
      <w:autoSpaceDN w:val="0"/>
      <w:adjustRightInd w:val="0"/>
      <w:spacing w:before="180" w:after="80" w:line="320" w:lineRule="atLeast"/>
      <w:ind w:left="2160" w:hanging="2160"/>
    </w:pPr>
    <w:rPr>
      <w:rFonts w:ascii="Arial" w:eastAsia="Times New Roman" w:hAnsi="Arial" w:cs="Arial"/>
      <w:b/>
      <w:bCs/>
      <w:color w:val="000000"/>
      <w:w w:val="0"/>
      <w:kern w:val="0"/>
      <w:sz w:val="28"/>
      <w:szCs w:val="28"/>
      <w14:ligatures w14:val="none"/>
    </w:rPr>
  </w:style>
  <w:style w:type="character" w:customStyle="1" w:styleId="Superscript">
    <w:name w:val="Superscript"/>
    <w:rsid w:val="000040F7"/>
    <w:rPr>
      <w:vertAlign w:val="superscript"/>
    </w:rPr>
  </w:style>
  <w:style w:type="character" w:customStyle="1" w:styleId="BulletSymbol">
    <w:name w:val="Bullet Symbol"/>
    <w:rsid w:val="000040F7"/>
    <w:rPr>
      <w:rFonts w:ascii="Arial" w:hAnsi="Arial" w:cs="Arial"/>
      <w:b/>
      <w:bCs/>
      <w:color w:val="000000"/>
      <w:spacing w:val="0"/>
      <w:sz w:val="20"/>
      <w:szCs w:val="20"/>
      <w:vertAlign w:val="baseline"/>
    </w:rPr>
  </w:style>
  <w:style w:type="character" w:customStyle="1" w:styleId="Subscript">
    <w:name w:val="Subscript"/>
    <w:rsid w:val="000040F7"/>
    <w:rPr>
      <w:vertAlign w:val="subscript"/>
    </w:rPr>
  </w:style>
  <w:style w:type="character" w:customStyle="1" w:styleId="EquationVariables">
    <w:name w:val="EquationVariables"/>
    <w:rsid w:val="000040F7"/>
    <w:rPr>
      <w:rFonts w:ascii="Helvetica" w:hAnsi="Helvetica" w:cs="Helvetica"/>
      <w:i/>
      <w:iCs/>
    </w:rPr>
  </w:style>
  <w:style w:type="character" w:customStyle="1" w:styleId="EquationFunctions">
    <w:name w:val="EquationFunctions"/>
    <w:rsid w:val="000040F7"/>
    <w:rPr>
      <w:rFonts w:ascii="Helvetica" w:hAnsi="Helvetica" w:cs="Helvetica"/>
    </w:rPr>
  </w:style>
  <w:style w:type="character" w:customStyle="1" w:styleId="Callout">
    <w:name w:val="Callout"/>
    <w:rsid w:val="000040F7"/>
    <w:rPr>
      <w:rFonts w:ascii="Arial" w:hAnsi="Arial" w:cs="Arial"/>
      <w:color w:val="000000"/>
      <w:spacing w:val="0"/>
      <w:sz w:val="16"/>
      <w:szCs w:val="16"/>
      <w:vertAlign w:val="baseline"/>
    </w:rPr>
  </w:style>
  <w:style w:type="character" w:customStyle="1" w:styleId="Document5">
    <w:name w:val="Document5"/>
    <w:rsid w:val="000040F7"/>
    <w:rPr>
      <w:rFonts w:ascii="Times New Roman" w:hAnsi="Times New Roman" w:cs="Times New Roman"/>
      <w:b/>
      <w:bCs/>
      <w:color w:val="000000"/>
      <w:sz w:val="24"/>
      <w:szCs w:val="24"/>
      <w:vertAlign w:val="baseline"/>
    </w:rPr>
  </w:style>
  <w:style w:type="character" w:customStyle="1" w:styleId="Document6">
    <w:name w:val="Document6"/>
    <w:rsid w:val="000040F7"/>
    <w:rPr>
      <w:rFonts w:ascii="Times New Roman" w:hAnsi="Times New Roman" w:cs="Times New Roman"/>
      <w:color w:val="000000"/>
      <w:sz w:val="24"/>
      <w:szCs w:val="24"/>
      <w:vertAlign w:val="baseline"/>
    </w:rPr>
  </w:style>
  <w:style w:type="character" w:customStyle="1" w:styleId="Bibliogrphy71">
    <w:name w:val="Bibliogrphy71"/>
    <w:rsid w:val="000040F7"/>
    <w:rPr>
      <w:rFonts w:ascii="Times New Roman" w:hAnsi="Times New Roman" w:cs="Times New Roman"/>
      <w:color w:val="000000"/>
      <w:sz w:val="24"/>
      <w:szCs w:val="24"/>
      <w:vertAlign w:val="baseline"/>
    </w:rPr>
  </w:style>
  <w:style w:type="character" w:customStyle="1" w:styleId="RightPar8">
    <w:name w:val="Right Par8"/>
    <w:rsid w:val="000040F7"/>
    <w:rPr>
      <w:rFonts w:ascii="Times New Roman" w:hAnsi="Times New Roman" w:cs="Times New Roman"/>
      <w:color w:val="000000"/>
      <w:sz w:val="24"/>
      <w:szCs w:val="24"/>
      <w:vertAlign w:val="baseline"/>
    </w:rPr>
  </w:style>
  <w:style w:type="character" w:customStyle="1" w:styleId="RightPar9">
    <w:name w:val="Right Par9"/>
    <w:rsid w:val="000040F7"/>
    <w:rPr>
      <w:rFonts w:ascii="Times New Roman" w:hAnsi="Times New Roman" w:cs="Times New Roman"/>
      <w:color w:val="000000"/>
      <w:sz w:val="24"/>
      <w:szCs w:val="24"/>
      <w:vertAlign w:val="baseline"/>
    </w:rPr>
  </w:style>
  <w:style w:type="character" w:customStyle="1" w:styleId="Document10">
    <w:name w:val="Document10"/>
    <w:rsid w:val="000040F7"/>
    <w:rPr>
      <w:rFonts w:ascii="Times New Roman" w:hAnsi="Times New Roman" w:cs="Times New Roman"/>
      <w:b/>
      <w:bCs/>
      <w:color w:val="000000"/>
      <w:sz w:val="24"/>
      <w:szCs w:val="24"/>
      <w:vertAlign w:val="baseline"/>
    </w:rPr>
  </w:style>
  <w:style w:type="character" w:customStyle="1" w:styleId="RightPar11">
    <w:name w:val="Right Par11"/>
    <w:rsid w:val="000040F7"/>
    <w:rPr>
      <w:rFonts w:ascii="Times New Roman" w:hAnsi="Times New Roman" w:cs="Times New Roman"/>
      <w:color w:val="000000"/>
      <w:sz w:val="24"/>
      <w:szCs w:val="24"/>
      <w:vertAlign w:val="baseline"/>
    </w:rPr>
  </w:style>
  <w:style w:type="character" w:customStyle="1" w:styleId="RightPar12">
    <w:name w:val="Right Par12"/>
    <w:rsid w:val="000040F7"/>
    <w:rPr>
      <w:rFonts w:ascii="Times New Roman" w:hAnsi="Times New Roman" w:cs="Times New Roman"/>
      <w:color w:val="000000"/>
      <w:sz w:val="24"/>
      <w:szCs w:val="24"/>
      <w:vertAlign w:val="baseline"/>
    </w:rPr>
  </w:style>
  <w:style w:type="character" w:customStyle="1" w:styleId="RightPar13">
    <w:name w:val="Right Par13"/>
    <w:rsid w:val="000040F7"/>
    <w:rPr>
      <w:rFonts w:ascii="Times New Roman" w:hAnsi="Times New Roman" w:cs="Times New Roman"/>
      <w:color w:val="000000"/>
      <w:sz w:val="24"/>
      <w:szCs w:val="24"/>
      <w:vertAlign w:val="baseline"/>
    </w:rPr>
  </w:style>
  <w:style w:type="character" w:customStyle="1" w:styleId="RightPar14">
    <w:name w:val="Right Par14"/>
    <w:rsid w:val="000040F7"/>
    <w:rPr>
      <w:rFonts w:ascii="Times New Roman" w:hAnsi="Times New Roman" w:cs="Times New Roman"/>
      <w:color w:val="000000"/>
      <w:sz w:val="24"/>
      <w:szCs w:val="24"/>
      <w:vertAlign w:val="baseline"/>
    </w:rPr>
  </w:style>
  <w:style w:type="character" w:customStyle="1" w:styleId="RightPar15">
    <w:name w:val="Right Par15"/>
    <w:rsid w:val="000040F7"/>
    <w:rPr>
      <w:rFonts w:ascii="Times New Roman" w:hAnsi="Times New Roman" w:cs="Times New Roman"/>
      <w:color w:val="000000"/>
      <w:sz w:val="24"/>
      <w:szCs w:val="24"/>
      <w:vertAlign w:val="baseline"/>
    </w:rPr>
  </w:style>
  <w:style w:type="character" w:customStyle="1" w:styleId="RightPar16">
    <w:name w:val="Right Par16"/>
    <w:rsid w:val="000040F7"/>
    <w:rPr>
      <w:rFonts w:ascii="Times New Roman" w:hAnsi="Times New Roman" w:cs="Times New Roman"/>
      <w:color w:val="000000"/>
      <w:sz w:val="24"/>
      <w:szCs w:val="24"/>
      <w:vertAlign w:val="baseline"/>
    </w:rPr>
  </w:style>
  <w:style w:type="character" w:customStyle="1" w:styleId="Document17">
    <w:name w:val="Document17"/>
    <w:rsid w:val="000040F7"/>
    <w:rPr>
      <w:rFonts w:ascii="Helvetica" w:hAnsi="Helvetica" w:cs="Helvetica"/>
      <w:b/>
      <w:bCs/>
      <w:color w:val="000000"/>
      <w:sz w:val="36"/>
      <w:szCs w:val="36"/>
      <w:vertAlign w:val="baseline"/>
    </w:rPr>
  </w:style>
  <w:style w:type="character" w:customStyle="1" w:styleId="DocInit18">
    <w:name w:val="Doc Init18"/>
    <w:rsid w:val="000040F7"/>
    <w:rPr>
      <w:rFonts w:ascii="Times New Roman" w:hAnsi="Times New Roman" w:cs="Times New Roman"/>
      <w:color w:val="000000"/>
      <w:sz w:val="24"/>
      <w:szCs w:val="24"/>
      <w:vertAlign w:val="baseline"/>
    </w:rPr>
  </w:style>
  <w:style w:type="character" w:customStyle="1" w:styleId="TechInit19">
    <w:name w:val="Tech Init19"/>
    <w:rsid w:val="000040F7"/>
    <w:rPr>
      <w:rFonts w:ascii="Times New Roman" w:hAnsi="Times New Roman" w:cs="Times New Roman"/>
      <w:color w:val="000000"/>
      <w:sz w:val="24"/>
      <w:szCs w:val="24"/>
      <w:vertAlign w:val="baseline"/>
    </w:rPr>
  </w:style>
  <w:style w:type="character" w:customStyle="1" w:styleId="Technical20">
    <w:name w:val="Technical20"/>
    <w:rsid w:val="000040F7"/>
    <w:rPr>
      <w:rFonts w:ascii="Times New Roman" w:hAnsi="Times New Roman" w:cs="Times New Roman"/>
      <w:b/>
      <w:bCs/>
      <w:color w:val="000000"/>
      <w:sz w:val="24"/>
      <w:szCs w:val="24"/>
      <w:vertAlign w:val="baseline"/>
    </w:rPr>
  </w:style>
  <w:style w:type="character" w:customStyle="1" w:styleId="Technical21">
    <w:name w:val="Technical21"/>
    <w:rsid w:val="000040F7"/>
    <w:rPr>
      <w:rFonts w:ascii="Times New Roman" w:hAnsi="Times New Roman" w:cs="Times New Roman"/>
      <w:b/>
      <w:bCs/>
      <w:color w:val="000000"/>
      <w:sz w:val="24"/>
      <w:szCs w:val="24"/>
      <w:vertAlign w:val="baseline"/>
    </w:rPr>
  </w:style>
  <w:style w:type="character" w:customStyle="1" w:styleId="Technical22">
    <w:name w:val="Technical22"/>
    <w:rsid w:val="000040F7"/>
    <w:rPr>
      <w:rFonts w:ascii="Times New Roman" w:hAnsi="Times New Roman" w:cs="Times New Roman"/>
      <w:b/>
      <w:bCs/>
      <w:color w:val="000000"/>
      <w:sz w:val="24"/>
      <w:szCs w:val="24"/>
      <w:vertAlign w:val="baseline"/>
    </w:rPr>
  </w:style>
  <w:style w:type="character" w:customStyle="1" w:styleId="Technical23">
    <w:name w:val="Technical23"/>
    <w:rsid w:val="000040F7"/>
    <w:rPr>
      <w:rFonts w:ascii="Times New Roman" w:hAnsi="Times New Roman" w:cs="Times New Roman"/>
      <w:b/>
      <w:bCs/>
      <w:color w:val="000000"/>
      <w:sz w:val="24"/>
      <w:szCs w:val="24"/>
      <w:vertAlign w:val="baseline"/>
    </w:rPr>
  </w:style>
  <w:style w:type="character" w:customStyle="1" w:styleId="Technical24">
    <w:name w:val="Technical24"/>
    <w:rsid w:val="000040F7"/>
    <w:rPr>
      <w:rFonts w:ascii="Times New Roman" w:hAnsi="Times New Roman" w:cs="Times New Roman"/>
      <w:b/>
      <w:bCs/>
      <w:color w:val="000000"/>
      <w:sz w:val="24"/>
      <w:szCs w:val="24"/>
      <w:vertAlign w:val="baseline"/>
    </w:rPr>
  </w:style>
  <w:style w:type="character" w:customStyle="1" w:styleId="Technical25">
    <w:name w:val="Technical25"/>
    <w:rsid w:val="000040F7"/>
    <w:rPr>
      <w:rFonts w:ascii="Helvetica" w:hAnsi="Helvetica" w:cs="Helvetica"/>
      <w:b/>
      <w:bCs/>
      <w:color w:val="000000"/>
      <w:sz w:val="36"/>
      <w:szCs w:val="36"/>
      <w:vertAlign w:val="baseline"/>
    </w:rPr>
  </w:style>
  <w:style w:type="character" w:customStyle="1" w:styleId="Technical26">
    <w:name w:val="Technical26"/>
    <w:rsid w:val="000040F7"/>
    <w:rPr>
      <w:rFonts w:ascii="Times New Roman" w:hAnsi="Times New Roman" w:cs="Times New Roman"/>
      <w:b/>
      <w:bCs/>
      <w:color w:val="000000"/>
      <w:sz w:val="24"/>
      <w:szCs w:val="24"/>
      <w:vertAlign w:val="baseline"/>
    </w:rPr>
  </w:style>
  <w:style w:type="character" w:customStyle="1" w:styleId="Technical27">
    <w:name w:val="Technical27"/>
    <w:rsid w:val="000040F7"/>
    <w:rPr>
      <w:rFonts w:ascii="Times New Roman" w:hAnsi="Times New Roman" w:cs="Times New Roman"/>
      <w:b/>
      <w:bCs/>
      <w:color w:val="000000"/>
      <w:sz w:val="24"/>
      <w:szCs w:val="24"/>
      <w:vertAlign w:val="baseline"/>
    </w:rPr>
  </w:style>
  <w:style w:type="character" w:customStyle="1" w:styleId="Pleading28">
    <w:name w:val="Pleading28"/>
    <w:rsid w:val="000040F7"/>
    <w:rPr>
      <w:rFonts w:ascii="Times New Roman" w:hAnsi="Times New Roman" w:cs="Times New Roman"/>
      <w:color w:val="000000"/>
      <w:sz w:val="24"/>
      <w:szCs w:val="24"/>
      <w:vertAlign w:val="baseline"/>
    </w:rPr>
  </w:style>
  <w:style w:type="character" w:customStyle="1" w:styleId="Document1">
    <w:name w:val="Document1"/>
    <w:rsid w:val="000040F7"/>
    <w:rPr>
      <w:rFonts w:ascii="Times New Roman" w:hAnsi="Times New Roman" w:cs="Times New Roman"/>
      <w:color w:val="000000"/>
      <w:sz w:val="24"/>
      <w:szCs w:val="24"/>
      <w:vertAlign w:val="baseline"/>
    </w:rPr>
  </w:style>
  <w:style w:type="character" w:customStyle="1" w:styleId="Footnote1">
    <w:name w:val="Footnote1"/>
    <w:rsid w:val="000040F7"/>
    <w:rPr>
      <w:rFonts w:ascii="Times New Roman" w:hAnsi="Times New Roman" w:cs="Times New Roman"/>
      <w:color w:val="000000"/>
      <w:sz w:val="24"/>
      <w:szCs w:val="24"/>
      <w:vertAlign w:val="baseline"/>
    </w:rPr>
  </w:style>
  <w:style w:type="character" w:customStyle="1" w:styleId="Body1">
    <w:name w:val="Body1"/>
    <w:rsid w:val="000040F7"/>
    <w:rPr>
      <w:rFonts w:ascii="Courier" w:hAnsi="Courier" w:cs="Courier"/>
      <w:color w:val="000000"/>
      <w:sz w:val="24"/>
      <w:szCs w:val="24"/>
      <w:vertAlign w:val="baseline"/>
    </w:rPr>
  </w:style>
  <w:style w:type="character" w:customStyle="1" w:styleId="Chapter">
    <w:name w:val="Chapter #"/>
    <w:rsid w:val="000040F7"/>
    <w:rPr>
      <w:rFonts w:ascii="Times New Roman" w:hAnsi="Times New Roman" w:cs="Times New Roman"/>
      <w:b/>
      <w:bCs/>
      <w:color w:val="000000"/>
      <w:spacing w:val="24"/>
      <w:sz w:val="24"/>
      <w:szCs w:val="24"/>
      <w:vertAlign w:val="baseline"/>
    </w:rPr>
  </w:style>
  <w:style w:type="character" w:customStyle="1" w:styleId="EquationNumber">
    <w:name w:val="Equation Number"/>
    <w:rsid w:val="000040F7"/>
    <w:rPr>
      <w:rFonts w:ascii="Arial" w:hAnsi="Arial" w:cs="Arial"/>
      <w:b/>
      <w:bCs/>
      <w:color w:val="000000"/>
      <w:spacing w:val="0"/>
      <w:sz w:val="16"/>
      <w:szCs w:val="16"/>
      <w:vertAlign w:val="baseline"/>
    </w:rPr>
  </w:style>
  <w:style w:type="character" w:customStyle="1" w:styleId="Document3">
    <w:name w:val="Document3"/>
    <w:rsid w:val="000040F7"/>
    <w:rPr>
      <w:rFonts w:ascii="Times New Roman" w:hAnsi="Times New Roman" w:cs="Times New Roman"/>
      <w:color w:val="000000"/>
      <w:sz w:val="24"/>
      <w:szCs w:val="24"/>
      <w:vertAlign w:val="baseline"/>
    </w:rPr>
  </w:style>
  <w:style w:type="character" w:customStyle="1" w:styleId="TOCpage">
    <w:name w:val="TOCpage#"/>
    <w:rsid w:val="000040F7"/>
    <w:rPr>
      <w:rFonts w:ascii="Times New Roman" w:hAnsi="Times New Roman" w:cs="Times New Roman"/>
      <w:color w:val="000000"/>
      <w:spacing w:val="0"/>
      <w:sz w:val="28"/>
      <w:szCs w:val="28"/>
      <w:vertAlign w:val="baseline"/>
    </w:rPr>
  </w:style>
  <w:style w:type="character" w:styleId="Emphasis">
    <w:name w:val="Emphasis"/>
    <w:uiPriority w:val="20"/>
    <w:qFormat/>
    <w:rsid w:val="000040F7"/>
    <w:rPr>
      <w:i/>
      <w:iCs/>
    </w:rPr>
  </w:style>
  <w:style w:type="character" w:customStyle="1" w:styleId="Document2">
    <w:name w:val="Document2"/>
    <w:rsid w:val="000040F7"/>
    <w:rPr>
      <w:rFonts w:ascii="Times New Roman" w:hAnsi="Times New Roman" w:cs="Times New Roman"/>
      <w:b/>
      <w:bCs/>
      <w:i/>
      <w:iCs/>
      <w:color w:val="000000"/>
      <w:sz w:val="24"/>
      <w:szCs w:val="24"/>
      <w:vertAlign w:val="baseline"/>
    </w:rPr>
  </w:style>
  <w:style w:type="character" w:customStyle="1" w:styleId="StepNumber">
    <w:name w:val="Step Number"/>
    <w:rsid w:val="000040F7"/>
    <w:rPr>
      <w:rFonts w:ascii="Arial" w:hAnsi="Arial" w:cs="Arial"/>
      <w:b/>
      <w:bCs/>
      <w:color w:val="000000"/>
      <w:spacing w:val="0"/>
      <w:sz w:val="18"/>
      <w:szCs w:val="18"/>
      <w:vertAlign w:val="baseline"/>
    </w:rPr>
  </w:style>
  <w:style w:type="character" w:customStyle="1" w:styleId="Run-InHeading">
    <w:name w:val="Run-In Heading"/>
    <w:rsid w:val="000040F7"/>
    <w:rPr>
      <w:rFonts w:ascii="Times New Roman" w:hAnsi="Times New Roman" w:cs="Times New Roman"/>
      <w:b/>
      <w:bCs/>
      <w:color w:val="000000"/>
      <w:spacing w:val="0"/>
      <w:sz w:val="20"/>
      <w:szCs w:val="20"/>
      <w:vertAlign w:val="baseline"/>
    </w:rPr>
  </w:style>
  <w:style w:type="character" w:customStyle="1" w:styleId="Document4">
    <w:name w:val="Document4"/>
    <w:rsid w:val="000040F7"/>
    <w:rPr>
      <w:rFonts w:ascii="Times New Roman" w:hAnsi="Times New Roman" w:cs="Times New Roman"/>
      <w:color w:val="000000"/>
      <w:sz w:val="24"/>
      <w:szCs w:val="24"/>
      <w:vertAlign w:val="baseline"/>
    </w:rPr>
  </w:style>
  <w:style w:type="character" w:styleId="PageNumber">
    <w:name w:val="page number"/>
    <w:basedOn w:val="DefaultParagraphFont"/>
    <w:rsid w:val="000040F7"/>
  </w:style>
  <w:style w:type="paragraph" w:styleId="BalloonText">
    <w:name w:val="Balloon Text"/>
    <w:basedOn w:val="Normal"/>
    <w:link w:val="BalloonTextChar"/>
    <w:uiPriority w:val="99"/>
    <w:semiHidden/>
    <w:rsid w:val="000040F7"/>
    <w:pPr>
      <w:spacing w:after="0" w:line="240" w:lineRule="auto"/>
      <w:jc w:val="left"/>
    </w:pPr>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0040F7"/>
    <w:rPr>
      <w:rFonts w:ascii="Tahoma" w:eastAsia="Times New Roman" w:hAnsi="Tahoma" w:cs="Tahoma"/>
      <w:kern w:val="0"/>
      <w:sz w:val="16"/>
      <w:szCs w:val="16"/>
      <w14:ligatures w14:val="none"/>
    </w:rPr>
  </w:style>
  <w:style w:type="paragraph" w:styleId="Revision">
    <w:name w:val="Revision"/>
    <w:hidden/>
    <w:uiPriority w:val="99"/>
    <w:semiHidden/>
    <w:rsid w:val="000040F7"/>
    <w:pPr>
      <w:spacing w:after="0"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link w:val="NormalWebChar"/>
    <w:uiPriority w:val="99"/>
    <w:unhideWhenUsed/>
    <w:rsid w:val="004917A6"/>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character" w:customStyle="1" w:styleId="NormalWebChar">
    <w:name w:val="Normal (Web) Char"/>
    <w:link w:val="NormalWeb"/>
    <w:uiPriority w:val="99"/>
    <w:locked/>
    <w:rsid w:val="004917A6"/>
    <w:rPr>
      <w:rFonts w:ascii="Times New Roman" w:eastAsia="Times New Roman" w:hAnsi="Times New Roman" w:cs="Times New Roman"/>
      <w:kern w:val="0"/>
      <w:sz w:val="24"/>
      <w:szCs w:val="24"/>
      <w14:ligatures w14:val="none"/>
    </w:rPr>
  </w:style>
  <w:style w:type="paragraph" w:customStyle="1" w:styleId="OurLinks">
    <w:name w:val="OurLinks"/>
    <w:basedOn w:val="Normal"/>
    <w:link w:val="OurLinksChar"/>
    <w:qFormat/>
    <w:rsid w:val="00D172EF"/>
    <w:rPr>
      <w:b/>
      <w:bCs/>
      <w:color w:val="0070C0"/>
    </w:rPr>
  </w:style>
  <w:style w:type="character" w:customStyle="1" w:styleId="OurLinksChar">
    <w:name w:val="OurLinks Char"/>
    <w:link w:val="OurLinks"/>
    <w:rsid w:val="00D172EF"/>
    <w:rPr>
      <w:rFonts w:ascii="Arial" w:hAnsi="Arial"/>
      <w:b/>
      <w:bCs/>
      <w:color w:val="0070C0"/>
    </w:rPr>
  </w:style>
  <w:style w:type="paragraph" w:customStyle="1" w:styleId="Paraa">
    <w:name w:val="Para(a)"/>
    <w:basedOn w:val="Normal"/>
    <w:rsid w:val="00B70D77"/>
    <w:pPr>
      <w:numPr>
        <w:ilvl w:val="1"/>
        <w:numId w:val="20"/>
      </w:numPr>
      <w:tabs>
        <w:tab w:val="left" w:pos="360"/>
        <w:tab w:val="left" w:pos="1080"/>
        <w:tab w:val="left" w:pos="1440"/>
      </w:tabs>
      <w:spacing w:before="120" w:after="0" w:line="240" w:lineRule="auto"/>
    </w:pPr>
    <w:rPr>
      <w:rFonts w:ascii="Times New Roman" w:eastAsia="Times New Roman" w:hAnsi="Times New Roman" w:cs="Arial"/>
      <w:kern w:val="0"/>
      <w:sz w:val="24"/>
      <w:szCs w:val="24"/>
      <w14:ligatures w14:val="none"/>
    </w:rPr>
  </w:style>
  <w:style w:type="character" w:styleId="Strong">
    <w:name w:val="Strong"/>
    <w:uiPriority w:val="22"/>
    <w:qFormat/>
    <w:rsid w:val="004D7910"/>
    <w:rPr>
      <w:b/>
      <w:bCs/>
    </w:rPr>
  </w:style>
  <w:style w:type="paragraph" w:customStyle="1" w:styleId="MarginBulletCharChar">
    <w:name w:val="Margin Bullet Char Char"/>
    <w:basedOn w:val="Normal"/>
    <w:rsid w:val="004D7910"/>
    <w:pPr>
      <w:tabs>
        <w:tab w:val="left" w:pos="360"/>
        <w:tab w:val="num" w:pos="810"/>
        <w:tab w:val="left" w:pos="1080"/>
        <w:tab w:val="left" w:pos="1440"/>
      </w:tabs>
      <w:spacing w:before="120" w:after="0" w:line="240" w:lineRule="auto"/>
      <w:ind w:left="720" w:hanging="720"/>
    </w:pPr>
    <w:rPr>
      <w:rFonts w:ascii="Times New Roman" w:eastAsia="Times New Roman" w:hAnsi="Times New Roman" w:cs="Arial"/>
      <w:kern w:val="0"/>
      <w:sz w:val="24"/>
      <w:szCs w:val="24"/>
      <w14:ligatures w14:val="none"/>
    </w:rPr>
  </w:style>
  <w:style w:type="character" w:styleId="FollowedHyperlink">
    <w:name w:val="FollowedHyperlink"/>
    <w:basedOn w:val="DefaultParagraphFont"/>
    <w:uiPriority w:val="99"/>
    <w:semiHidden/>
    <w:unhideWhenUsed/>
    <w:rsid w:val="00296FE9"/>
    <w:rPr>
      <w:color w:val="954F72" w:themeColor="followedHyperlink"/>
      <w:u w:val="single"/>
    </w:rPr>
  </w:style>
  <w:style w:type="paragraph" w:customStyle="1" w:styleId="Default">
    <w:name w:val="Default"/>
    <w:rsid w:val="0026257F"/>
    <w:pPr>
      <w:autoSpaceDE w:val="0"/>
      <w:autoSpaceDN w:val="0"/>
      <w:adjustRightInd w:val="0"/>
      <w:spacing w:after="0" w:line="240" w:lineRule="auto"/>
    </w:pPr>
    <w:rPr>
      <w:rFonts w:ascii="Cambria" w:hAnsi="Cambria" w:cs="Cambria"/>
      <w:color w:val="000000"/>
      <w:kern w:val="0"/>
      <w:sz w:val="24"/>
      <w:szCs w:val="24"/>
      <w14:ligatures w14:val="none"/>
    </w:rPr>
  </w:style>
  <w:style w:type="paragraph" w:customStyle="1" w:styleId="Level1Bullet">
    <w:name w:val="Level 1 Bullet"/>
    <w:basedOn w:val="Normal"/>
    <w:rsid w:val="00202E26"/>
    <w:pPr>
      <w:tabs>
        <w:tab w:val="num" w:pos="360"/>
        <w:tab w:val="left" w:pos="1080"/>
        <w:tab w:val="left" w:pos="1440"/>
      </w:tabs>
      <w:spacing w:before="120" w:after="0" w:line="240" w:lineRule="auto"/>
      <w:ind w:left="360" w:hanging="360"/>
    </w:pPr>
    <w:rPr>
      <w:rFonts w:ascii="Times New Roman" w:eastAsia="Times New Roman" w:hAnsi="Times New Roman" w:cs="Arial"/>
      <w:kern w:val="0"/>
      <w:sz w:val="24"/>
      <w:szCs w:val="24"/>
      <w14:ligatures w14:val="none"/>
    </w:rPr>
  </w:style>
  <w:style w:type="table" w:styleId="TableGrid">
    <w:name w:val="Table Grid"/>
    <w:basedOn w:val="TableNormal"/>
    <w:uiPriority w:val="59"/>
    <w:rsid w:val="00951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Normal">
    <w:name w:val="00 Normal"/>
    <w:basedOn w:val="Normal"/>
    <w:qFormat/>
    <w:rsid w:val="00E87DD6"/>
    <w:pPr>
      <w:spacing w:after="0" w:line="240" w:lineRule="auto"/>
      <w:jc w:val="left"/>
    </w:pPr>
    <w:rPr>
      <w:rFonts w:cs="Arial"/>
      <w:kern w:val="0"/>
      <w:sz w:val="20"/>
      <w:szCs w:val="20"/>
      <w14:ligatures w14:val="none"/>
    </w:rPr>
  </w:style>
  <w:style w:type="paragraph" w:customStyle="1" w:styleId="Squarebulletswithspace">
    <w:name w:val="Squarebulletswithspace"/>
    <w:basedOn w:val="Normal"/>
    <w:rsid w:val="00D83D34"/>
    <w:pPr>
      <w:tabs>
        <w:tab w:val="num" w:pos="360"/>
      </w:tabs>
      <w:spacing w:before="200" w:after="0" w:line="240" w:lineRule="auto"/>
      <w:ind w:left="360" w:hanging="360"/>
    </w:pPr>
    <w:rPr>
      <w:rFonts w:eastAsia="Times New Roman" w:cs="Arial"/>
      <w:kern w:val="0"/>
      <w:sz w:val="20"/>
      <w:szCs w:val="20"/>
      <w14:ligatures w14:val="none"/>
    </w:rPr>
  </w:style>
  <w:style w:type="paragraph" w:customStyle="1" w:styleId="Level2Bullet">
    <w:name w:val="Level 2 Bullet"/>
    <w:basedOn w:val="Normal"/>
    <w:rsid w:val="00A56D1D"/>
    <w:pPr>
      <w:numPr>
        <w:numId w:val="36"/>
      </w:numPr>
      <w:tabs>
        <w:tab w:val="left" w:pos="360"/>
        <w:tab w:val="left" w:pos="1440"/>
      </w:tabs>
      <w:spacing w:before="120" w:after="0" w:line="240" w:lineRule="auto"/>
      <w:jc w:val="left"/>
    </w:pPr>
    <w:rPr>
      <w:rFonts w:ascii="Times New Roman" w:eastAsia="Times New Roman" w:hAnsi="Times New Roman" w:cs="Times New Roman"/>
      <w:kern w:val="0"/>
      <w:sz w:val="24"/>
      <w:szCs w:val="24"/>
      <w14:ligatures w14:val="none"/>
    </w:rPr>
  </w:style>
  <w:style w:type="paragraph" w:styleId="TOC4">
    <w:name w:val="toc 4"/>
    <w:basedOn w:val="Normal"/>
    <w:next w:val="Normal"/>
    <w:autoRedefine/>
    <w:uiPriority w:val="39"/>
    <w:unhideWhenUsed/>
    <w:rsid w:val="000F2459"/>
    <w:pPr>
      <w:spacing w:after="100"/>
      <w:ind w:left="660"/>
      <w:jc w:val="left"/>
    </w:pPr>
    <w:rPr>
      <w:rFonts w:asciiTheme="minorHAnsi" w:eastAsiaTheme="minorEastAsia" w:hAnsiTheme="minorHAnsi"/>
    </w:rPr>
  </w:style>
  <w:style w:type="paragraph" w:styleId="TOC5">
    <w:name w:val="toc 5"/>
    <w:basedOn w:val="Normal"/>
    <w:next w:val="Normal"/>
    <w:autoRedefine/>
    <w:uiPriority w:val="39"/>
    <w:unhideWhenUsed/>
    <w:rsid w:val="000F2459"/>
    <w:pPr>
      <w:spacing w:after="100"/>
      <w:ind w:left="880"/>
      <w:jc w:val="left"/>
    </w:pPr>
    <w:rPr>
      <w:rFonts w:asciiTheme="minorHAnsi" w:eastAsiaTheme="minorEastAsia" w:hAnsiTheme="minorHAnsi"/>
    </w:rPr>
  </w:style>
  <w:style w:type="paragraph" w:styleId="TOC6">
    <w:name w:val="toc 6"/>
    <w:basedOn w:val="Normal"/>
    <w:next w:val="Normal"/>
    <w:autoRedefine/>
    <w:uiPriority w:val="39"/>
    <w:unhideWhenUsed/>
    <w:rsid w:val="000F2459"/>
    <w:pPr>
      <w:spacing w:after="100"/>
      <w:ind w:left="1100"/>
      <w:jc w:val="left"/>
    </w:pPr>
    <w:rPr>
      <w:rFonts w:asciiTheme="minorHAnsi" w:eastAsiaTheme="minorEastAsia" w:hAnsiTheme="minorHAnsi"/>
    </w:rPr>
  </w:style>
  <w:style w:type="paragraph" w:styleId="TOC7">
    <w:name w:val="toc 7"/>
    <w:basedOn w:val="Normal"/>
    <w:next w:val="Normal"/>
    <w:autoRedefine/>
    <w:uiPriority w:val="39"/>
    <w:unhideWhenUsed/>
    <w:rsid w:val="000F2459"/>
    <w:pPr>
      <w:spacing w:after="100"/>
      <w:ind w:left="1320"/>
      <w:jc w:val="left"/>
    </w:pPr>
    <w:rPr>
      <w:rFonts w:asciiTheme="minorHAnsi" w:eastAsiaTheme="minorEastAsia" w:hAnsiTheme="minorHAnsi"/>
    </w:rPr>
  </w:style>
  <w:style w:type="paragraph" w:styleId="TOC8">
    <w:name w:val="toc 8"/>
    <w:basedOn w:val="Normal"/>
    <w:next w:val="Normal"/>
    <w:autoRedefine/>
    <w:uiPriority w:val="39"/>
    <w:unhideWhenUsed/>
    <w:rsid w:val="000F2459"/>
    <w:pPr>
      <w:spacing w:after="100"/>
      <w:ind w:left="1540"/>
      <w:jc w:val="left"/>
    </w:pPr>
    <w:rPr>
      <w:rFonts w:asciiTheme="minorHAnsi" w:eastAsiaTheme="minorEastAsia" w:hAnsiTheme="minorHAnsi"/>
    </w:rPr>
  </w:style>
  <w:style w:type="paragraph" w:styleId="TOC9">
    <w:name w:val="toc 9"/>
    <w:basedOn w:val="Normal"/>
    <w:next w:val="Normal"/>
    <w:autoRedefine/>
    <w:uiPriority w:val="39"/>
    <w:unhideWhenUsed/>
    <w:rsid w:val="000F2459"/>
    <w:pPr>
      <w:spacing w:after="100"/>
      <w:ind w:left="1760"/>
      <w:jc w:val="left"/>
    </w:pPr>
    <w:rPr>
      <w:rFonts w:asciiTheme="minorHAnsi" w:eastAsiaTheme="minorEastAsia" w:hAnsiTheme="minorHAnsi"/>
    </w:rPr>
  </w:style>
  <w:style w:type="paragraph" w:customStyle="1" w:styleId="MTWBox">
    <w:name w:val="MTW Box"/>
    <w:basedOn w:val="Normal"/>
    <w:link w:val="MTWBoxChar"/>
    <w:qFormat/>
    <w:rsid w:val="00AE49F0"/>
    <w:pPr>
      <w:pBdr>
        <w:top w:val="single" w:sz="4" w:space="1" w:color="auto"/>
        <w:left w:val="single" w:sz="4" w:space="4" w:color="auto"/>
        <w:bottom w:val="single" w:sz="4" w:space="1" w:color="auto"/>
        <w:right w:val="single" w:sz="4" w:space="4" w:color="auto"/>
      </w:pBdr>
      <w:ind w:left="720" w:right="720"/>
    </w:pPr>
    <w:rPr>
      <w:rFonts w:cs="Arial"/>
      <w:b/>
      <w:i/>
      <w:iCs/>
      <w:szCs w:val="20"/>
    </w:rPr>
  </w:style>
  <w:style w:type="character" w:customStyle="1" w:styleId="MTWBoxChar">
    <w:name w:val="MTW Box Char"/>
    <w:basedOn w:val="DefaultParagraphFont"/>
    <w:link w:val="MTWBox"/>
    <w:rsid w:val="00AE49F0"/>
    <w:rPr>
      <w:rFonts w:ascii="Arial" w:hAnsi="Arial" w:cs="Arial"/>
      <w:b/>
      <w:i/>
      <w:iCs/>
      <w:szCs w:val="20"/>
    </w:rPr>
  </w:style>
  <w:style w:type="paragraph" w:styleId="PlainText">
    <w:name w:val="Plain Text"/>
    <w:basedOn w:val="Normal"/>
    <w:link w:val="PlainTextChar"/>
    <w:uiPriority w:val="99"/>
    <w:unhideWhenUsed/>
    <w:rsid w:val="00113C01"/>
    <w:pPr>
      <w:spacing w:after="0" w:line="240" w:lineRule="auto"/>
    </w:pPr>
    <w:rPr>
      <w:rFonts w:ascii="Consolas" w:eastAsia="Calibri" w:hAnsi="Consolas" w:cs="Arial"/>
      <w:kern w:val="0"/>
      <w:sz w:val="21"/>
      <w:szCs w:val="21"/>
      <w14:ligatures w14:val="none"/>
    </w:rPr>
  </w:style>
  <w:style w:type="character" w:customStyle="1" w:styleId="PlainTextChar">
    <w:name w:val="Plain Text Char"/>
    <w:basedOn w:val="DefaultParagraphFont"/>
    <w:link w:val="PlainText"/>
    <w:uiPriority w:val="99"/>
    <w:rsid w:val="00113C01"/>
    <w:rPr>
      <w:rFonts w:ascii="Consolas" w:eastAsia="Calibri" w:hAnsi="Consolas" w:cs="Arial"/>
      <w:kern w:val="0"/>
      <w:sz w:val="21"/>
      <w:szCs w:val="21"/>
      <w14:ligatures w14:val="none"/>
    </w:rPr>
  </w:style>
  <w:style w:type="character" w:customStyle="1" w:styleId="apple-converted-space">
    <w:name w:val="apple-converted-space"/>
    <w:basedOn w:val="DefaultParagraphFont"/>
    <w:rsid w:val="00DB4396"/>
  </w:style>
  <w:style w:type="character" w:customStyle="1" w:styleId="enumxml">
    <w:name w:val="enumxml"/>
    <w:basedOn w:val="DefaultParagraphFont"/>
    <w:rsid w:val="00DB4396"/>
  </w:style>
  <w:style w:type="paragraph" w:styleId="TOCHeading">
    <w:name w:val="TOC Heading"/>
    <w:basedOn w:val="Heading1"/>
    <w:next w:val="Normal"/>
    <w:uiPriority w:val="39"/>
    <w:unhideWhenUsed/>
    <w:qFormat/>
    <w:rsid w:val="00DB4396"/>
    <w:pPr>
      <w:keepNext/>
      <w:keepLines/>
      <w:widowControl/>
      <w:numPr>
        <w:numId w:val="0"/>
      </w:numPr>
      <w:pBdr>
        <w:bottom w:val="none" w:sz="0" w:space="0" w:color="auto"/>
      </w:pBdr>
      <w:autoSpaceDE/>
      <w:autoSpaceDN/>
      <w:spacing w:before="240" w:after="0" w:line="259" w:lineRule="auto"/>
      <w:outlineLvl w:val="9"/>
    </w:pPr>
    <w:rPr>
      <w:rFonts w:asciiTheme="majorHAnsi" w:eastAsiaTheme="majorEastAsia" w:hAnsiTheme="majorHAnsi" w:cstheme="majorBidi"/>
      <w:b w:val="0"/>
      <w:bCs w:val="0"/>
      <w:caps/>
      <w:color w:val="2F5496" w:themeColor="accent1" w:themeShade="BF"/>
      <w:sz w:val="32"/>
      <w:szCs w:val="32"/>
      <w:lang w:bidi="ar-SA"/>
    </w:rPr>
  </w:style>
  <w:style w:type="character" w:customStyle="1" w:styleId="NoSpacingChar">
    <w:name w:val="No Spacing Char"/>
    <w:basedOn w:val="DefaultParagraphFont"/>
    <w:link w:val="NoSpacing"/>
    <w:uiPriority w:val="1"/>
    <w:rsid w:val="00DB4396"/>
    <w:rPr>
      <w:rFonts w:ascii="Arial" w:eastAsia="Arial" w:hAnsi="Arial" w:cs="Arial"/>
      <w:kern w:val="0"/>
      <w:lang w:bidi="en-US"/>
      <w14:ligatures w14:val="none"/>
    </w:rPr>
  </w:style>
  <w:style w:type="paragraph" w:customStyle="1" w:styleId="Level1BulletChar">
    <w:name w:val="Level 1 Bullet Char"/>
    <w:basedOn w:val="Normal"/>
    <w:rsid w:val="00DB4396"/>
    <w:pPr>
      <w:numPr>
        <w:numId w:val="90"/>
      </w:numPr>
      <w:tabs>
        <w:tab w:val="left" w:pos="360"/>
        <w:tab w:val="left" w:pos="1080"/>
        <w:tab w:val="left" w:pos="1440"/>
      </w:tabs>
      <w:spacing w:before="120" w:after="0" w:line="240" w:lineRule="auto"/>
      <w:jc w:val="left"/>
    </w:pPr>
    <w:rPr>
      <w:rFonts w:ascii="Times New Roman" w:eastAsia="Times New Roman" w:hAnsi="Times New Roman" w:cs="Times New Roman"/>
      <w:kern w:val="0"/>
      <w:sz w:val="24"/>
      <w:szCs w:val="24"/>
      <w14:ligatures w14:val="none"/>
    </w:rPr>
  </w:style>
  <w:style w:type="paragraph" w:styleId="BodyText2">
    <w:name w:val="Body Text 2"/>
    <w:basedOn w:val="Normal"/>
    <w:link w:val="BodyText2Char"/>
    <w:rsid w:val="00DB4396"/>
    <w:pPr>
      <w:widowControl w:val="0"/>
      <w:tabs>
        <w:tab w:val="left" w:pos="6030"/>
      </w:tabs>
      <w:spacing w:after="200" w:line="276" w:lineRule="auto"/>
      <w:jc w:val="left"/>
    </w:pPr>
    <w:rPr>
      <w:rFonts w:asciiTheme="majorHAnsi" w:eastAsiaTheme="majorEastAsia" w:hAnsiTheme="majorHAnsi" w:cstheme="majorBidi"/>
      <w:snapToGrid w:val="0"/>
      <w:kern w:val="0"/>
      <w:sz w:val="24"/>
      <w14:ligatures w14:val="none"/>
    </w:rPr>
  </w:style>
  <w:style w:type="character" w:customStyle="1" w:styleId="BodyText2Char">
    <w:name w:val="Body Text 2 Char"/>
    <w:basedOn w:val="DefaultParagraphFont"/>
    <w:link w:val="BodyText2"/>
    <w:rsid w:val="00DB4396"/>
    <w:rPr>
      <w:rFonts w:asciiTheme="majorHAnsi" w:eastAsiaTheme="majorEastAsia" w:hAnsiTheme="majorHAnsi" w:cstheme="majorBidi"/>
      <w:snapToGrid w:val="0"/>
      <w:kern w:val="0"/>
      <w:sz w:val="24"/>
      <w14:ligatures w14:val="none"/>
    </w:rPr>
  </w:style>
  <w:style w:type="paragraph" w:styleId="HTMLPreformatted">
    <w:name w:val="HTML Preformatted"/>
    <w:basedOn w:val="Normal"/>
    <w:link w:val="HTMLPreformattedChar"/>
    <w:rsid w:val="00DB4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Times New Roman"/>
      <w:kern w:val="0"/>
      <w:sz w:val="20"/>
      <w:szCs w:val="20"/>
      <w:lang w:val="x-none" w:eastAsia="x-none"/>
      <w14:ligatures w14:val="none"/>
    </w:rPr>
  </w:style>
  <w:style w:type="character" w:customStyle="1" w:styleId="HTMLPreformattedChar">
    <w:name w:val="HTML Preformatted Char"/>
    <w:basedOn w:val="DefaultParagraphFont"/>
    <w:link w:val="HTMLPreformatted"/>
    <w:rsid w:val="00DB4396"/>
    <w:rPr>
      <w:rFonts w:ascii="Courier New" w:eastAsia="Times New Roman" w:hAnsi="Courier New" w:cs="Times New Roman"/>
      <w:kern w:val="0"/>
      <w:sz w:val="20"/>
      <w:szCs w:val="20"/>
      <w:lang w:val="x-none" w:eastAsia="x-none"/>
      <w14:ligatures w14:val="none"/>
    </w:rPr>
  </w:style>
  <w:style w:type="paragraph" w:styleId="ListBullet">
    <w:name w:val="List Bullet"/>
    <w:basedOn w:val="Normal"/>
    <w:autoRedefine/>
    <w:rsid w:val="00DB4396"/>
    <w:pPr>
      <w:numPr>
        <w:numId w:val="91"/>
      </w:numPr>
      <w:spacing w:after="200" w:line="276" w:lineRule="auto"/>
      <w:jc w:val="left"/>
    </w:pPr>
    <w:rPr>
      <w:rFonts w:asciiTheme="majorHAnsi" w:eastAsiaTheme="majorEastAsia" w:hAnsiTheme="majorHAnsi" w:cstheme="majorBidi"/>
      <w:kern w:val="0"/>
      <w14:ligatures w14:val="none"/>
    </w:rPr>
  </w:style>
  <w:style w:type="paragraph" w:customStyle="1" w:styleId="MarginBulletChar">
    <w:name w:val="Margin Bullet Char"/>
    <w:basedOn w:val="Level1BulletChar"/>
    <w:rsid w:val="00DB4396"/>
    <w:pPr>
      <w:numPr>
        <w:numId w:val="0"/>
      </w:numPr>
      <w:tabs>
        <w:tab w:val="num" w:pos="810"/>
      </w:tabs>
      <w:ind w:left="720" w:hanging="720"/>
    </w:pPr>
    <w:rPr>
      <w:rFonts w:ascii="Arial" w:hAnsi="Arial" w:cs="Arial"/>
    </w:rPr>
  </w:style>
  <w:style w:type="paragraph" w:styleId="BodyTextIndent">
    <w:name w:val="Body Text Indent"/>
    <w:basedOn w:val="Normal"/>
    <w:link w:val="BodyTextIndentChar"/>
    <w:unhideWhenUsed/>
    <w:rsid w:val="00DB4396"/>
    <w:pPr>
      <w:spacing w:after="120" w:line="240" w:lineRule="auto"/>
      <w:ind w:left="360"/>
      <w:jc w:val="left"/>
    </w:pPr>
    <w:rPr>
      <w:kern w:val="0"/>
      <w:sz w:val="20"/>
      <w14:ligatures w14:val="none"/>
    </w:rPr>
  </w:style>
  <w:style w:type="character" w:customStyle="1" w:styleId="BodyTextIndentChar">
    <w:name w:val="Body Text Indent Char"/>
    <w:basedOn w:val="DefaultParagraphFont"/>
    <w:link w:val="BodyTextIndent"/>
    <w:rsid w:val="00DB4396"/>
    <w:rPr>
      <w:rFonts w:ascii="Arial" w:hAnsi="Arial"/>
      <w:kern w:val="0"/>
      <w:sz w:val="20"/>
      <w14:ligatures w14:val="none"/>
    </w:rPr>
  </w:style>
  <w:style w:type="paragraph" w:styleId="BodyText3">
    <w:name w:val="Body Text 3"/>
    <w:basedOn w:val="Normal"/>
    <w:link w:val="BodyText3Char"/>
    <w:rsid w:val="00DB4396"/>
    <w:pPr>
      <w:tabs>
        <w:tab w:val="left" w:pos="1440"/>
        <w:tab w:val="left" w:pos="2160"/>
        <w:tab w:val="left" w:pos="2880"/>
        <w:tab w:val="left" w:pos="3600"/>
        <w:tab w:val="left" w:pos="4320"/>
        <w:tab w:val="left" w:pos="5040"/>
        <w:tab w:val="left" w:pos="5760"/>
        <w:tab w:val="left" w:pos="6480"/>
        <w:tab w:val="left" w:pos="7200"/>
        <w:tab w:val="left" w:pos="7920"/>
      </w:tabs>
      <w:spacing w:after="100" w:line="240" w:lineRule="auto"/>
    </w:pPr>
    <w:rPr>
      <w:rFonts w:ascii="Garamond" w:eastAsia="Times New Roman" w:hAnsi="Garamond" w:cs="Times New Roman"/>
      <w:kern w:val="0"/>
      <w:sz w:val="24"/>
      <w:szCs w:val="20"/>
      <w14:ligatures w14:val="none"/>
    </w:rPr>
  </w:style>
  <w:style w:type="character" w:customStyle="1" w:styleId="BodyText3Char">
    <w:name w:val="Body Text 3 Char"/>
    <w:basedOn w:val="DefaultParagraphFont"/>
    <w:link w:val="BodyText3"/>
    <w:rsid w:val="00DB4396"/>
    <w:rPr>
      <w:rFonts w:ascii="Garamond" w:eastAsia="Times New Roman" w:hAnsi="Garamond" w:cs="Times New Roman"/>
      <w:kern w:val="0"/>
      <w:sz w:val="24"/>
      <w:szCs w:val="20"/>
      <w14:ligatures w14:val="none"/>
    </w:rPr>
  </w:style>
  <w:style w:type="paragraph" w:customStyle="1" w:styleId="NormalArial">
    <w:name w:val="Normal + Arial"/>
    <w:aliases w:val="10 pt,Before:  6 pt"/>
    <w:basedOn w:val="Normal"/>
    <w:link w:val="NormalArialChar"/>
    <w:rsid w:val="00DB4396"/>
    <w:pPr>
      <w:overflowPunct w:val="0"/>
      <w:autoSpaceDE w:val="0"/>
      <w:autoSpaceDN w:val="0"/>
      <w:adjustRightInd w:val="0"/>
      <w:spacing w:before="120" w:after="0" w:line="240" w:lineRule="auto"/>
      <w:ind w:left="720" w:hanging="360"/>
      <w:textAlignment w:val="baseline"/>
      <w:outlineLvl w:val="0"/>
    </w:pPr>
    <w:rPr>
      <w:rFonts w:eastAsia="Times New Roman" w:cs="Times New Roman"/>
      <w:kern w:val="0"/>
      <w:sz w:val="20"/>
      <w:szCs w:val="20"/>
      <w14:ligatures w14:val="none"/>
    </w:rPr>
  </w:style>
  <w:style w:type="character" w:customStyle="1" w:styleId="NormalArialChar">
    <w:name w:val="Normal + Arial Char"/>
    <w:aliases w:val="10 pt Char,Before:  6 pt Char"/>
    <w:link w:val="NormalArial"/>
    <w:rsid w:val="00DB4396"/>
    <w:rPr>
      <w:rFonts w:ascii="Arial" w:eastAsia="Times New Roman" w:hAnsi="Arial" w:cs="Times New Roman"/>
      <w:kern w:val="0"/>
      <w:sz w:val="20"/>
      <w:szCs w:val="20"/>
      <w14:ligatures w14:val="none"/>
    </w:rPr>
  </w:style>
  <w:style w:type="paragraph" w:customStyle="1" w:styleId="Chapterheading">
    <w:name w:val="Chapter heading"/>
    <w:basedOn w:val="Normal"/>
    <w:rsid w:val="00DB4396"/>
    <w:pPr>
      <w:keepNext/>
      <w:spacing w:after="0" w:line="240" w:lineRule="auto"/>
      <w:outlineLvl w:val="1"/>
    </w:pPr>
    <w:rPr>
      <w:rFonts w:eastAsia="Times New Roman" w:cs="Arial"/>
      <w:b/>
      <w:bCs/>
      <w:iCs/>
      <w:caps/>
      <w:kern w:val="0"/>
      <w:sz w:val="28"/>
      <w:szCs w:val="28"/>
      <w14:ligatures w14:val="none"/>
    </w:rPr>
  </w:style>
  <w:style w:type="paragraph" w:customStyle="1" w:styleId="Squarebullets">
    <w:name w:val="Squarebullets"/>
    <w:basedOn w:val="Normal"/>
    <w:rsid w:val="00DB4396"/>
    <w:pPr>
      <w:tabs>
        <w:tab w:val="num" w:pos="360"/>
      </w:tabs>
      <w:spacing w:after="0" w:line="240" w:lineRule="auto"/>
      <w:ind w:left="360" w:hanging="360"/>
    </w:pPr>
    <w:rPr>
      <w:rFonts w:eastAsia="Times New Roman" w:cs="Arial"/>
      <w:kern w:val="0"/>
      <w:sz w:val="20"/>
      <w:szCs w:val="20"/>
      <w14:ligatures w14:val="none"/>
    </w:rPr>
  </w:style>
  <w:style w:type="paragraph" w:customStyle="1" w:styleId="bullet10">
    <w:name w:val="bullet1"/>
    <w:basedOn w:val="Normal"/>
    <w:autoRedefine/>
    <w:rsid w:val="00DB4396"/>
    <w:pPr>
      <w:tabs>
        <w:tab w:val="left" w:pos="2160"/>
        <w:tab w:val="left" w:pos="7320"/>
        <w:tab w:val="left" w:pos="9480"/>
      </w:tabs>
      <w:overflowPunct w:val="0"/>
      <w:autoSpaceDE w:val="0"/>
      <w:autoSpaceDN w:val="0"/>
      <w:adjustRightInd w:val="0"/>
      <w:spacing w:after="0" w:line="240" w:lineRule="auto"/>
      <w:textAlignment w:val="baseline"/>
    </w:pPr>
    <w:rPr>
      <w:rFonts w:eastAsia="Times New Roman" w:cs="Arial"/>
      <w:bCs/>
      <w:strike/>
      <w:color w:val="FF0000"/>
      <w:kern w:val="0"/>
      <w:sz w:val="20"/>
      <w:szCs w:val="20"/>
      <w:lang w:eastAsia="zh-CN"/>
      <w14:ligatures w14:val="none"/>
    </w:rPr>
  </w:style>
  <w:style w:type="paragraph" w:customStyle="1" w:styleId="bullet-last">
    <w:name w:val="bullet-last"/>
    <w:basedOn w:val="bullet10"/>
    <w:rsid w:val="00DB4396"/>
    <w:pPr>
      <w:spacing w:after="240"/>
    </w:pPr>
  </w:style>
  <w:style w:type="paragraph" w:customStyle="1" w:styleId="Bullet2">
    <w:name w:val="Bullet 2"/>
    <w:basedOn w:val="Normal"/>
    <w:rsid w:val="00DB4396"/>
    <w:pPr>
      <w:tabs>
        <w:tab w:val="num" w:pos="360"/>
      </w:tabs>
      <w:suppressAutoHyphens/>
      <w:spacing w:before="140" w:after="140" w:line="240" w:lineRule="auto"/>
      <w:ind w:left="360" w:hanging="360"/>
    </w:pPr>
    <w:rPr>
      <w:rFonts w:ascii="Times New Roman" w:eastAsia="Times New Roman" w:hAnsi="Times New Roman" w:cs="Arial"/>
      <w:color w:val="000000"/>
      <w:kern w:val="0"/>
      <w:sz w:val="24"/>
      <w:szCs w:val="20"/>
      <w14:ligatures w14:val="none"/>
    </w:rPr>
  </w:style>
  <w:style w:type="paragraph" w:customStyle="1" w:styleId="OptionText">
    <w:name w:val="Option Text"/>
    <w:basedOn w:val="Text"/>
    <w:next w:val="Text"/>
    <w:rsid w:val="00DB4396"/>
  </w:style>
  <w:style w:type="paragraph" w:customStyle="1" w:styleId="Text">
    <w:name w:val="Text"/>
    <w:basedOn w:val="Normal"/>
    <w:rsid w:val="00DB4396"/>
    <w:pPr>
      <w:tabs>
        <w:tab w:val="left" w:pos="360"/>
        <w:tab w:val="left" w:pos="1080"/>
        <w:tab w:val="left" w:pos="1440"/>
      </w:tabs>
      <w:spacing w:before="120" w:after="0" w:line="240" w:lineRule="auto"/>
    </w:pPr>
    <w:rPr>
      <w:rFonts w:ascii="Times New Roman" w:eastAsia="Times New Roman" w:hAnsi="Times New Roman" w:cs="Arial"/>
      <w:kern w:val="0"/>
      <w:sz w:val="24"/>
      <w:szCs w:val="24"/>
      <w14:ligatures w14:val="none"/>
    </w:rPr>
  </w:style>
  <w:style w:type="paragraph" w:customStyle="1" w:styleId="Spacer">
    <w:name w:val="Spacer"/>
    <w:basedOn w:val="Normal"/>
    <w:next w:val="Normal"/>
    <w:rsid w:val="00DB4396"/>
    <w:pPr>
      <w:keepNext/>
      <w:keepLines/>
      <w:tabs>
        <w:tab w:val="left" w:pos="360"/>
        <w:tab w:val="left" w:pos="1080"/>
        <w:tab w:val="left" w:pos="1440"/>
      </w:tabs>
      <w:spacing w:before="120" w:after="0" w:line="240" w:lineRule="auto"/>
    </w:pPr>
    <w:rPr>
      <w:rFonts w:ascii="Times New Roman" w:eastAsia="Times New Roman" w:hAnsi="Times New Roman" w:cs="Arial"/>
      <w:kern w:val="0"/>
      <w:sz w:val="24"/>
      <w:szCs w:val="24"/>
      <w14:ligatures w14:val="none"/>
    </w:rPr>
  </w:style>
  <w:style w:type="character" w:customStyle="1" w:styleId="MarginBulletCharCharChar">
    <w:name w:val="Margin Bullet Char Char Char"/>
    <w:rsid w:val="00DB4396"/>
    <w:rPr>
      <w:sz w:val="24"/>
      <w:szCs w:val="24"/>
      <w:lang w:val="en-US" w:eastAsia="en-US" w:bidi="ar-SA"/>
    </w:rPr>
  </w:style>
  <w:style w:type="character" w:customStyle="1" w:styleId="EndnoteTextChar">
    <w:name w:val="Endnote Text Char"/>
    <w:link w:val="EndnoteText"/>
    <w:semiHidden/>
    <w:rsid w:val="00DB4396"/>
    <w:rPr>
      <w:rFonts w:ascii="Times New Roman" w:eastAsia="Times New Roman" w:hAnsi="Times New Roman"/>
    </w:rPr>
  </w:style>
  <w:style w:type="paragraph" w:styleId="EndnoteText">
    <w:name w:val="endnote text"/>
    <w:basedOn w:val="Normal"/>
    <w:link w:val="EndnoteTextChar"/>
    <w:semiHidden/>
    <w:rsid w:val="00DB4396"/>
    <w:pPr>
      <w:spacing w:before="120" w:after="0" w:line="240" w:lineRule="auto"/>
    </w:pPr>
    <w:rPr>
      <w:rFonts w:ascii="Times New Roman" w:eastAsia="Times New Roman" w:hAnsi="Times New Roman"/>
    </w:rPr>
  </w:style>
  <w:style w:type="character" w:customStyle="1" w:styleId="EndnoteTextChar1">
    <w:name w:val="Endnote Text Char1"/>
    <w:basedOn w:val="DefaultParagraphFont"/>
    <w:uiPriority w:val="99"/>
    <w:semiHidden/>
    <w:rsid w:val="00DB4396"/>
    <w:rPr>
      <w:rFonts w:ascii="Arial" w:hAnsi="Arial"/>
      <w:sz w:val="20"/>
      <w:szCs w:val="20"/>
    </w:rPr>
  </w:style>
  <w:style w:type="character" w:customStyle="1" w:styleId="FootnoteTextChar">
    <w:name w:val="Footnote Text Char"/>
    <w:link w:val="FootnoteText"/>
    <w:semiHidden/>
    <w:rsid w:val="00DB4396"/>
    <w:rPr>
      <w:rFonts w:ascii="Times New Roman" w:eastAsia="Times New Roman" w:hAnsi="Times New Roman"/>
    </w:rPr>
  </w:style>
  <w:style w:type="paragraph" w:styleId="FootnoteText">
    <w:name w:val="footnote text"/>
    <w:basedOn w:val="Normal"/>
    <w:link w:val="FootnoteTextChar"/>
    <w:semiHidden/>
    <w:rsid w:val="00DB4396"/>
    <w:pPr>
      <w:tabs>
        <w:tab w:val="left" w:pos="360"/>
        <w:tab w:val="left" w:pos="1080"/>
        <w:tab w:val="left" w:pos="1440"/>
      </w:tabs>
      <w:spacing w:before="120" w:after="0" w:line="240" w:lineRule="auto"/>
    </w:pPr>
    <w:rPr>
      <w:rFonts w:ascii="Times New Roman" w:eastAsia="Times New Roman" w:hAnsi="Times New Roman"/>
    </w:rPr>
  </w:style>
  <w:style w:type="character" w:customStyle="1" w:styleId="FootnoteTextChar1">
    <w:name w:val="Footnote Text Char1"/>
    <w:basedOn w:val="DefaultParagraphFont"/>
    <w:uiPriority w:val="99"/>
    <w:semiHidden/>
    <w:rsid w:val="00DB4396"/>
    <w:rPr>
      <w:rFonts w:ascii="Arial" w:hAnsi="Arial"/>
      <w:sz w:val="20"/>
      <w:szCs w:val="20"/>
    </w:rPr>
  </w:style>
  <w:style w:type="character" w:customStyle="1" w:styleId="Level1BulletCharChar">
    <w:name w:val="Level 1 Bullet Char Char"/>
    <w:rsid w:val="00DB4396"/>
    <w:rPr>
      <w:sz w:val="24"/>
      <w:szCs w:val="24"/>
      <w:lang w:val="en-US" w:eastAsia="en-US" w:bidi="ar-SA"/>
    </w:rPr>
  </w:style>
  <w:style w:type="paragraph" w:customStyle="1" w:styleId="level1bullet0">
    <w:name w:val="level1bullet"/>
    <w:basedOn w:val="Normal"/>
    <w:rsid w:val="00DB4396"/>
    <w:pPr>
      <w:spacing w:before="100" w:beforeAutospacing="1" w:after="100" w:afterAutospacing="1" w:line="240" w:lineRule="auto"/>
    </w:pPr>
    <w:rPr>
      <w:rFonts w:ascii="Times New Roman" w:eastAsia="Times New Roman" w:hAnsi="Times New Roman" w:cs="Arial"/>
      <w:kern w:val="0"/>
      <w:sz w:val="24"/>
      <w:szCs w:val="24"/>
      <w14:ligatures w14:val="none"/>
    </w:rPr>
  </w:style>
  <w:style w:type="paragraph" w:customStyle="1" w:styleId="MarginBulletCharCharCharChar">
    <w:name w:val="Margin Bullet Char Char Char Char"/>
    <w:basedOn w:val="Normal"/>
    <w:rsid w:val="00DB4396"/>
    <w:pPr>
      <w:tabs>
        <w:tab w:val="left" w:pos="360"/>
        <w:tab w:val="left" w:pos="1440"/>
      </w:tabs>
      <w:spacing w:before="120" w:after="0" w:line="240" w:lineRule="auto"/>
      <w:ind w:left="360" w:hanging="360"/>
    </w:pPr>
    <w:rPr>
      <w:rFonts w:ascii="Times New Roman" w:eastAsia="Times New Roman" w:hAnsi="Times New Roman" w:cs="Arial"/>
      <w:kern w:val="0"/>
      <w:sz w:val="24"/>
      <w:szCs w:val="24"/>
      <w14:ligatures w14:val="none"/>
    </w:rPr>
  </w:style>
  <w:style w:type="paragraph" w:customStyle="1" w:styleId="Glossary">
    <w:name w:val="Glossary"/>
    <w:basedOn w:val="Heading3"/>
    <w:rsid w:val="00DB4396"/>
    <w:pPr>
      <w:keepNext w:val="0"/>
      <w:keepLines w:val="0"/>
      <w:spacing w:before="0" w:after="240" w:line="240" w:lineRule="auto"/>
      <w:ind w:left="2508" w:hanging="2508"/>
    </w:pPr>
    <w:rPr>
      <w:rFonts w:eastAsia="Calibri" w:cs="Times New Roman"/>
      <w:b w:val="0"/>
      <w:bCs/>
      <w:i w:val="0"/>
      <w:kern w:val="0"/>
      <w:sz w:val="22"/>
      <w:szCs w:val="20"/>
      <w14:ligatures w14:val="none"/>
    </w:rPr>
  </w:style>
  <w:style w:type="paragraph" w:customStyle="1" w:styleId="PHAPolicybullet">
    <w:name w:val="PHA Policy bullet"/>
    <w:basedOn w:val="Normal"/>
    <w:rsid w:val="00DB4396"/>
    <w:pPr>
      <w:tabs>
        <w:tab w:val="left" w:pos="360"/>
        <w:tab w:val="left" w:pos="1080"/>
        <w:tab w:val="num" w:pos="1440"/>
      </w:tabs>
      <w:spacing w:before="120" w:after="0" w:line="240" w:lineRule="auto"/>
      <w:ind w:left="1440" w:hanging="360"/>
    </w:pPr>
    <w:rPr>
      <w:rFonts w:ascii="Times New Roman" w:eastAsia="Times New Roman" w:hAnsi="Times New Roman" w:cs="Arial"/>
      <w:kern w:val="0"/>
      <w:sz w:val="24"/>
      <w:szCs w:val="24"/>
      <w14:ligatures w14:val="none"/>
    </w:rPr>
  </w:style>
  <w:style w:type="character" w:customStyle="1" w:styleId="EdgemereConsultingCorporation">
    <w:name w:val="Edgemere Consulting Corporation"/>
    <w:semiHidden/>
    <w:rsid w:val="00DB4396"/>
    <w:rPr>
      <w:rFonts w:ascii="Arial" w:hAnsi="Arial" w:cs="Arial"/>
      <w:color w:val="auto"/>
      <w:sz w:val="20"/>
      <w:szCs w:val="20"/>
    </w:rPr>
  </w:style>
  <w:style w:type="paragraph" w:customStyle="1" w:styleId="NormalTimesNewRoman">
    <w:name w:val="Normal + Times New Roman"/>
    <w:aliases w:val="12 pt,Bold,Centered,Before:  12 pt,Normal + Bold"/>
    <w:basedOn w:val="Normal"/>
    <w:link w:val="NormalTimesNewRomanChar"/>
    <w:rsid w:val="00DB4396"/>
    <w:pPr>
      <w:tabs>
        <w:tab w:val="left" w:pos="1080"/>
      </w:tabs>
      <w:overflowPunct w:val="0"/>
      <w:autoSpaceDE w:val="0"/>
      <w:autoSpaceDN w:val="0"/>
      <w:adjustRightInd w:val="0"/>
      <w:spacing w:before="240" w:after="0" w:line="240" w:lineRule="auto"/>
      <w:jc w:val="center"/>
      <w:textAlignment w:val="baseline"/>
      <w:outlineLvl w:val="0"/>
    </w:pPr>
    <w:rPr>
      <w:rFonts w:ascii="Times New Roman" w:eastAsia="Times New Roman" w:hAnsi="Times New Roman" w:cs="Times New Roman"/>
      <w:b/>
      <w:bCs/>
      <w:kern w:val="0"/>
      <w:sz w:val="24"/>
      <w:szCs w:val="24"/>
      <w14:ligatures w14:val="none"/>
    </w:rPr>
  </w:style>
  <w:style w:type="character" w:customStyle="1" w:styleId="NormalTimesNewRomanChar">
    <w:name w:val="Normal + Times New Roman Char"/>
    <w:aliases w:val="Bold Char,Centered Char,Before:  12 pt Char"/>
    <w:link w:val="NormalTimesNewRoman"/>
    <w:rsid w:val="00DB4396"/>
    <w:rPr>
      <w:rFonts w:ascii="Times New Roman" w:eastAsia="Times New Roman" w:hAnsi="Times New Roman" w:cs="Times New Roman"/>
      <w:b/>
      <w:bCs/>
      <w:kern w:val="0"/>
      <w:sz w:val="24"/>
      <w:szCs w:val="24"/>
      <w14:ligatures w14:val="none"/>
    </w:rPr>
  </w:style>
  <w:style w:type="paragraph" w:customStyle="1" w:styleId="BlockII">
    <w:name w:val="Block II"/>
    <w:basedOn w:val="Normal"/>
    <w:rsid w:val="00DB4396"/>
    <w:pPr>
      <w:spacing w:after="0" w:line="240" w:lineRule="auto"/>
    </w:pPr>
    <w:rPr>
      <w:rFonts w:ascii="Times New Roman" w:eastAsia="Times New Roman" w:hAnsi="Times New Roman" w:cs="Arial"/>
      <w:kern w:val="0"/>
      <w:szCs w:val="24"/>
      <w14:ligatures w14:val="none"/>
    </w:rPr>
  </w:style>
  <w:style w:type="paragraph" w:styleId="BodyTextIndent2">
    <w:name w:val="Body Text Indent 2"/>
    <w:basedOn w:val="Normal"/>
    <w:link w:val="BodyTextIndent2Char"/>
    <w:uiPriority w:val="99"/>
    <w:semiHidden/>
    <w:unhideWhenUsed/>
    <w:rsid w:val="00DB4396"/>
    <w:pPr>
      <w:spacing w:after="120" w:line="480" w:lineRule="auto"/>
      <w:ind w:left="360"/>
    </w:pPr>
    <w:rPr>
      <w:rFonts w:eastAsia="Calibri" w:cs="Times New Roman"/>
      <w:kern w:val="0"/>
      <w:sz w:val="20"/>
      <w14:ligatures w14:val="none"/>
    </w:rPr>
  </w:style>
  <w:style w:type="character" w:customStyle="1" w:styleId="BodyTextIndent2Char">
    <w:name w:val="Body Text Indent 2 Char"/>
    <w:basedOn w:val="DefaultParagraphFont"/>
    <w:link w:val="BodyTextIndent2"/>
    <w:uiPriority w:val="99"/>
    <w:semiHidden/>
    <w:rsid w:val="00DB4396"/>
    <w:rPr>
      <w:rFonts w:ascii="Arial" w:eastAsia="Calibri" w:hAnsi="Arial" w:cs="Times New Roman"/>
      <w:kern w:val="0"/>
      <w:sz w:val="20"/>
      <w14:ligatures w14:val="none"/>
    </w:rPr>
  </w:style>
  <w:style w:type="character" w:customStyle="1" w:styleId="CharChar19">
    <w:name w:val="Char Char19"/>
    <w:rsid w:val="00DB4396"/>
    <w:rPr>
      <w:rFonts w:ascii="Arial" w:hAnsi="Arial"/>
      <w:b/>
      <w:bCs/>
      <w:kern w:val="32"/>
      <w:sz w:val="28"/>
      <w:szCs w:val="32"/>
      <w:lang w:val="en-US" w:eastAsia="en-US" w:bidi="ar-SA"/>
    </w:rPr>
  </w:style>
  <w:style w:type="paragraph" w:customStyle="1" w:styleId="00BulletList">
    <w:name w:val="00 Bullet List"/>
    <w:basedOn w:val="Normal"/>
    <w:rsid w:val="00DB4396"/>
    <w:pPr>
      <w:numPr>
        <w:numId w:val="92"/>
      </w:numPr>
      <w:tabs>
        <w:tab w:val="left" w:pos="1440"/>
      </w:tabs>
      <w:spacing w:after="240" w:line="240" w:lineRule="auto"/>
    </w:pPr>
    <w:rPr>
      <w:rFonts w:eastAsia="Times New Roman" w:cs="Arial"/>
      <w:kern w:val="0"/>
      <w:sz w:val="20"/>
      <w:szCs w:val="24"/>
      <w14:ligatures w14:val="none"/>
    </w:rPr>
  </w:style>
  <w:style w:type="paragraph" w:customStyle="1" w:styleId="00BodyText1">
    <w:name w:val="00 Body Text 1"/>
    <w:basedOn w:val="Normal"/>
    <w:rsid w:val="00DB4396"/>
    <w:pPr>
      <w:spacing w:after="240" w:line="240" w:lineRule="auto"/>
      <w:ind w:firstLine="1440"/>
    </w:pPr>
    <w:rPr>
      <w:rFonts w:eastAsia="Times New Roman" w:cs="Arial"/>
      <w:kern w:val="0"/>
      <w:sz w:val="20"/>
      <w:szCs w:val="24"/>
      <w14:ligatures w14:val="none"/>
    </w:rPr>
  </w:style>
  <w:style w:type="paragraph" w:customStyle="1" w:styleId="squarebulletswithspace0">
    <w:name w:val="squarebulletswithspace"/>
    <w:basedOn w:val="Normal"/>
    <w:rsid w:val="00DB4396"/>
    <w:pPr>
      <w:spacing w:before="100" w:beforeAutospacing="1" w:after="100" w:afterAutospacing="1" w:line="240" w:lineRule="auto"/>
    </w:pPr>
    <w:rPr>
      <w:rFonts w:ascii="Times New Roman" w:eastAsia="Calibri" w:hAnsi="Times New Roman" w:cs="Arial"/>
      <w:kern w:val="0"/>
      <w:sz w:val="24"/>
      <w:szCs w:val="24"/>
      <w14:ligatures w14:val="none"/>
    </w:rPr>
  </w:style>
  <w:style w:type="paragraph" w:customStyle="1" w:styleId="Normal1">
    <w:name w:val="Normal1"/>
    <w:basedOn w:val="Normal"/>
    <w:rsid w:val="00DB4396"/>
    <w:pPr>
      <w:spacing w:before="100" w:beforeAutospacing="1" w:after="100" w:afterAutospacing="1" w:line="240" w:lineRule="auto"/>
    </w:pPr>
    <w:rPr>
      <w:rFonts w:ascii="Times New Roman" w:eastAsia="Times New Roman" w:hAnsi="Times New Roman" w:cs="Arial"/>
      <w:kern w:val="0"/>
      <w:sz w:val="24"/>
      <w:szCs w:val="24"/>
      <w14:ligatures w14:val="none"/>
    </w:rPr>
  </w:style>
  <w:style w:type="character" w:customStyle="1" w:styleId="ptext-2">
    <w:name w:val="ptext-2"/>
    <w:basedOn w:val="DefaultParagraphFont"/>
    <w:rsid w:val="00DB4396"/>
  </w:style>
  <w:style w:type="character" w:customStyle="1" w:styleId="ptext-3">
    <w:name w:val="ptext-3"/>
    <w:basedOn w:val="DefaultParagraphFont"/>
    <w:rsid w:val="00DB4396"/>
  </w:style>
  <w:style w:type="character" w:customStyle="1" w:styleId="ptext-1">
    <w:name w:val="ptext-1"/>
    <w:basedOn w:val="DefaultParagraphFont"/>
    <w:rsid w:val="00DB4396"/>
  </w:style>
  <w:style w:type="paragraph" w:customStyle="1" w:styleId="CM36">
    <w:name w:val="CM36"/>
    <w:basedOn w:val="Normal"/>
    <w:next w:val="Normal"/>
    <w:uiPriority w:val="99"/>
    <w:rsid w:val="00DB4396"/>
    <w:pPr>
      <w:autoSpaceDE w:val="0"/>
      <w:autoSpaceDN w:val="0"/>
      <w:adjustRightInd w:val="0"/>
      <w:spacing w:after="0" w:line="240" w:lineRule="auto"/>
      <w:jc w:val="left"/>
    </w:pPr>
    <w:rPr>
      <w:rFonts w:ascii="Times New Roman" w:eastAsia="Calibri" w:hAnsi="Times New Roman" w:cs="Times New Roman"/>
      <w:kern w:val="0"/>
      <w:sz w:val="24"/>
      <w:szCs w:val="24"/>
      <w14:ligatures w14:val="none"/>
    </w:rPr>
  </w:style>
  <w:style w:type="character" w:customStyle="1" w:styleId="sectno">
    <w:name w:val="sectno"/>
    <w:basedOn w:val="DefaultParagraphFont"/>
    <w:rsid w:val="00DB4396"/>
  </w:style>
  <w:style w:type="character" w:customStyle="1" w:styleId="subject">
    <w:name w:val="subject"/>
    <w:basedOn w:val="DefaultParagraphFont"/>
    <w:rsid w:val="00DB4396"/>
  </w:style>
  <w:style w:type="character" w:customStyle="1" w:styleId="appro">
    <w:name w:val="appro"/>
    <w:basedOn w:val="DefaultParagraphFont"/>
    <w:rsid w:val="00DB4396"/>
  </w:style>
  <w:style w:type="character" w:customStyle="1" w:styleId="contents">
    <w:name w:val="contents"/>
    <w:basedOn w:val="DefaultParagraphFont"/>
    <w:rsid w:val="00DB4396"/>
  </w:style>
  <w:style w:type="character" w:customStyle="1" w:styleId="ptext-4">
    <w:name w:val="ptext-4"/>
    <w:basedOn w:val="DefaultParagraphFont"/>
    <w:rsid w:val="00DB4396"/>
  </w:style>
  <w:style w:type="paragraph" w:styleId="DocumentMap">
    <w:name w:val="Document Map"/>
    <w:basedOn w:val="Normal"/>
    <w:link w:val="DocumentMapChar"/>
    <w:uiPriority w:val="99"/>
    <w:semiHidden/>
    <w:unhideWhenUsed/>
    <w:rsid w:val="00DB4396"/>
    <w:pPr>
      <w:spacing w:after="0" w:line="240" w:lineRule="auto"/>
    </w:pPr>
    <w:rPr>
      <w:rFonts w:ascii="Tahoma" w:eastAsia="Calibri" w:hAnsi="Tahoma" w:cs="Tahoma"/>
      <w:kern w:val="0"/>
      <w:sz w:val="16"/>
      <w:szCs w:val="16"/>
      <w14:ligatures w14:val="none"/>
    </w:rPr>
  </w:style>
  <w:style w:type="character" w:customStyle="1" w:styleId="DocumentMapChar">
    <w:name w:val="Document Map Char"/>
    <w:basedOn w:val="DefaultParagraphFont"/>
    <w:link w:val="DocumentMap"/>
    <w:uiPriority w:val="99"/>
    <w:semiHidden/>
    <w:rsid w:val="00DB4396"/>
    <w:rPr>
      <w:rFonts w:ascii="Tahoma" w:eastAsia="Calibri" w:hAnsi="Tahoma" w:cs="Tahoma"/>
      <w:kern w:val="0"/>
      <w:sz w:val="16"/>
      <w:szCs w:val="16"/>
      <w14:ligatures w14:val="none"/>
    </w:rPr>
  </w:style>
  <w:style w:type="character" w:customStyle="1" w:styleId="Body1Char">
    <w:name w:val="Body 1 Char"/>
    <w:basedOn w:val="DefaultParagraphFont"/>
    <w:link w:val="Body10"/>
    <w:locked/>
    <w:rsid w:val="00DB4396"/>
    <w:rPr>
      <w:rFonts w:ascii="Arial" w:hAnsi="Arial" w:cs="Arial"/>
    </w:rPr>
  </w:style>
  <w:style w:type="paragraph" w:customStyle="1" w:styleId="Body10">
    <w:name w:val="Body 1"/>
    <w:basedOn w:val="Normal"/>
    <w:link w:val="Body1Char"/>
    <w:rsid w:val="00DB4396"/>
    <w:pPr>
      <w:spacing w:before="120" w:after="0" w:line="240" w:lineRule="auto"/>
      <w:jc w:val="left"/>
    </w:pPr>
    <w:rPr>
      <w:rFonts w:cs="Arial"/>
    </w:rPr>
  </w:style>
  <w:style w:type="character" w:customStyle="1" w:styleId="BulletFirstIndentedChar">
    <w:name w:val="Bullet First Indented Char"/>
    <w:basedOn w:val="DefaultParagraphFont"/>
    <w:link w:val="BulletFirstIndented"/>
    <w:uiPriority w:val="99"/>
    <w:locked/>
    <w:rsid w:val="00DB4396"/>
    <w:rPr>
      <w:rFonts w:ascii="Arial" w:hAnsi="Arial" w:cs="Arial"/>
      <w:color w:val="000000"/>
    </w:rPr>
  </w:style>
  <w:style w:type="paragraph" w:customStyle="1" w:styleId="BulletFirstIndented">
    <w:name w:val="Bullet First Indented"/>
    <w:basedOn w:val="Normal"/>
    <w:link w:val="BulletFirstIndentedChar"/>
    <w:uiPriority w:val="99"/>
    <w:rsid w:val="00DB4396"/>
    <w:pPr>
      <w:keepNext/>
      <w:numPr>
        <w:numId w:val="93"/>
      </w:numPr>
      <w:spacing w:before="120" w:after="0" w:line="240" w:lineRule="auto"/>
      <w:jc w:val="left"/>
    </w:pPr>
    <w:rPr>
      <w:rFonts w:cs="Arial"/>
      <w:color w:val="000000"/>
    </w:rPr>
  </w:style>
  <w:style w:type="character" w:customStyle="1" w:styleId="BulletFollowingIndentedChar">
    <w:name w:val="Bullet Following Indented Char"/>
    <w:basedOn w:val="DefaultParagraphFont"/>
    <w:link w:val="BulletFollowingIndented"/>
    <w:uiPriority w:val="99"/>
    <w:locked/>
    <w:rsid w:val="00DB4396"/>
    <w:rPr>
      <w:rFonts w:ascii="Arial" w:hAnsi="Arial" w:cs="Arial"/>
      <w:color w:val="000000"/>
    </w:rPr>
  </w:style>
  <w:style w:type="paragraph" w:customStyle="1" w:styleId="BulletFollowingIndented">
    <w:name w:val="Bullet Following Indented"/>
    <w:basedOn w:val="Normal"/>
    <w:link w:val="BulletFollowingIndentedChar"/>
    <w:uiPriority w:val="99"/>
    <w:rsid w:val="00DB4396"/>
    <w:pPr>
      <w:keepNext/>
      <w:spacing w:after="0" w:line="240" w:lineRule="auto"/>
      <w:ind w:left="1080" w:hanging="360"/>
      <w:jc w:val="left"/>
    </w:pPr>
    <w:rPr>
      <w:rFonts w:cs="Arial"/>
      <w:color w:val="000000"/>
    </w:rPr>
  </w:style>
  <w:style w:type="character" w:customStyle="1" w:styleId="et03">
    <w:name w:val="et03"/>
    <w:basedOn w:val="DefaultParagraphFont"/>
    <w:rsid w:val="00DB4396"/>
  </w:style>
  <w:style w:type="paragraph" w:customStyle="1" w:styleId="Body1Nobullet">
    <w:name w:val="Body1(No bullet)"/>
    <w:uiPriority w:val="99"/>
    <w:rsid w:val="00DB439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00" w:after="60" w:line="280" w:lineRule="atLeast"/>
    </w:pPr>
    <w:rPr>
      <w:rFonts w:ascii="Times New Roman" w:eastAsia="Times New Roman" w:hAnsi="Times New Roman" w:cs="Times New Roman"/>
      <w:color w:val="000000"/>
      <w:w w:val="1"/>
      <w:kern w:val="0"/>
      <w:sz w:val="24"/>
      <w:szCs w:val="24"/>
      <w14:ligatures w14:val="none"/>
    </w:rPr>
  </w:style>
  <w:style w:type="paragraph" w:customStyle="1" w:styleId="Bullet1">
    <w:name w:val="Bullet 1"/>
    <w:basedOn w:val="Normal"/>
    <w:rsid w:val="00DB4396"/>
    <w:pPr>
      <w:numPr>
        <w:numId w:val="94"/>
      </w:numPr>
      <w:tabs>
        <w:tab w:val="left" w:pos="1080"/>
      </w:tabs>
      <w:overflowPunct w:val="0"/>
      <w:autoSpaceDE w:val="0"/>
      <w:autoSpaceDN w:val="0"/>
      <w:adjustRightInd w:val="0"/>
      <w:spacing w:before="120" w:after="0" w:line="240" w:lineRule="auto"/>
      <w:jc w:val="left"/>
      <w:textAlignment w:val="baseline"/>
      <w:outlineLvl w:val="0"/>
    </w:pPr>
    <w:rPr>
      <w:rFonts w:eastAsia="Times New Roman" w:cs="Times New Roman"/>
      <w:kern w:val="0"/>
      <w:szCs w:val="20"/>
      <w14:ligatures w14:val="none"/>
    </w:rPr>
  </w:style>
  <w:style w:type="paragraph" w:customStyle="1" w:styleId="Normalbullet">
    <w:name w:val="Normal bullet"/>
    <w:basedOn w:val="Normal"/>
    <w:link w:val="NormalbulletChar"/>
    <w:qFormat/>
    <w:rsid w:val="00DB4396"/>
    <w:pPr>
      <w:numPr>
        <w:numId w:val="95"/>
      </w:numPr>
      <w:spacing w:after="120" w:line="240" w:lineRule="auto"/>
      <w:jc w:val="left"/>
    </w:pPr>
    <w:rPr>
      <w:rFonts w:eastAsia="Times New Roman" w:cs="Arial"/>
      <w:color w:val="44546A" w:themeColor="text2"/>
      <w:kern w:val="32"/>
      <w:sz w:val="20"/>
      <w:szCs w:val="20"/>
      <w:lang w:bidi="en-US"/>
      <w14:ligatures w14:val="none"/>
    </w:rPr>
  </w:style>
  <w:style w:type="character" w:customStyle="1" w:styleId="NormalbulletChar">
    <w:name w:val="Normal bullet Char"/>
    <w:basedOn w:val="Heading1Char"/>
    <w:link w:val="Normalbullet"/>
    <w:rsid w:val="00DB4396"/>
    <w:rPr>
      <w:rFonts w:ascii="Arial" w:eastAsia="Times New Roman" w:hAnsi="Arial" w:cs="Arial"/>
      <w:b w:val="0"/>
      <w:bCs w:val="0"/>
      <w:color w:val="44546A" w:themeColor="text2"/>
      <w:kern w:val="32"/>
      <w:sz w:val="20"/>
      <w:szCs w:val="20"/>
      <w:lang w:bidi="en-US"/>
      <w14:ligatures w14:val="none"/>
    </w:rPr>
  </w:style>
  <w:style w:type="character" w:customStyle="1" w:styleId="cf01">
    <w:name w:val="cf01"/>
    <w:basedOn w:val="DefaultParagraphFont"/>
    <w:rsid w:val="00B86128"/>
    <w:rPr>
      <w:rFonts w:ascii="Segoe UI" w:hAnsi="Segoe UI" w:cs="Segoe UI" w:hint="default"/>
      <w:color w:val="4472C4"/>
      <w:sz w:val="18"/>
      <w:szCs w:val="18"/>
    </w:rPr>
  </w:style>
  <w:style w:type="character" w:customStyle="1" w:styleId="cf11">
    <w:name w:val="cf11"/>
    <w:basedOn w:val="DefaultParagraphFont"/>
    <w:rsid w:val="00B86128"/>
    <w:rPr>
      <w:rFonts w:ascii="Segoe UI" w:hAnsi="Segoe UI" w:cs="Segoe UI" w:hint="default"/>
      <w:sz w:val="18"/>
      <w:szCs w:val="18"/>
    </w:rPr>
  </w:style>
  <w:style w:type="paragraph" w:customStyle="1" w:styleId="pf0">
    <w:name w:val="pf0"/>
    <w:basedOn w:val="Normal"/>
    <w:rsid w:val="006A7742"/>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0436636">
      <w:bodyDiv w:val="1"/>
      <w:marLeft w:val="0"/>
      <w:marRight w:val="0"/>
      <w:marTop w:val="0"/>
      <w:marBottom w:val="0"/>
      <w:divBdr>
        <w:top w:val="none" w:sz="0" w:space="0" w:color="auto"/>
        <w:left w:val="none" w:sz="0" w:space="0" w:color="auto"/>
        <w:bottom w:val="none" w:sz="0" w:space="0" w:color="auto"/>
        <w:right w:val="none" w:sz="0" w:space="0" w:color="auto"/>
      </w:divBdr>
    </w:div>
    <w:div w:id="197298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ecfr.gov/current/title-24/section-5.514" TargetMode="External"/><Relationship Id="rId26" Type="http://schemas.openxmlformats.org/officeDocument/2006/relationships/hyperlink" Target="https://www.hud.gov/vawa" TargetMode="External"/><Relationship Id="rId3" Type="http://schemas.openxmlformats.org/officeDocument/2006/relationships/customXml" Target="../customXml/item3.xml"/><Relationship Id="rId21" Type="http://schemas.openxmlformats.org/officeDocument/2006/relationships/hyperlink" Target="mailto:504ADA@housingforhouston.com"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ssa.gov" TargetMode="External"/><Relationship Id="rId25" Type="http://schemas.openxmlformats.org/officeDocument/2006/relationships/hyperlink" Target="https://ohl.rainn.org/online/" TargetMode="External"/><Relationship Id="rId2" Type="http://schemas.openxmlformats.org/officeDocument/2006/relationships/customXml" Target="../customXml/item2.xml"/><Relationship Id="rId16" Type="http://schemas.openxmlformats.org/officeDocument/2006/relationships/hyperlink" Target="http://help" TargetMode="External"/><Relationship Id="rId20" Type="http://schemas.openxmlformats.org/officeDocument/2006/relationships/hyperlink" Target="http://www.housingforhouston.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VAWA@housingforhouston.com" TargetMode="External"/><Relationship Id="rId5" Type="http://schemas.openxmlformats.org/officeDocument/2006/relationships/numbering" Target="numbering.xml"/><Relationship Id="rId15" Type="http://schemas.openxmlformats.org/officeDocument/2006/relationships/hyperlink" Target="http://www.ssa.gov" TargetMode="External"/><Relationship Id="rId23" Type="http://schemas.openxmlformats.org/officeDocument/2006/relationships/hyperlink" Target="mailto:504ada@housingforhouston.co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help" TargetMode="External"/><Relationship Id="rId22" Type="http://schemas.openxmlformats.org/officeDocument/2006/relationships/hyperlink" Target="http://www.housingforhouston.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1E4AE9E16127448C06A2E0C4D48359" ma:contentTypeVersion="17" ma:contentTypeDescription="Create a new document." ma:contentTypeScope="" ma:versionID="9cdd1803b9a9cb3c366882b5de415ecf">
  <xsd:schema xmlns:xsd="http://www.w3.org/2001/XMLSchema" xmlns:xs="http://www.w3.org/2001/XMLSchema" xmlns:p="http://schemas.microsoft.com/office/2006/metadata/properties" xmlns:ns2="129feb6a-0f9a-456d-9670-fb0bcfe729fb" xmlns:ns3="4132c99b-c47b-4674-bd04-d8642881fd8c" targetNamespace="http://schemas.microsoft.com/office/2006/metadata/properties" ma:root="true" ma:fieldsID="68fc98988b3193439ac3d08983db7410" ns2:_="" ns3:_="">
    <xsd:import namespace="129feb6a-0f9a-456d-9670-fb0bcfe729fb"/>
    <xsd:import namespace="4132c99b-c47b-4674-bd04-d8642881fd8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9feb6a-0f9a-456d-9670-fb0bcfe729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e0aa668-51a1-46fb-8b9a-796f3b04c8d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32c99b-c47b-4674-bd04-d8642881fd8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ad45b40-7683-47f0-85b9-e55fd9ed72ce}" ma:internalName="TaxCatchAll" ma:showField="CatchAllData" ma:web="4132c99b-c47b-4674-bd04-d8642881fd8c">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29feb6a-0f9a-456d-9670-fb0bcfe729fb">
      <Terms xmlns="http://schemas.microsoft.com/office/infopath/2007/PartnerControls"/>
    </lcf76f155ced4ddcb4097134ff3c332f>
    <TaxCatchAll xmlns="4132c99b-c47b-4674-bd04-d8642881fd8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927AF-635B-4B02-BCF4-2FDDEC31590E}">
  <ds:schemaRefs>
    <ds:schemaRef ds:uri="http://schemas.microsoft.com/sharepoint/v3/contenttype/forms"/>
  </ds:schemaRefs>
</ds:datastoreItem>
</file>

<file path=customXml/itemProps2.xml><?xml version="1.0" encoding="utf-8"?>
<ds:datastoreItem xmlns:ds="http://schemas.openxmlformats.org/officeDocument/2006/customXml" ds:itemID="{F6F5E3B4-E1A1-42D2-A720-555CB55C3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9feb6a-0f9a-456d-9670-fb0bcfe729fb"/>
    <ds:schemaRef ds:uri="4132c99b-c47b-4674-bd04-d8642881fd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5F9C80-F569-4590-93D3-C3C7C52652E3}">
  <ds:schemaRefs>
    <ds:schemaRef ds:uri="http://www.w3.org/XML/1998/namespace"/>
    <ds:schemaRef ds:uri="http://purl.org/dc/dcmitype/"/>
    <ds:schemaRef ds:uri="http://purl.org/dc/elements/1.1/"/>
    <ds:schemaRef ds:uri="129feb6a-0f9a-456d-9670-fb0bcfe729fb"/>
    <ds:schemaRef ds:uri="http://purl.org/dc/terms/"/>
    <ds:schemaRef ds:uri="http://schemas.microsoft.com/office/infopath/2007/PartnerControls"/>
    <ds:schemaRef ds:uri="4132c99b-c47b-4674-bd04-d8642881fd8c"/>
    <ds:schemaRef ds:uri="http://schemas.microsoft.com/office/2006/documentManagement/types"/>
    <ds:schemaRef ds:uri="http://schemas.microsoft.com/office/2006/metadata/properties"/>
    <ds:schemaRef ds:uri="http://schemas.openxmlformats.org/package/2006/metadata/core-properties"/>
  </ds:schemaRefs>
</ds:datastoreItem>
</file>

<file path=customXml/itemProps4.xml><?xml version="1.0" encoding="utf-8"?>
<ds:datastoreItem xmlns:ds="http://schemas.openxmlformats.org/officeDocument/2006/customXml" ds:itemID="{CDA1A9D9-F4E5-48D1-8702-900A2D18A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89801</Words>
  <Characters>511872</Characters>
  <Application>Microsoft Office Word</Application>
  <DocSecurity>4</DocSecurity>
  <Lines>4265</Lines>
  <Paragraphs>1200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600473</CharactersWithSpaces>
  <SharedDoc>false</SharedDoc>
  <HLinks>
    <vt:vector size="1482" baseType="variant">
      <vt:variant>
        <vt:i4>5046357</vt:i4>
      </vt:variant>
      <vt:variant>
        <vt:i4>2016</vt:i4>
      </vt:variant>
      <vt:variant>
        <vt:i4>0</vt:i4>
      </vt:variant>
      <vt:variant>
        <vt:i4>5</vt:i4>
      </vt:variant>
      <vt:variant>
        <vt:lpwstr>https://www.victimsofcrime.org/our-programs/stalking-resource-center</vt:lpwstr>
      </vt:variant>
      <vt:variant>
        <vt:lpwstr/>
      </vt:variant>
      <vt:variant>
        <vt:i4>4784211</vt:i4>
      </vt:variant>
      <vt:variant>
        <vt:i4>2013</vt:i4>
      </vt:variant>
      <vt:variant>
        <vt:i4>0</vt:i4>
      </vt:variant>
      <vt:variant>
        <vt:i4>5</vt:i4>
      </vt:variant>
      <vt:variant>
        <vt:lpwstr>https://ohl.rainn.org/online/</vt:lpwstr>
      </vt:variant>
      <vt:variant>
        <vt:lpwstr/>
      </vt:variant>
      <vt:variant>
        <vt:i4>7798866</vt:i4>
      </vt:variant>
      <vt:variant>
        <vt:i4>2010</vt:i4>
      </vt:variant>
      <vt:variant>
        <vt:i4>0</vt:i4>
      </vt:variant>
      <vt:variant>
        <vt:i4>5</vt:i4>
      </vt:variant>
      <vt:variant>
        <vt:lpwstr>mailto:VAWA@housingforhouston.com</vt:lpwstr>
      </vt:variant>
      <vt:variant>
        <vt:lpwstr/>
      </vt:variant>
      <vt:variant>
        <vt:i4>1245282</vt:i4>
      </vt:variant>
      <vt:variant>
        <vt:i4>2007</vt:i4>
      </vt:variant>
      <vt:variant>
        <vt:i4>0</vt:i4>
      </vt:variant>
      <vt:variant>
        <vt:i4>5</vt:i4>
      </vt:variant>
      <vt:variant>
        <vt:lpwstr>mailto:504ada@housingforhouston.com</vt:lpwstr>
      </vt:variant>
      <vt:variant>
        <vt:lpwstr/>
      </vt:variant>
      <vt:variant>
        <vt:i4>6160388</vt:i4>
      </vt:variant>
      <vt:variant>
        <vt:i4>2004</vt:i4>
      </vt:variant>
      <vt:variant>
        <vt:i4>0</vt:i4>
      </vt:variant>
      <vt:variant>
        <vt:i4>5</vt:i4>
      </vt:variant>
      <vt:variant>
        <vt:lpwstr>http://www.housingforhouston.com/</vt:lpwstr>
      </vt:variant>
      <vt:variant>
        <vt:lpwstr/>
      </vt:variant>
      <vt:variant>
        <vt:i4>6160388</vt:i4>
      </vt:variant>
      <vt:variant>
        <vt:i4>2001</vt:i4>
      </vt:variant>
      <vt:variant>
        <vt:i4>0</vt:i4>
      </vt:variant>
      <vt:variant>
        <vt:i4>5</vt:i4>
      </vt:variant>
      <vt:variant>
        <vt:lpwstr>http://www.housingforhouston.com/</vt:lpwstr>
      </vt:variant>
      <vt:variant>
        <vt:lpwstr/>
      </vt:variant>
      <vt:variant>
        <vt:i4>5111913</vt:i4>
      </vt:variant>
      <vt:variant>
        <vt:i4>1995</vt:i4>
      </vt:variant>
      <vt:variant>
        <vt:i4>0</vt:i4>
      </vt:variant>
      <vt:variant>
        <vt:i4>5</vt:i4>
      </vt:variant>
      <vt:variant>
        <vt:lpwstr/>
      </vt:variant>
      <vt:variant>
        <vt:lpwstr>_Alternative_Verification_Hierarchy</vt:lpwstr>
      </vt:variant>
      <vt:variant>
        <vt:i4>4522106</vt:i4>
      </vt:variant>
      <vt:variant>
        <vt:i4>1986</vt:i4>
      </vt:variant>
      <vt:variant>
        <vt:i4>0</vt:i4>
      </vt:variant>
      <vt:variant>
        <vt:i4>5</vt:i4>
      </vt:variant>
      <vt:variant>
        <vt:lpwstr/>
      </vt:variant>
      <vt:variant>
        <vt:lpwstr>_Verification_of_Assets</vt:lpwstr>
      </vt:variant>
      <vt:variant>
        <vt:i4>8126560</vt:i4>
      </vt:variant>
      <vt:variant>
        <vt:i4>1914</vt:i4>
      </vt:variant>
      <vt:variant>
        <vt:i4>0</vt:i4>
      </vt:variant>
      <vt:variant>
        <vt:i4>5</vt:i4>
      </vt:variant>
      <vt:variant>
        <vt:lpwstr>https://www.ecfr.gov/current/title-24/section-5.514</vt:lpwstr>
      </vt:variant>
      <vt:variant>
        <vt:lpwstr/>
      </vt:variant>
      <vt:variant>
        <vt:i4>5767264</vt:i4>
      </vt:variant>
      <vt:variant>
        <vt:i4>1788</vt:i4>
      </vt:variant>
      <vt:variant>
        <vt:i4>0</vt:i4>
      </vt:variant>
      <vt:variant>
        <vt:i4>5</vt:i4>
      </vt:variant>
      <vt:variant>
        <vt:lpwstr/>
      </vt:variant>
      <vt:variant>
        <vt:lpwstr>_The_Preference_System</vt:lpwstr>
      </vt:variant>
      <vt:variant>
        <vt:i4>983041</vt:i4>
      </vt:variant>
      <vt:variant>
        <vt:i4>1626</vt:i4>
      </vt:variant>
      <vt:variant>
        <vt:i4>0</vt:i4>
      </vt:variant>
      <vt:variant>
        <vt:i4>5</vt:i4>
      </vt:variant>
      <vt:variant>
        <vt:lpwstr/>
      </vt:variant>
      <vt:variant>
        <vt:lpwstr>_Dependent_Deduction</vt:lpwstr>
      </vt:variant>
      <vt:variant>
        <vt:i4>983041</vt:i4>
      </vt:variant>
      <vt:variant>
        <vt:i4>1617</vt:i4>
      </vt:variant>
      <vt:variant>
        <vt:i4>0</vt:i4>
      </vt:variant>
      <vt:variant>
        <vt:i4>5</vt:i4>
      </vt:variant>
      <vt:variant>
        <vt:lpwstr/>
      </vt:variant>
      <vt:variant>
        <vt:lpwstr>_Dependent_Deduction</vt:lpwstr>
      </vt:variant>
      <vt:variant>
        <vt:i4>65559</vt:i4>
      </vt:variant>
      <vt:variant>
        <vt:i4>1599</vt:i4>
      </vt:variant>
      <vt:variant>
        <vt:i4>0</vt:i4>
      </vt:variant>
      <vt:variant>
        <vt:i4>5</vt:i4>
      </vt:variant>
      <vt:variant>
        <vt:lpwstr/>
      </vt:variant>
      <vt:variant>
        <vt:lpwstr>_Asset_Income</vt:lpwstr>
      </vt:variant>
      <vt:variant>
        <vt:i4>540934259</vt:i4>
      </vt:variant>
      <vt:variant>
        <vt:i4>1593</vt:i4>
      </vt:variant>
      <vt:variant>
        <vt:i4>0</vt:i4>
      </vt:variant>
      <vt:variant>
        <vt:i4>5</vt:i4>
      </vt:variant>
      <vt:variant>
        <vt:lpwstr/>
      </vt:variant>
      <vt:variant>
        <vt:lpwstr>_Excluded_Income_–</vt:lpwstr>
      </vt:variant>
      <vt:variant>
        <vt:i4>2162712</vt:i4>
      </vt:variant>
      <vt:variant>
        <vt:i4>1587</vt:i4>
      </vt:variant>
      <vt:variant>
        <vt:i4>0</vt:i4>
      </vt:variant>
      <vt:variant>
        <vt:i4>5</vt:i4>
      </vt:variant>
      <vt:variant>
        <vt:lpwstr/>
      </vt:variant>
      <vt:variant>
        <vt:lpwstr>_Annual_Income_Exclusions</vt:lpwstr>
      </vt:variant>
      <vt:variant>
        <vt:i4>7405685</vt:i4>
      </vt:variant>
      <vt:variant>
        <vt:i4>1575</vt:i4>
      </vt:variant>
      <vt:variant>
        <vt:i4>0</vt:i4>
      </vt:variant>
      <vt:variant>
        <vt:i4>5</vt:i4>
      </vt:variant>
      <vt:variant>
        <vt:lpwstr/>
      </vt:variant>
      <vt:variant>
        <vt:lpwstr>_Asset_Restrictions</vt:lpwstr>
      </vt:variant>
      <vt:variant>
        <vt:i4>2621538</vt:i4>
      </vt:variant>
      <vt:variant>
        <vt:i4>1545</vt:i4>
      </vt:variant>
      <vt:variant>
        <vt:i4>0</vt:i4>
      </vt:variant>
      <vt:variant>
        <vt:i4>5</vt:i4>
      </vt:variant>
      <vt:variant>
        <vt:lpwstr>http://www.ssa.gov/</vt:lpwstr>
      </vt:variant>
      <vt:variant>
        <vt:lpwstr/>
      </vt:variant>
      <vt:variant>
        <vt:i4>28</vt:i4>
      </vt:variant>
      <vt:variant>
        <vt:i4>1542</vt:i4>
      </vt:variant>
      <vt:variant>
        <vt:i4>0</vt:i4>
      </vt:variant>
      <vt:variant>
        <vt:i4>5</vt:i4>
      </vt:variant>
      <vt:variant>
        <vt:lpwstr>http://help/</vt:lpwstr>
      </vt:variant>
      <vt:variant>
        <vt:lpwstr/>
      </vt:variant>
      <vt:variant>
        <vt:i4>2621538</vt:i4>
      </vt:variant>
      <vt:variant>
        <vt:i4>1536</vt:i4>
      </vt:variant>
      <vt:variant>
        <vt:i4>0</vt:i4>
      </vt:variant>
      <vt:variant>
        <vt:i4>5</vt:i4>
      </vt:variant>
      <vt:variant>
        <vt:lpwstr>http://www.ssa.gov/</vt:lpwstr>
      </vt:variant>
      <vt:variant>
        <vt:lpwstr/>
      </vt:variant>
      <vt:variant>
        <vt:i4>28</vt:i4>
      </vt:variant>
      <vt:variant>
        <vt:i4>1533</vt:i4>
      </vt:variant>
      <vt:variant>
        <vt:i4>0</vt:i4>
      </vt:variant>
      <vt:variant>
        <vt:i4>5</vt:i4>
      </vt:variant>
      <vt:variant>
        <vt:lpwstr>http://help/</vt:lpwstr>
      </vt:variant>
      <vt:variant>
        <vt:lpwstr/>
      </vt:variant>
      <vt:variant>
        <vt:i4>5111913</vt:i4>
      </vt:variant>
      <vt:variant>
        <vt:i4>1521</vt:i4>
      </vt:variant>
      <vt:variant>
        <vt:i4>0</vt:i4>
      </vt:variant>
      <vt:variant>
        <vt:i4>5</vt:i4>
      </vt:variant>
      <vt:variant>
        <vt:lpwstr/>
      </vt:variant>
      <vt:variant>
        <vt:lpwstr>_Alternative_Verification_Hierarchy</vt:lpwstr>
      </vt:variant>
      <vt:variant>
        <vt:i4>6684771</vt:i4>
      </vt:variant>
      <vt:variant>
        <vt:i4>1512</vt:i4>
      </vt:variant>
      <vt:variant>
        <vt:i4>0</vt:i4>
      </vt:variant>
      <vt:variant>
        <vt:i4>5</vt:i4>
      </vt:variant>
      <vt:variant>
        <vt:lpwstr/>
      </vt:variant>
      <vt:variant>
        <vt:lpwstr>_Local_Preferences</vt:lpwstr>
      </vt:variant>
      <vt:variant>
        <vt:i4>4522106</vt:i4>
      </vt:variant>
      <vt:variant>
        <vt:i4>1491</vt:i4>
      </vt:variant>
      <vt:variant>
        <vt:i4>0</vt:i4>
      </vt:variant>
      <vt:variant>
        <vt:i4>5</vt:i4>
      </vt:variant>
      <vt:variant>
        <vt:lpwstr/>
      </vt:variant>
      <vt:variant>
        <vt:lpwstr>_Verification_of_Assets</vt:lpwstr>
      </vt:variant>
      <vt:variant>
        <vt:i4>3014668</vt:i4>
      </vt:variant>
      <vt:variant>
        <vt:i4>1482</vt:i4>
      </vt:variant>
      <vt:variant>
        <vt:i4>0</vt:i4>
      </vt:variant>
      <vt:variant>
        <vt:i4>5</vt:i4>
      </vt:variant>
      <vt:variant>
        <vt:lpwstr/>
      </vt:variant>
      <vt:variant>
        <vt:lpwstr>_Alternative_Verification_Requiremen</vt:lpwstr>
      </vt:variant>
      <vt:variant>
        <vt:i4>5111913</vt:i4>
      </vt:variant>
      <vt:variant>
        <vt:i4>1473</vt:i4>
      </vt:variant>
      <vt:variant>
        <vt:i4>0</vt:i4>
      </vt:variant>
      <vt:variant>
        <vt:i4>5</vt:i4>
      </vt:variant>
      <vt:variant>
        <vt:lpwstr/>
      </vt:variant>
      <vt:variant>
        <vt:lpwstr>_Alternative_Verification_Hierarchy</vt:lpwstr>
      </vt:variant>
      <vt:variant>
        <vt:i4>5570681</vt:i4>
      </vt:variant>
      <vt:variant>
        <vt:i4>1464</vt:i4>
      </vt:variant>
      <vt:variant>
        <vt:i4>0</vt:i4>
      </vt:variant>
      <vt:variant>
        <vt:i4>5</vt:i4>
      </vt:variant>
      <vt:variant>
        <vt:lpwstr/>
      </vt:variant>
      <vt:variant>
        <vt:lpwstr>_Streamlined_Income_Determinations</vt:lpwstr>
      </vt:variant>
      <vt:variant>
        <vt:i4>3211282</vt:i4>
      </vt:variant>
      <vt:variant>
        <vt:i4>1458</vt:i4>
      </vt:variant>
      <vt:variant>
        <vt:i4>0</vt:i4>
      </vt:variant>
      <vt:variant>
        <vt:i4>5</vt:i4>
      </vt:variant>
      <vt:variant>
        <vt:lpwstr/>
      </vt:variant>
      <vt:variant>
        <vt:lpwstr>_Use_of_Other</vt:lpwstr>
      </vt:variant>
      <vt:variant>
        <vt:i4>7077889</vt:i4>
      </vt:variant>
      <vt:variant>
        <vt:i4>1374</vt:i4>
      </vt:variant>
      <vt:variant>
        <vt:i4>0</vt:i4>
      </vt:variant>
      <vt:variant>
        <vt:i4>5</vt:i4>
      </vt:variant>
      <vt:variant>
        <vt:lpwstr/>
      </vt:variant>
      <vt:variant>
        <vt:lpwstr>_APPENDIX_C:_VIOLENCE</vt:lpwstr>
      </vt:variant>
      <vt:variant>
        <vt:i4>131186</vt:i4>
      </vt:variant>
      <vt:variant>
        <vt:i4>1368</vt:i4>
      </vt:variant>
      <vt:variant>
        <vt:i4>0</vt:i4>
      </vt:variant>
      <vt:variant>
        <vt:i4>5</vt:i4>
      </vt:variant>
      <vt:variant>
        <vt:lpwstr/>
      </vt:variant>
      <vt:variant>
        <vt:lpwstr>_APPENDIX_A:_REASONABLE</vt:lpwstr>
      </vt:variant>
      <vt:variant>
        <vt:i4>196649</vt:i4>
      </vt:variant>
      <vt:variant>
        <vt:i4>1362</vt:i4>
      </vt:variant>
      <vt:variant>
        <vt:i4>0</vt:i4>
      </vt:variant>
      <vt:variant>
        <vt:i4>5</vt:i4>
      </vt:variant>
      <vt:variant>
        <vt:lpwstr/>
      </vt:variant>
      <vt:variant>
        <vt:lpwstr>_Mitigating_Factors_1</vt:lpwstr>
      </vt:variant>
      <vt:variant>
        <vt:i4>4522080</vt:i4>
      </vt:variant>
      <vt:variant>
        <vt:i4>1347</vt:i4>
      </vt:variant>
      <vt:variant>
        <vt:i4>0</vt:i4>
      </vt:variant>
      <vt:variant>
        <vt:i4>5</vt:i4>
      </vt:variant>
      <vt:variant>
        <vt:lpwstr/>
      </vt:variant>
      <vt:variant>
        <vt:lpwstr>_GLOSSARY_OF_TERMS</vt:lpwstr>
      </vt:variant>
      <vt:variant>
        <vt:i4>4259842</vt:i4>
      </vt:variant>
      <vt:variant>
        <vt:i4>1305</vt:i4>
      </vt:variant>
      <vt:variant>
        <vt:i4>0</vt:i4>
      </vt:variant>
      <vt:variant>
        <vt:i4>5</vt:i4>
      </vt:variant>
      <vt:variant>
        <vt:lpwstr/>
      </vt:variant>
      <vt:variant>
        <vt:lpwstr>_OVER-INCOME_FAMILIES</vt:lpwstr>
      </vt:variant>
      <vt:variant>
        <vt:i4>6684771</vt:i4>
      </vt:variant>
      <vt:variant>
        <vt:i4>1293</vt:i4>
      </vt:variant>
      <vt:variant>
        <vt:i4>0</vt:i4>
      </vt:variant>
      <vt:variant>
        <vt:i4>5</vt:i4>
      </vt:variant>
      <vt:variant>
        <vt:lpwstr/>
      </vt:variant>
      <vt:variant>
        <vt:lpwstr>_Local_Preferences</vt:lpwstr>
      </vt:variant>
      <vt:variant>
        <vt:i4>6488076</vt:i4>
      </vt:variant>
      <vt:variant>
        <vt:i4>1278</vt:i4>
      </vt:variant>
      <vt:variant>
        <vt:i4>0</vt:i4>
      </vt:variant>
      <vt:variant>
        <vt:i4>5</vt:i4>
      </vt:variant>
      <vt:variant>
        <vt:lpwstr/>
      </vt:variant>
      <vt:variant>
        <vt:lpwstr>_APPENDIX_B:_LANGUAGE</vt:lpwstr>
      </vt:variant>
      <vt:variant>
        <vt:i4>131186</vt:i4>
      </vt:variant>
      <vt:variant>
        <vt:i4>1272</vt:i4>
      </vt:variant>
      <vt:variant>
        <vt:i4>0</vt:i4>
      </vt:variant>
      <vt:variant>
        <vt:i4>5</vt:i4>
      </vt:variant>
      <vt:variant>
        <vt:lpwstr/>
      </vt:variant>
      <vt:variant>
        <vt:lpwstr>_APPENDIX_A:_REASONABLE</vt:lpwstr>
      </vt:variant>
      <vt:variant>
        <vt:i4>7077889</vt:i4>
      </vt:variant>
      <vt:variant>
        <vt:i4>1266</vt:i4>
      </vt:variant>
      <vt:variant>
        <vt:i4>0</vt:i4>
      </vt:variant>
      <vt:variant>
        <vt:i4>5</vt:i4>
      </vt:variant>
      <vt:variant>
        <vt:lpwstr/>
      </vt:variant>
      <vt:variant>
        <vt:lpwstr>_APPENDIX_C:_VIOLENCE</vt:lpwstr>
      </vt:variant>
      <vt:variant>
        <vt:i4>6488076</vt:i4>
      </vt:variant>
      <vt:variant>
        <vt:i4>1260</vt:i4>
      </vt:variant>
      <vt:variant>
        <vt:i4>0</vt:i4>
      </vt:variant>
      <vt:variant>
        <vt:i4>5</vt:i4>
      </vt:variant>
      <vt:variant>
        <vt:lpwstr/>
      </vt:variant>
      <vt:variant>
        <vt:lpwstr>_APPENDIX_B:_LANGUAGE</vt:lpwstr>
      </vt:variant>
      <vt:variant>
        <vt:i4>131186</vt:i4>
      </vt:variant>
      <vt:variant>
        <vt:i4>1254</vt:i4>
      </vt:variant>
      <vt:variant>
        <vt:i4>0</vt:i4>
      </vt:variant>
      <vt:variant>
        <vt:i4>5</vt:i4>
      </vt:variant>
      <vt:variant>
        <vt:lpwstr/>
      </vt:variant>
      <vt:variant>
        <vt:lpwstr>_APPENDIX_A:_REASONABLE</vt:lpwstr>
      </vt:variant>
      <vt:variant>
        <vt:i4>4194426</vt:i4>
      </vt:variant>
      <vt:variant>
        <vt:i4>1248</vt:i4>
      </vt:variant>
      <vt:variant>
        <vt:i4>0</vt:i4>
      </vt:variant>
      <vt:variant>
        <vt:i4>5</vt:i4>
      </vt:variant>
      <vt:variant>
        <vt:lpwstr/>
      </vt:variant>
      <vt:variant>
        <vt:lpwstr>_MOVING_TO_WORK</vt:lpwstr>
      </vt:variant>
      <vt:variant>
        <vt:i4>1638461</vt:i4>
      </vt:variant>
      <vt:variant>
        <vt:i4>1238</vt:i4>
      </vt:variant>
      <vt:variant>
        <vt:i4>0</vt:i4>
      </vt:variant>
      <vt:variant>
        <vt:i4>5</vt:i4>
      </vt:variant>
      <vt:variant>
        <vt:lpwstr/>
      </vt:variant>
      <vt:variant>
        <vt:lpwstr>_Toc160548851</vt:lpwstr>
      </vt:variant>
      <vt:variant>
        <vt:i4>1638461</vt:i4>
      </vt:variant>
      <vt:variant>
        <vt:i4>1232</vt:i4>
      </vt:variant>
      <vt:variant>
        <vt:i4>0</vt:i4>
      </vt:variant>
      <vt:variant>
        <vt:i4>5</vt:i4>
      </vt:variant>
      <vt:variant>
        <vt:lpwstr/>
      </vt:variant>
      <vt:variant>
        <vt:lpwstr>_Toc160548850</vt:lpwstr>
      </vt:variant>
      <vt:variant>
        <vt:i4>1572925</vt:i4>
      </vt:variant>
      <vt:variant>
        <vt:i4>1226</vt:i4>
      </vt:variant>
      <vt:variant>
        <vt:i4>0</vt:i4>
      </vt:variant>
      <vt:variant>
        <vt:i4>5</vt:i4>
      </vt:variant>
      <vt:variant>
        <vt:lpwstr/>
      </vt:variant>
      <vt:variant>
        <vt:lpwstr>_Toc160548849</vt:lpwstr>
      </vt:variant>
      <vt:variant>
        <vt:i4>1572925</vt:i4>
      </vt:variant>
      <vt:variant>
        <vt:i4>1220</vt:i4>
      </vt:variant>
      <vt:variant>
        <vt:i4>0</vt:i4>
      </vt:variant>
      <vt:variant>
        <vt:i4>5</vt:i4>
      </vt:variant>
      <vt:variant>
        <vt:lpwstr/>
      </vt:variant>
      <vt:variant>
        <vt:lpwstr>_Toc160548848</vt:lpwstr>
      </vt:variant>
      <vt:variant>
        <vt:i4>1572925</vt:i4>
      </vt:variant>
      <vt:variant>
        <vt:i4>1214</vt:i4>
      </vt:variant>
      <vt:variant>
        <vt:i4>0</vt:i4>
      </vt:variant>
      <vt:variant>
        <vt:i4>5</vt:i4>
      </vt:variant>
      <vt:variant>
        <vt:lpwstr/>
      </vt:variant>
      <vt:variant>
        <vt:lpwstr>_Toc160548847</vt:lpwstr>
      </vt:variant>
      <vt:variant>
        <vt:i4>1572925</vt:i4>
      </vt:variant>
      <vt:variant>
        <vt:i4>1208</vt:i4>
      </vt:variant>
      <vt:variant>
        <vt:i4>0</vt:i4>
      </vt:variant>
      <vt:variant>
        <vt:i4>5</vt:i4>
      </vt:variant>
      <vt:variant>
        <vt:lpwstr/>
      </vt:variant>
      <vt:variant>
        <vt:lpwstr>_Toc160548846</vt:lpwstr>
      </vt:variant>
      <vt:variant>
        <vt:i4>1572925</vt:i4>
      </vt:variant>
      <vt:variant>
        <vt:i4>1202</vt:i4>
      </vt:variant>
      <vt:variant>
        <vt:i4>0</vt:i4>
      </vt:variant>
      <vt:variant>
        <vt:i4>5</vt:i4>
      </vt:variant>
      <vt:variant>
        <vt:lpwstr/>
      </vt:variant>
      <vt:variant>
        <vt:lpwstr>_Toc160548845</vt:lpwstr>
      </vt:variant>
      <vt:variant>
        <vt:i4>1572925</vt:i4>
      </vt:variant>
      <vt:variant>
        <vt:i4>1196</vt:i4>
      </vt:variant>
      <vt:variant>
        <vt:i4>0</vt:i4>
      </vt:variant>
      <vt:variant>
        <vt:i4>5</vt:i4>
      </vt:variant>
      <vt:variant>
        <vt:lpwstr/>
      </vt:variant>
      <vt:variant>
        <vt:lpwstr>_Toc160548844</vt:lpwstr>
      </vt:variant>
      <vt:variant>
        <vt:i4>1572925</vt:i4>
      </vt:variant>
      <vt:variant>
        <vt:i4>1190</vt:i4>
      </vt:variant>
      <vt:variant>
        <vt:i4>0</vt:i4>
      </vt:variant>
      <vt:variant>
        <vt:i4>5</vt:i4>
      </vt:variant>
      <vt:variant>
        <vt:lpwstr/>
      </vt:variant>
      <vt:variant>
        <vt:lpwstr>_Toc160548843</vt:lpwstr>
      </vt:variant>
      <vt:variant>
        <vt:i4>1572925</vt:i4>
      </vt:variant>
      <vt:variant>
        <vt:i4>1184</vt:i4>
      </vt:variant>
      <vt:variant>
        <vt:i4>0</vt:i4>
      </vt:variant>
      <vt:variant>
        <vt:i4>5</vt:i4>
      </vt:variant>
      <vt:variant>
        <vt:lpwstr/>
      </vt:variant>
      <vt:variant>
        <vt:lpwstr>_Toc160548842</vt:lpwstr>
      </vt:variant>
      <vt:variant>
        <vt:i4>1572925</vt:i4>
      </vt:variant>
      <vt:variant>
        <vt:i4>1178</vt:i4>
      </vt:variant>
      <vt:variant>
        <vt:i4>0</vt:i4>
      </vt:variant>
      <vt:variant>
        <vt:i4>5</vt:i4>
      </vt:variant>
      <vt:variant>
        <vt:lpwstr/>
      </vt:variant>
      <vt:variant>
        <vt:lpwstr>_Toc160548841</vt:lpwstr>
      </vt:variant>
      <vt:variant>
        <vt:i4>1572925</vt:i4>
      </vt:variant>
      <vt:variant>
        <vt:i4>1172</vt:i4>
      </vt:variant>
      <vt:variant>
        <vt:i4>0</vt:i4>
      </vt:variant>
      <vt:variant>
        <vt:i4>5</vt:i4>
      </vt:variant>
      <vt:variant>
        <vt:lpwstr/>
      </vt:variant>
      <vt:variant>
        <vt:lpwstr>_Toc160548840</vt:lpwstr>
      </vt:variant>
      <vt:variant>
        <vt:i4>2031677</vt:i4>
      </vt:variant>
      <vt:variant>
        <vt:i4>1166</vt:i4>
      </vt:variant>
      <vt:variant>
        <vt:i4>0</vt:i4>
      </vt:variant>
      <vt:variant>
        <vt:i4>5</vt:i4>
      </vt:variant>
      <vt:variant>
        <vt:lpwstr/>
      </vt:variant>
      <vt:variant>
        <vt:lpwstr>_Toc160548839</vt:lpwstr>
      </vt:variant>
      <vt:variant>
        <vt:i4>2031677</vt:i4>
      </vt:variant>
      <vt:variant>
        <vt:i4>1160</vt:i4>
      </vt:variant>
      <vt:variant>
        <vt:i4>0</vt:i4>
      </vt:variant>
      <vt:variant>
        <vt:i4>5</vt:i4>
      </vt:variant>
      <vt:variant>
        <vt:lpwstr/>
      </vt:variant>
      <vt:variant>
        <vt:lpwstr>_Toc160548838</vt:lpwstr>
      </vt:variant>
      <vt:variant>
        <vt:i4>2031677</vt:i4>
      </vt:variant>
      <vt:variant>
        <vt:i4>1154</vt:i4>
      </vt:variant>
      <vt:variant>
        <vt:i4>0</vt:i4>
      </vt:variant>
      <vt:variant>
        <vt:i4>5</vt:i4>
      </vt:variant>
      <vt:variant>
        <vt:lpwstr/>
      </vt:variant>
      <vt:variant>
        <vt:lpwstr>_Toc160548837</vt:lpwstr>
      </vt:variant>
      <vt:variant>
        <vt:i4>2031677</vt:i4>
      </vt:variant>
      <vt:variant>
        <vt:i4>1148</vt:i4>
      </vt:variant>
      <vt:variant>
        <vt:i4>0</vt:i4>
      </vt:variant>
      <vt:variant>
        <vt:i4>5</vt:i4>
      </vt:variant>
      <vt:variant>
        <vt:lpwstr/>
      </vt:variant>
      <vt:variant>
        <vt:lpwstr>_Toc160548836</vt:lpwstr>
      </vt:variant>
      <vt:variant>
        <vt:i4>2031677</vt:i4>
      </vt:variant>
      <vt:variant>
        <vt:i4>1142</vt:i4>
      </vt:variant>
      <vt:variant>
        <vt:i4>0</vt:i4>
      </vt:variant>
      <vt:variant>
        <vt:i4>5</vt:i4>
      </vt:variant>
      <vt:variant>
        <vt:lpwstr/>
      </vt:variant>
      <vt:variant>
        <vt:lpwstr>_Toc160548835</vt:lpwstr>
      </vt:variant>
      <vt:variant>
        <vt:i4>2031677</vt:i4>
      </vt:variant>
      <vt:variant>
        <vt:i4>1136</vt:i4>
      </vt:variant>
      <vt:variant>
        <vt:i4>0</vt:i4>
      </vt:variant>
      <vt:variant>
        <vt:i4>5</vt:i4>
      </vt:variant>
      <vt:variant>
        <vt:lpwstr/>
      </vt:variant>
      <vt:variant>
        <vt:lpwstr>_Toc160548834</vt:lpwstr>
      </vt:variant>
      <vt:variant>
        <vt:i4>2031677</vt:i4>
      </vt:variant>
      <vt:variant>
        <vt:i4>1130</vt:i4>
      </vt:variant>
      <vt:variant>
        <vt:i4>0</vt:i4>
      </vt:variant>
      <vt:variant>
        <vt:i4>5</vt:i4>
      </vt:variant>
      <vt:variant>
        <vt:lpwstr/>
      </vt:variant>
      <vt:variant>
        <vt:lpwstr>_Toc160548833</vt:lpwstr>
      </vt:variant>
      <vt:variant>
        <vt:i4>2031677</vt:i4>
      </vt:variant>
      <vt:variant>
        <vt:i4>1124</vt:i4>
      </vt:variant>
      <vt:variant>
        <vt:i4>0</vt:i4>
      </vt:variant>
      <vt:variant>
        <vt:i4>5</vt:i4>
      </vt:variant>
      <vt:variant>
        <vt:lpwstr/>
      </vt:variant>
      <vt:variant>
        <vt:lpwstr>_Toc160548832</vt:lpwstr>
      </vt:variant>
      <vt:variant>
        <vt:i4>2031677</vt:i4>
      </vt:variant>
      <vt:variant>
        <vt:i4>1118</vt:i4>
      </vt:variant>
      <vt:variant>
        <vt:i4>0</vt:i4>
      </vt:variant>
      <vt:variant>
        <vt:i4>5</vt:i4>
      </vt:variant>
      <vt:variant>
        <vt:lpwstr/>
      </vt:variant>
      <vt:variant>
        <vt:lpwstr>_Toc160548831</vt:lpwstr>
      </vt:variant>
      <vt:variant>
        <vt:i4>2031677</vt:i4>
      </vt:variant>
      <vt:variant>
        <vt:i4>1112</vt:i4>
      </vt:variant>
      <vt:variant>
        <vt:i4>0</vt:i4>
      </vt:variant>
      <vt:variant>
        <vt:i4>5</vt:i4>
      </vt:variant>
      <vt:variant>
        <vt:lpwstr/>
      </vt:variant>
      <vt:variant>
        <vt:lpwstr>_Toc160548830</vt:lpwstr>
      </vt:variant>
      <vt:variant>
        <vt:i4>1966141</vt:i4>
      </vt:variant>
      <vt:variant>
        <vt:i4>1106</vt:i4>
      </vt:variant>
      <vt:variant>
        <vt:i4>0</vt:i4>
      </vt:variant>
      <vt:variant>
        <vt:i4>5</vt:i4>
      </vt:variant>
      <vt:variant>
        <vt:lpwstr/>
      </vt:variant>
      <vt:variant>
        <vt:lpwstr>_Toc160548829</vt:lpwstr>
      </vt:variant>
      <vt:variant>
        <vt:i4>1966141</vt:i4>
      </vt:variant>
      <vt:variant>
        <vt:i4>1100</vt:i4>
      </vt:variant>
      <vt:variant>
        <vt:i4>0</vt:i4>
      </vt:variant>
      <vt:variant>
        <vt:i4>5</vt:i4>
      </vt:variant>
      <vt:variant>
        <vt:lpwstr/>
      </vt:variant>
      <vt:variant>
        <vt:lpwstr>_Toc160548828</vt:lpwstr>
      </vt:variant>
      <vt:variant>
        <vt:i4>1966141</vt:i4>
      </vt:variant>
      <vt:variant>
        <vt:i4>1094</vt:i4>
      </vt:variant>
      <vt:variant>
        <vt:i4>0</vt:i4>
      </vt:variant>
      <vt:variant>
        <vt:i4>5</vt:i4>
      </vt:variant>
      <vt:variant>
        <vt:lpwstr/>
      </vt:variant>
      <vt:variant>
        <vt:lpwstr>_Toc160548827</vt:lpwstr>
      </vt:variant>
      <vt:variant>
        <vt:i4>1966141</vt:i4>
      </vt:variant>
      <vt:variant>
        <vt:i4>1088</vt:i4>
      </vt:variant>
      <vt:variant>
        <vt:i4>0</vt:i4>
      </vt:variant>
      <vt:variant>
        <vt:i4>5</vt:i4>
      </vt:variant>
      <vt:variant>
        <vt:lpwstr/>
      </vt:variant>
      <vt:variant>
        <vt:lpwstr>_Toc160548826</vt:lpwstr>
      </vt:variant>
      <vt:variant>
        <vt:i4>1966141</vt:i4>
      </vt:variant>
      <vt:variant>
        <vt:i4>1082</vt:i4>
      </vt:variant>
      <vt:variant>
        <vt:i4>0</vt:i4>
      </vt:variant>
      <vt:variant>
        <vt:i4>5</vt:i4>
      </vt:variant>
      <vt:variant>
        <vt:lpwstr/>
      </vt:variant>
      <vt:variant>
        <vt:lpwstr>_Toc160548825</vt:lpwstr>
      </vt:variant>
      <vt:variant>
        <vt:i4>1966141</vt:i4>
      </vt:variant>
      <vt:variant>
        <vt:i4>1076</vt:i4>
      </vt:variant>
      <vt:variant>
        <vt:i4>0</vt:i4>
      </vt:variant>
      <vt:variant>
        <vt:i4>5</vt:i4>
      </vt:variant>
      <vt:variant>
        <vt:lpwstr/>
      </vt:variant>
      <vt:variant>
        <vt:lpwstr>_Toc160548824</vt:lpwstr>
      </vt:variant>
      <vt:variant>
        <vt:i4>1966141</vt:i4>
      </vt:variant>
      <vt:variant>
        <vt:i4>1070</vt:i4>
      </vt:variant>
      <vt:variant>
        <vt:i4>0</vt:i4>
      </vt:variant>
      <vt:variant>
        <vt:i4>5</vt:i4>
      </vt:variant>
      <vt:variant>
        <vt:lpwstr/>
      </vt:variant>
      <vt:variant>
        <vt:lpwstr>_Toc160548823</vt:lpwstr>
      </vt:variant>
      <vt:variant>
        <vt:i4>1966141</vt:i4>
      </vt:variant>
      <vt:variant>
        <vt:i4>1064</vt:i4>
      </vt:variant>
      <vt:variant>
        <vt:i4>0</vt:i4>
      </vt:variant>
      <vt:variant>
        <vt:i4>5</vt:i4>
      </vt:variant>
      <vt:variant>
        <vt:lpwstr/>
      </vt:variant>
      <vt:variant>
        <vt:lpwstr>_Toc160548822</vt:lpwstr>
      </vt:variant>
      <vt:variant>
        <vt:i4>1966141</vt:i4>
      </vt:variant>
      <vt:variant>
        <vt:i4>1058</vt:i4>
      </vt:variant>
      <vt:variant>
        <vt:i4>0</vt:i4>
      </vt:variant>
      <vt:variant>
        <vt:i4>5</vt:i4>
      </vt:variant>
      <vt:variant>
        <vt:lpwstr/>
      </vt:variant>
      <vt:variant>
        <vt:lpwstr>_Toc160548821</vt:lpwstr>
      </vt:variant>
      <vt:variant>
        <vt:i4>1966141</vt:i4>
      </vt:variant>
      <vt:variant>
        <vt:i4>1052</vt:i4>
      </vt:variant>
      <vt:variant>
        <vt:i4>0</vt:i4>
      </vt:variant>
      <vt:variant>
        <vt:i4>5</vt:i4>
      </vt:variant>
      <vt:variant>
        <vt:lpwstr/>
      </vt:variant>
      <vt:variant>
        <vt:lpwstr>_Toc160548820</vt:lpwstr>
      </vt:variant>
      <vt:variant>
        <vt:i4>1900605</vt:i4>
      </vt:variant>
      <vt:variant>
        <vt:i4>1046</vt:i4>
      </vt:variant>
      <vt:variant>
        <vt:i4>0</vt:i4>
      </vt:variant>
      <vt:variant>
        <vt:i4>5</vt:i4>
      </vt:variant>
      <vt:variant>
        <vt:lpwstr/>
      </vt:variant>
      <vt:variant>
        <vt:lpwstr>_Toc160548819</vt:lpwstr>
      </vt:variant>
      <vt:variant>
        <vt:i4>1900605</vt:i4>
      </vt:variant>
      <vt:variant>
        <vt:i4>1040</vt:i4>
      </vt:variant>
      <vt:variant>
        <vt:i4>0</vt:i4>
      </vt:variant>
      <vt:variant>
        <vt:i4>5</vt:i4>
      </vt:variant>
      <vt:variant>
        <vt:lpwstr/>
      </vt:variant>
      <vt:variant>
        <vt:lpwstr>_Toc160548818</vt:lpwstr>
      </vt:variant>
      <vt:variant>
        <vt:i4>1900605</vt:i4>
      </vt:variant>
      <vt:variant>
        <vt:i4>1034</vt:i4>
      </vt:variant>
      <vt:variant>
        <vt:i4>0</vt:i4>
      </vt:variant>
      <vt:variant>
        <vt:i4>5</vt:i4>
      </vt:variant>
      <vt:variant>
        <vt:lpwstr/>
      </vt:variant>
      <vt:variant>
        <vt:lpwstr>_Toc160548817</vt:lpwstr>
      </vt:variant>
      <vt:variant>
        <vt:i4>1900605</vt:i4>
      </vt:variant>
      <vt:variant>
        <vt:i4>1028</vt:i4>
      </vt:variant>
      <vt:variant>
        <vt:i4>0</vt:i4>
      </vt:variant>
      <vt:variant>
        <vt:i4>5</vt:i4>
      </vt:variant>
      <vt:variant>
        <vt:lpwstr/>
      </vt:variant>
      <vt:variant>
        <vt:lpwstr>_Toc160548816</vt:lpwstr>
      </vt:variant>
      <vt:variant>
        <vt:i4>1900605</vt:i4>
      </vt:variant>
      <vt:variant>
        <vt:i4>1022</vt:i4>
      </vt:variant>
      <vt:variant>
        <vt:i4>0</vt:i4>
      </vt:variant>
      <vt:variant>
        <vt:i4>5</vt:i4>
      </vt:variant>
      <vt:variant>
        <vt:lpwstr/>
      </vt:variant>
      <vt:variant>
        <vt:lpwstr>_Toc160548815</vt:lpwstr>
      </vt:variant>
      <vt:variant>
        <vt:i4>1900605</vt:i4>
      </vt:variant>
      <vt:variant>
        <vt:i4>1016</vt:i4>
      </vt:variant>
      <vt:variant>
        <vt:i4>0</vt:i4>
      </vt:variant>
      <vt:variant>
        <vt:i4>5</vt:i4>
      </vt:variant>
      <vt:variant>
        <vt:lpwstr/>
      </vt:variant>
      <vt:variant>
        <vt:lpwstr>_Toc160548814</vt:lpwstr>
      </vt:variant>
      <vt:variant>
        <vt:i4>1900605</vt:i4>
      </vt:variant>
      <vt:variant>
        <vt:i4>1010</vt:i4>
      </vt:variant>
      <vt:variant>
        <vt:i4>0</vt:i4>
      </vt:variant>
      <vt:variant>
        <vt:i4>5</vt:i4>
      </vt:variant>
      <vt:variant>
        <vt:lpwstr/>
      </vt:variant>
      <vt:variant>
        <vt:lpwstr>_Toc160548813</vt:lpwstr>
      </vt:variant>
      <vt:variant>
        <vt:i4>1900605</vt:i4>
      </vt:variant>
      <vt:variant>
        <vt:i4>1004</vt:i4>
      </vt:variant>
      <vt:variant>
        <vt:i4>0</vt:i4>
      </vt:variant>
      <vt:variant>
        <vt:i4>5</vt:i4>
      </vt:variant>
      <vt:variant>
        <vt:lpwstr/>
      </vt:variant>
      <vt:variant>
        <vt:lpwstr>_Toc160548812</vt:lpwstr>
      </vt:variant>
      <vt:variant>
        <vt:i4>1900605</vt:i4>
      </vt:variant>
      <vt:variant>
        <vt:i4>998</vt:i4>
      </vt:variant>
      <vt:variant>
        <vt:i4>0</vt:i4>
      </vt:variant>
      <vt:variant>
        <vt:i4>5</vt:i4>
      </vt:variant>
      <vt:variant>
        <vt:lpwstr/>
      </vt:variant>
      <vt:variant>
        <vt:lpwstr>_Toc160548811</vt:lpwstr>
      </vt:variant>
      <vt:variant>
        <vt:i4>1900605</vt:i4>
      </vt:variant>
      <vt:variant>
        <vt:i4>992</vt:i4>
      </vt:variant>
      <vt:variant>
        <vt:i4>0</vt:i4>
      </vt:variant>
      <vt:variant>
        <vt:i4>5</vt:i4>
      </vt:variant>
      <vt:variant>
        <vt:lpwstr/>
      </vt:variant>
      <vt:variant>
        <vt:lpwstr>_Toc160548810</vt:lpwstr>
      </vt:variant>
      <vt:variant>
        <vt:i4>1835069</vt:i4>
      </vt:variant>
      <vt:variant>
        <vt:i4>986</vt:i4>
      </vt:variant>
      <vt:variant>
        <vt:i4>0</vt:i4>
      </vt:variant>
      <vt:variant>
        <vt:i4>5</vt:i4>
      </vt:variant>
      <vt:variant>
        <vt:lpwstr/>
      </vt:variant>
      <vt:variant>
        <vt:lpwstr>_Toc160548809</vt:lpwstr>
      </vt:variant>
      <vt:variant>
        <vt:i4>1835069</vt:i4>
      </vt:variant>
      <vt:variant>
        <vt:i4>980</vt:i4>
      </vt:variant>
      <vt:variant>
        <vt:i4>0</vt:i4>
      </vt:variant>
      <vt:variant>
        <vt:i4>5</vt:i4>
      </vt:variant>
      <vt:variant>
        <vt:lpwstr/>
      </vt:variant>
      <vt:variant>
        <vt:lpwstr>_Toc160548808</vt:lpwstr>
      </vt:variant>
      <vt:variant>
        <vt:i4>1835069</vt:i4>
      </vt:variant>
      <vt:variant>
        <vt:i4>974</vt:i4>
      </vt:variant>
      <vt:variant>
        <vt:i4>0</vt:i4>
      </vt:variant>
      <vt:variant>
        <vt:i4>5</vt:i4>
      </vt:variant>
      <vt:variant>
        <vt:lpwstr/>
      </vt:variant>
      <vt:variant>
        <vt:lpwstr>_Toc160548807</vt:lpwstr>
      </vt:variant>
      <vt:variant>
        <vt:i4>1835069</vt:i4>
      </vt:variant>
      <vt:variant>
        <vt:i4>968</vt:i4>
      </vt:variant>
      <vt:variant>
        <vt:i4>0</vt:i4>
      </vt:variant>
      <vt:variant>
        <vt:i4>5</vt:i4>
      </vt:variant>
      <vt:variant>
        <vt:lpwstr/>
      </vt:variant>
      <vt:variant>
        <vt:lpwstr>_Toc160548806</vt:lpwstr>
      </vt:variant>
      <vt:variant>
        <vt:i4>1835069</vt:i4>
      </vt:variant>
      <vt:variant>
        <vt:i4>962</vt:i4>
      </vt:variant>
      <vt:variant>
        <vt:i4>0</vt:i4>
      </vt:variant>
      <vt:variant>
        <vt:i4>5</vt:i4>
      </vt:variant>
      <vt:variant>
        <vt:lpwstr/>
      </vt:variant>
      <vt:variant>
        <vt:lpwstr>_Toc160548805</vt:lpwstr>
      </vt:variant>
      <vt:variant>
        <vt:i4>1835069</vt:i4>
      </vt:variant>
      <vt:variant>
        <vt:i4>956</vt:i4>
      </vt:variant>
      <vt:variant>
        <vt:i4>0</vt:i4>
      </vt:variant>
      <vt:variant>
        <vt:i4>5</vt:i4>
      </vt:variant>
      <vt:variant>
        <vt:lpwstr/>
      </vt:variant>
      <vt:variant>
        <vt:lpwstr>_Toc160548804</vt:lpwstr>
      </vt:variant>
      <vt:variant>
        <vt:i4>1835069</vt:i4>
      </vt:variant>
      <vt:variant>
        <vt:i4>950</vt:i4>
      </vt:variant>
      <vt:variant>
        <vt:i4>0</vt:i4>
      </vt:variant>
      <vt:variant>
        <vt:i4>5</vt:i4>
      </vt:variant>
      <vt:variant>
        <vt:lpwstr/>
      </vt:variant>
      <vt:variant>
        <vt:lpwstr>_Toc160548803</vt:lpwstr>
      </vt:variant>
      <vt:variant>
        <vt:i4>1835069</vt:i4>
      </vt:variant>
      <vt:variant>
        <vt:i4>944</vt:i4>
      </vt:variant>
      <vt:variant>
        <vt:i4>0</vt:i4>
      </vt:variant>
      <vt:variant>
        <vt:i4>5</vt:i4>
      </vt:variant>
      <vt:variant>
        <vt:lpwstr/>
      </vt:variant>
      <vt:variant>
        <vt:lpwstr>_Toc160548802</vt:lpwstr>
      </vt:variant>
      <vt:variant>
        <vt:i4>1835069</vt:i4>
      </vt:variant>
      <vt:variant>
        <vt:i4>938</vt:i4>
      </vt:variant>
      <vt:variant>
        <vt:i4>0</vt:i4>
      </vt:variant>
      <vt:variant>
        <vt:i4>5</vt:i4>
      </vt:variant>
      <vt:variant>
        <vt:lpwstr/>
      </vt:variant>
      <vt:variant>
        <vt:lpwstr>_Toc160548801</vt:lpwstr>
      </vt:variant>
      <vt:variant>
        <vt:i4>1835069</vt:i4>
      </vt:variant>
      <vt:variant>
        <vt:i4>932</vt:i4>
      </vt:variant>
      <vt:variant>
        <vt:i4>0</vt:i4>
      </vt:variant>
      <vt:variant>
        <vt:i4>5</vt:i4>
      </vt:variant>
      <vt:variant>
        <vt:lpwstr/>
      </vt:variant>
      <vt:variant>
        <vt:lpwstr>_Toc160548800</vt:lpwstr>
      </vt:variant>
      <vt:variant>
        <vt:i4>1376306</vt:i4>
      </vt:variant>
      <vt:variant>
        <vt:i4>926</vt:i4>
      </vt:variant>
      <vt:variant>
        <vt:i4>0</vt:i4>
      </vt:variant>
      <vt:variant>
        <vt:i4>5</vt:i4>
      </vt:variant>
      <vt:variant>
        <vt:lpwstr/>
      </vt:variant>
      <vt:variant>
        <vt:lpwstr>_Toc160548799</vt:lpwstr>
      </vt:variant>
      <vt:variant>
        <vt:i4>1376306</vt:i4>
      </vt:variant>
      <vt:variant>
        <vt:i4>920</vt:i4>
      </vt:variant>
      <vt:variant>
        <vt:i4>0</vt:i4>
      </vt:variant>
      <vt:variant>
        <vt:i4>5</vt:i4>
      </vt:variant>
      <vt:variant>
        <vt:lpwstr/>
      </vt:variant>
      <vt:variant>
        <vt:lpwstr>_Toc160548798</vt:lpwstr>
      </vt:variant>
      <vt:variant>
        <vt:i4>1376306</vt:i4>
      </vt:variant>
      <vt:variant>
        <vt:i4>914</vt:i4>
      </vt:variant>
      <vt:variant>
        <vt:i4>0</vt:i4>
      </vt:variant>
      <vt:variant>
        <vt:i4>5</vt:i4>
      </vt:variant>
      <vt:variant>
        <vt:lpwstr/>
      </vt:variant>
      <vt:variant>
        <vt:lpwstr>_Toc160548797</vt:lpwstr>
      </vt:variant>
      <vt:variant>
        <vt:i4>1376306</vt:i4>
      </vt:variant>
      <vt:variant>
        <vt:i4>908</vt:i4>
      </vt:variant>
      <vt:variant>
        <vt:i4>0</vt:i4>
      </vt:variant>
      <vt:variant>
        <vt:i4>5</vt:i4>
      </vt:variant>
      <vt:variant>
        <vt:lpwstr/>
      </vt:variant>
      <vt:variant>
        <vt:lpwstr>_Toc160548796</vt:lpwstr>
      </vt:variant>
      <vt:variant>
        <vt:i4>1376306</vt:i4>
      </vt:variant>
      <vt:variant>
        <vt:i4>902</vt:i4>
      </vt:variant>
      <vt:variant>
        <vt:i4>0</vt:i4>
      </vt:variant>
      <vt:variant>
        <vt:i4>5</vt:i4>
      </vt:variant>
      <vt:variant>
        <vt:lpwstr/>
      </vt:variant>
      <vt:variant>
        <vt:lpwstr>_Toc160548795</vt:lpwstr>
      </vt:variant>
      <vt:variant>
        <vt:i4>1376306</vt:i4>
      </vt:variant>
      <vt:variant>
        <vt:i4>896</vt:i4>
      </vt:variant>
      <vt:variant>
        <vt:i4>0</vt:i4>
      </vt:variant>
      <vt:variant>
        <vt:i4>5</vt:i4>
      </vt:variant>
      <vt:variant>
        <vt:lpwstr/>
      </vt:variant>
      <vt:variant>
        <vt:lpwstr>_Toc160548794</vt:lpwstr>
      </vt:variant>
      <vt:variant>
        <vt:i4>1376306</vt:i4>
      </vt:variant>
      <vt:variant>
        <vt:i4>890</vt:i4>
      </vt:variant>
      <vt:variant>
        <vt:i4>0</vt:i4>
      </vt:variant>
      <vt:variant>
        <vt:i4>5</vt:i4>
      </vt:variant>
      <vt:variant>
        <vt:lpwstr/>
      </vt:variant>
      <vt:variant>
        <vt:lpwstr>_Toc160548793</vt:lpwstr>
      </vt:variant>
      <vt:variant>
        <vt:i4>1376306</vt:i4>
      </vt:variant>
      <vt:variant>
        <vt:i4>884</vt:i4>
      </vt:variant>
      <vt:variant>
        <vt:i4>0</vt:i4>
      </vt:variant>
      <vt:variant>
        <vt:i4>5</vt:i4>
      </vt:variant>
      <vt:variant>
        <vt:lpwstr/>
      </vt:variant>
      <vt:variant>
        <vt:lpwstr>_Toc160548792</vt:lpwstr>
      </vt:variant>
      <vt:variant>
        <vt:i4>1376306</vt:i4>
      </vt:variant>
      <vt:variant>
        <vt:i4>878</vt:i4>
      </vt:variant>
      <vt:variant>
        <vt:i4>0</vt:i4>
      </vt:variant>
      <vt:variant>
        <vt:i4>5</vt:i4>
      </vt:variant>
      <vt:variant>
        <vt:lpwstr/>
      </vt:variant>
      <vt:variant>
        <vt:lpwstr>_Toc160548791</vt:lpwstr>
      </vt:variant>
      <vt:variant>
        <vt:i4>1376306</vt:i4>
      </vt:variant>
      <vt:variant>
        <vt:i4>872</vt:i4>
      </vt:variant>
      <vt:variant>
        <vt:i4>0</vt:i4>
      </vt:variant>
      <vt:variant>
        <vt:i4>5</vt:i4>
      </vt:variant>
      <vt:variant>
        <vt:lpwstr/>
      </vt:variant>
      <vt:variant>
        <vt:lpwstr>_Toc160548790</vt:lpwstr>
      </vt:variant>
      <vt:variant>
        <vt:i4>1310770</vt:i4>
      </vt:variant>
      <vt:variant>
        <vt:i4>866</vt:i4>
      </vt:variant>
      <vt:variant>
        <vt:i4>0</vt:i4>
      </vt:variant>
      <vt:variant>
        <vt:i4>5</vt:i4>
      </vt:variant>
      <vt:variant>
        <vt:lpwstr/>
      </vt:variant>
      <vt:variant>
        <vt:lpwstr>_Toc160548789</vt:lpwstr>
      </vt:variant>
      <vt:variant>
        <vt:i4>1310770</vt:i4>
      </vt:variant>
      <vt:variant>
        <vt:i4>860</vt:i4>
      </vt:variant>
      <vt:variant>
        <vt:i4>0</vt:i4>
      </vt:variant>
      <vt:variant>
        <vt:i4>5</vt:i4>
      </vt:variant>
      <vt:variant>
        <vt:lpwstr/>
      </vt:variant>
      <vt:variant>
        <vt:lpwstr>_Toc160548788</vt:lpwstr>
      </vt:variant>
      <vt:variant>
        <vt:i4>1310770</vt:i4>
      </vt:variant>
      <vt:variant>
        <vt:i4>854</vt:i4>
      </vt:variant>
      <vt:variant>
        <vt:i4>0</vt:i4>
      </vt:variant>
      <vt:variant>
        <vt:i4>5</vt:i4>
      </vt:variant>
      <vt:variant>
        <vt:lpwstr/>
      </vt:variant>
      <vt:variant>
        <vt:lpwstr>_Toc160548787</vt:lpwstr>
      </vt:variant>
      <vt:variant>
        <vt:i4>1310770</vt:i4>
      </vt:variant>
      <vt:variant>
        <vt:i4>848</vt:i4>
      </vt:variant>
      <vt:variant>
        <vt:i4>0</vt:i4>
      </vt:variant>
      <vt:variant>
        <vt:i4>5</vt:i4>
      </vt:variant>
      <vt:variant>
        <vt:lpwstr/>
      </vt:variant>
      <vt:variant>
        <vt:lpwstr>_Toc160548786</vt:lpwstr>
      </vt:variant>
      <vt:variant>
        <vt:i4>1310770</vt:i4>
      </vt:variant>
      <vt:variant>
        <vt:i4>842</vt:i4>
      </vt:variant>
      <vt:variant>
        <vt:i4>0</vt:i4>
      </vt:variant>
      <vt:variant>
        <vt:i4>5</vt:i4>
      </vt:variant>
      <vt:variant>
        <vt:lpwstr/>
      </vt:variant>
      <vt:variant>
        <vt:lpwstr>_Toc160548785</vt:lpwstr>
      </vt:variant>
      <vt:variant>
        <vt:i4>1310770</vt:i4>
      </vt:variant>
      <vt:variant>
        <vt:i4>836</vt:i4>
      </vt:variant>
      <vt:variant>
        <vt:i4>0</vt:i4>
      </vt:variant>
      <vt:variant>
        <vt:i4>5</vt:i4>
      </vt:variant>
      <vt:variant>
        <vt:lpwstr/>
      </vt:variant>
      <vt:variant>
        <vt:lpwstr>_Toc160548784</vt:lpwstr>
      </vt:variant>
      <vt:variant>
        <vt:i4>1310770</vt:i4>
      </vt:variant>
      <vt:variant>
        <vt:i4>830</vt:i4>
      </vt:variant>
      <vt:variant>
        <vt:i4>0</vt:i4>
      </vt:variant>
      <vt:variant>
        <vt:i4>5</vt:i4>
      </vt:variant>
      <vt:variant>
        <vt:lpwstr/>
      </vt:variant>
      <vt:variant>
        <vt:lpwstr>_Toc160548783</vt:lpwstr>
      </vt:variant>
      <vt:variant>
        <vt:i4>1310770</vt:i4>
      </vt:variant>
      <vt:variant>
        <vt:i4>824</vt:i4>
      </vt:variant>
      <vt:variant>
        <vt:i4>0</vt:i4>
      </vt:variant>
      <vt:variant>
        <vt:i4>5</vt:i4>
      </vt:variant>
      <vt:variant>
        <vt:lpwstr/>
      </vt:variant>
      <vt:variant>
        <vt:lpwstr>_Toc160548782</vt:lpwstr>
      </vt:variant>
      <vt:variant>
        <vt:i4>1310770</vt:i4>
      </vt:variant>
      <vt:variant>
        <vt:i4>818</vt:i4>
      </vt:variant>
      <vt:variant>
        <vt:i4>0</vt:i4>
      </vt:variant>
      <vt:variant>
        <vt:i4>5</vt:i4>
      </vt:variant>
      <vt:variant>
        <vt:lpwstr/>
      </vt:variant>
      <vt:variant>
        <vt:lpwstr>_Toc160548781</vt:lpwstr>
      </vt:variant>
      <vt:variant>
        <vt:i4>1310770</vt:i4>
      </vt:variant>
      <vt:variant>
        <vt:i4>812</vt:i4>
      </vt:variant>
      <vt:variant>
        <vt:i4>0</vt:i4>
      </vt:variant>
      <vt:variant>
        <vt:i4>5</vt:i4>
      </vt:variant>
      <vt:variant>
        <vt:lpwstr/>
      </vt:variant>
      <vt:variant>
        <vt:lpwstr>_Toc160548780</vt:lpwstr>
      </vt:variant>
      <vt:variant>
        <vt:i4>1769522</vt:i4>
      </vt:variant>
      <vt:variant>
        <vt:i4>806</vt:i4>
      </vt:variant>
      <vt:variant>
        <vt:i4>0</vt:i4>
      </vt:variant>
      <vt:variant>
        <vt:i4>5</vt:i4>
      </vt:variant>
      <vt:variant>
        <vt:lpwstr/>
      </vt:variant>
      <vt:variant>
        <vt:lpwstr>_Toc160548779</vt:lpwstr>
      </vt:variant>
      <vt:variant>
        <vt:i4>1769522</vt:i4>
      </vt:variant>
      <vt:variant>
        <vt:i4>800</vt:i4>
      </vt:variant>
      <vt:variant>
        <vt:i4>0</vt:i4>
      </vt:variant>
      <vt:variant>
        <vt:i4>5</vt:i4>
      </vt:variant>
      <vt:variant>
        <vt:lpwstr/>
      </vt:variant>
      <vt:variant>
        <vt:lpwstr>_Toc160548778</vt:lpwstr>
      </vt:variant>
      <vt:variant>
        <vt:i4>1769522</vt:i4>
      </vt:variant>
      <vt:variant>
        <vt:i4>794</vt:i4>
      </vt:variant>
      <vt:variant>
        <vt:i4>0</vt:i4>
      </vt:variant>
      <vt:variant>
        <vt:i4>5</vt:i4>
      </vt:variant>
      <vt:variant>
        <vt:lpwstr/>
      </vt:variant>
      <vt:variant>
        <vt:lpwstr>_Toc160548777</vt:lpwstr>
      </vt:variant>
      <vt:variant>
        <vt:i4>1769522</vt:i4>
      </vt:variant>
      <vt:variant>
        <vt:i4>788</vt:i4>
      </vt:variant>
      <vt:variant>
        <vt:i4>0</vt:i4>
      </vt:variant>
      <vt:variant>
        <vt:i4>5</vt:i4>
      </vt:variant>
      <vt:variant>
        <vt:lpwstr/>
      </vt:variant>
      <vt:variant>
        <vt:lpwstr>_Toc160548776</vt:lpwstr>
      </vt:variant>
      <vt:variant>
        <vt:i4>1769522</vt:i4>
      </vt:variant>
      <vt:variant>
        <vt:i4>782</vt:i4>
      </vt:variant>
      <vt:variant>
        <vt:i4>0</vt:i4>
      </vt:variant>
      <vt:variant>
        <vt:i4>5</vt:i4>
      </vt:variant>
      <vt:variant>
        <vt:lpwstr/>
      </vt:variant>
      <vt:variant>
        <vt:lpwstr>_Toc160548775</vt:lpwstr>
      </vt:variant>
      <vt:variant>
        <vt:i4>1769522</vt:i4>
      </vt:variant>
      <vt:variant>
        <vt:i4>776</vt:i4>
      </vt:variant>
      <vt:variant>
        <vt:i4>0</vt:i4>
      </vt:variant>
      <vt:variant>
        <vt:i4>5</vt:i4>
      </vt:variant>
      <vt:variant>
        <vt:lpwstr/>
      </vt:variant>
      <vt:variant>
        <vt:lpwstr>_Toc160548774</vt:lpwstr>
      </vt:variant>
      <vt:variant>
        <vt:i4>1769522</vt:i4>
      </vt:variant>
      <vt:variant>
        <vt:i4>770</vt:i4>
      </vt:variant>
      <vt:variant>
        <vt:i4>0</vt:i4>
      </vt:variant>
      <vt:variant>
        <vt:i4>5</vt:i4>
      </vt:variant>
      <vt:variant>
        <vt:lpwstr/>
      </vt:variant>
      <vt:variant>
        <vt:lpwstr>_Toc160548773</vt:lpwstr>
      </vt:variant>
      <vt:variant>
        <vt:i4>1769522</vt:i4>
      </vt:variant>
      <vt:variant>
        <vt:i4>764</vt:i4>
      </vt:variant>
      <vt:variant>
        <vt:i4>0</vt:i4>
      </vt:variant>
      <vt:variant>
        <vt:i4>5</vt:i4>
      </vt:variant>
      <vt:variant>
        <vt:lpwstr/>
      </vt:variant>
      <vt:variant>
        <vt:lpwstr>_Toc160548772</vt:lpwstr>
      </vt:variant>
      <vt:variant>
        <vt:i4>1769522</vt:i4>
      </vt:variant>
      <vt:variant>
        <vt:i4>758</vt:i4>
      </vt:variant>
      <vt:variant>
        <vt:i4>0</vt:i4>
      </vt:variant>
      <vt:variant>
        <vt:i4>5</vt:i4>
      </vt:variant>
      <vt:variant>
        <vt:lpwstr/>
      </vt:variant>
      <vt:variant>
        <vt:lpwstr>_Toc160548771</vt:lpwstr>
      </vt:variant>
      <vt:variant>
        <vt:i4>1769522</vt:i4>
      </vt:variant>
      <vt:variant>
        <vt:i4>752</vt:i4>
      </vt:variant>
      <vt:variant>
        <vt:i4>0</vt:i4>
      </vt:variant>
      <vt:variant>
        <vt:i4>5</vt:i4>
      </vt:variant>
      <vt:variant>
        <vt:lpwstr/>
      </vt:variant>
      <vt:variant>
        <vt:lpwstr>_Toc160548770</vt:lpwstr>
      </vt:variant>
      <vt:variant>
        <vt:i4>1703986</vt:i4>
      </vt:variant>
      <vt:variant>
        <vt:i4>746</vt:i4>
      </vt:variant>
      <vt:variant>
        <vt:i4>0</vt:i4>
      </vt:variant>
      <vt:variant>
        <vt:i4>5</vt:i4>
      </vt:variant>
      <vt:variant>
        <vt:lpwstr/>
      </vt:variant>
      <vt:variant>
        <vt:lpwstr>_Toc160548769</vt:lpwstr>
      </vt:variant>
      <vt:variant>
        <vt:i4>1703986</vt:i4>
      </vt:variant>
      <vt:variant>
        <vt:i4>740</vt:i4>
      </vt:variant>
      <vt:variant>
        <vt:i4>0</vt:i4>
      </vt:variant>
      <vt:variant>
        <vt:i4>5</vt:i4>
      </vt:variant>
      <vt:variant>
        <vt:lpwstr/>
      </vt:variant>
      <vt:variant>
        <vt:lpwstr>_Toc160548768</vt:lpwstr>
      </vt:variant>
      <vt:variant>
        <vt:i4>1703986</vt:i4>
      </vt:variant>
      <vt:variant>
        <vt:i4>734</vt:i4>
      </vt:variant>
      <vt:variant>
        <vt:i4>0</vt:i4>
      </vt:variant>
      <vt:variant>
        <vt:i4>5</vt:i4>
      </vt:variant>
      <vt:variant>
        <vt:lpwstr/>
      </vt:variant>
      <vt:variant>
        <vt:lpwstr>_Toc160548767</vt:lpwstr>
      </vt:variant>
      <vt:variant>
        <vt:i4>1703986</vt:i4>
      </vt:variant>
      <vt:variant>
        <vt:i4>728</vt:i4>
      </vt:variant>
      <vt:variant>
        <vt:i4>0</vt:i4>
      </vt:variant>
      <vt:variant>
        <vt:i4>5</vt:i4>
      </vt:variant>
      <vt:variant>
        <vt:lpwstr/>
      </vt:variant>
      <vt:variant>
        <vt:lpwstr>_Toc160548766</vt:lpwstr>
      </vt:variant>
      <vt:variant>
        <vt:i4>1703986</vt:i4>
      </vt:variant>
      <vt:variant>
        <vt:i4>722</vt:i4>
      </vt:variant>
      <vt:variant>
        <vt:i4>0</vt:i4>
      </vt:variant>
      <vt:variant>
        <vt:i4>5</vt:i4>
      </vt:variant>
      <vt:variant>
        <vt:lpwstr/>
      </vt:variant>
      <vt:variant>
        <vt:lpwstr>_Toc160548765</vt:lpwstr>
      </vt:variant>
      <vt:variant>
        <vt:i4>1703986</vt:i4>
      </vt:variant>
      <vt:variant>
        <vt:i4>716</vt:i4>
      </vt:variant>
      <vt:variant>
        <vt:i4>0</vt:i4>
      </vt:variant>
      <vt:variant>
        <vt:i4>5</vt:i4>
      </vt:variant>
      <vt:variant>
        <vt:lpwstr/>
      </vt:variant>
      <vt:variant>
        <vt:lpwstr>_Toc160548764</vt:lpwstr>
      </vt:variant>
      <vt:variant>
        <vt:i4>1703986</vt:i4>
      </vt:variant>
      <vt:variant>
        <vt:i4>710</vt:i4>
      </vt:variant>
      <vt:variant>
        <vt:i4>0</vt:i4>
      </vt:variant>
      <vt:variant>
        <vt:i4>5</vt:i4>
      </vt:variant>
      <vt:variant>
        <vt:lpwstr/>
      </vt:variant>
      <vt:variant>
        <vt:lpwstr>_Toc160548763</vt:lpwstr>
      </vt:variant>
      <vt:variant>
        <vt:i4>1703986</vt:i4>
      </vt:variant>
      <vt:variant>
        <vt:i4>704</vt:i4>
      </vt:variant>
      <vt:variant>
        <vt:i4>0</vt:i4>
      </vt:variant>
      <vt:variant>
        <vt:i4>5</vt:i4>
      </vt:variant>
      <vt:variant>
        <vt:lpwstr/>
      </vt:variant>
      <vt:variant>
        <vt:lpwstr>_Toc160548762</vt:lpwstr>
      </vt:variant>
      <vt:variant>
        <vt:i4>1703986</vt:i4>
      </vt:variant>
      <vt:variant>
        <vt:i4>698</vt:i4>
      </vt:variant>
      <vt:variant>
        <vt:i4>0</vt:i4>
      </vt:variant>
      <vt:variant>
        <vt:i4>5</vt:i4>
      </vt:variant>
      <vt:variant>
        <vt:lpwstr/>
      </vt:variant>
      <vt:variant>
        <vt:lpwstr>_Toc160548761</vt:lpwstr>
      </vt:variant>
      <vt:variant>
        <vt:i4>1703986</vt:i4>
      </vt:variant>
      <vt:variant>
        <vt:i4>692</vt:i4>
      </vt:variant>
      <vt:variant>
        <vt:i4>0</vt:i4>
      </vt:variant>
      <vt:variant>
        <vt:i4>5</vt:i4>
      </vt:variant>
      <vt:variant>
        <vt:lpwstr/>
      </vt:variant>
      <vt:variant>
        <vt:lpwstr>_Toc160548760</vt:lpwstr>
      </vt:variant>
      <vt:variant>
        <vt:i4>1638450</vt:i4>
      </vt:variant>
      <vt:variant>
        <vt:i4>686</vt:i4>
      </vt:variant>
      <vt:variant>
        <vt:i4>0</vt:i4>
      </vt:variant>
      <vt:variant>
        <vt:i4>5</vt:i4>
      </vt:variant>
      <vt:variant>
        <vt:lpwstr/>
      </vt:variant>
      <vt:variant>
        <vt:lpwstr>_Toc160548759</vt:lpwstr>
      </vt:variant>
      <vt:variant>
        <vt:i4>1638450</vt:i4>
      </vt:variant>
      <vt:variant>
        <vt:i4>680</vt:i4>
      </vt:variant>
      <vt:variant>
        <vt:i4>0</vt:i4>
      </vt:variant>
      <vt:variant>
        <vt:i4>5</vt:i4>
      </vt:variant>
      <vt:variant>
        <vt:lpwstr/>
      </vt:variant>
      <vt:variant>
        <vt:lpwstr>_Toc160548758</vt:lpwstr>
      </vt:variant>
      <vt:variant>
        <vt:i4>1638450</vt:i4>
      </vt:variant>
      <vt:variant>
        <vt:i4>674</vt:i4>
      </vt:variant>
      <vt:variant>
        <vt:i4>0</vt:i4>
      </vt:variant>
      <vt:variant>
        <vt:i4>5</vt:i4>
      </vt:variant>
      <vt:variant>
        <vt:lpwstr/>
      </vt:variant>
      <vt:variant>
        <vt:lpwstr>_Toc160548757</vt:lpwstr>
      </vt:variant>
      <vt:variant>
        <vt:i4>1638450</vt:i4>
      </vt:variant>
      <vt:variant>
        <vt:i4>668</vt:i4>
      </vt:variant>
      <vt:variant>
        <vt:i4>0</vt:i4>
      </vt:variant>
      <vt:variant>
        <vt:i4>5</vt:i4>
      </vt:variant>
      <vt:variant>
        <vt:lpwstr/>
      </vt:variant>
      <vt:variant>
        <vt:lpwstr>_Toc160548756</vt:lpwstr>
      </vt:variant>
      <vt:variant>
        <vt:i4>1638450</vt:i4>
      </vt:variant>
      <vt:variant>
        <vt:i4>662</vt:i4>
      </vt:variant>
      <vt:variant>
        <vt:i4>0</vt:i4>
      </vt:variant>
      <vt:variant>
        <vt:i4>5</vt:i4>
      </vt:variant>
      <vt:variant>
        <vt:lpwstr/>
      </vt:variant>
      <vt:variant>
        <vt:lpwstr>_Toc160548755</vt:lpwstr>
      </vt:variant>
      <vt:variant>
        <vt:i4>1638450</vt:i4>
      </vt:variant>
      <vt:variant>
        <vt:i4>656</vt:i4>
      </vt:variant>
      <vt:variant>
        <vt:i4>0</vt:i4>
      </vt:variant>
      <vt:variant>
        <vt:i4>5</vt:i4>
      </vt:variant>
      <vt:variant>
        <vt:lpwstr/>
      </vt:variant>
      <vt:variant>
        <vt:lpwstr>_Toc160548754</vt:lpwstr>
      </vt:variant>
      <vt:variant>
        <vt:i4>1638450</vt:i4>
      </vt:variant>
      <vt:variant>
        <vt:i4>650</vt:i4>
      </vt:variant>
      <vt:variant>
        <vt:i4>0</vt:i4>
      </vt:variant>
      <vt:variant>
        <vt:i4>5</vt:i4>
      </vt:variant>
      <vt:variant>
        <vt:lpwstr/>
      </vt:variant>
      <vt:variant>
        <vt:lpwstr>_Toc160548753</vt:lpwstr>
      </vt:variant>
      <vt:variant>
        <vt:i4>1638450</vt:i4>
      </vt:variant>
      <vt:variant>
        <vt:i4>644</vt:i4>
      </vt:variant>
      <vt:variant>
        <vt:i4>0</vt:i4>
      </vt:variant>
      <vt:variant>
        <vt:i4>5</vt:i4>
      </vt:variant>
      <vt:variant>
        <vt:lpwstr/>
      </vt:variant>
      <vt:variant>
        <vt:lpwstr>_Toc160548752</vt:lpwstr>
      </vt:variant>
      <vt:variant>
        <vt:i4>1638450</vt:i4>
      </vt:variant>
      <vt:variant>
        <vt:i4>638</vt:i4>
      </vt:variant>
      <vt:variant>
        <vt:i4>0</vt:i4>
      </vt:variant>
      <vt:variant>
        <vt:i4>5</vt:i4>
      </vt:variant>
      <vt:variant>
        <vt:lpwstr/>
      </vt:variant>
      <vt:variant>
        <vt:lpwstr>_Toc160548751</vt:lpwstr>
      </vt:variant>
      <vt:variant>
        <vt:i4>1638450</vt:i4>
      </vt:variant>
      <vt:variant>
        <vt:i4>632</vt:i4>
      </vt:variant>
      <vt:variant>
        <vt:i4>0</vt:i4>
      </vt:variant>
      <vt:variant>
        <vt:i4>5</vt:i4>
      </vt:variant>
      <vt:variant>
        <vt:lpwstr/>
      </vt:variant>
      <vt:variant>
        <vt:lpwstr>_Toc160548750</vt:lpwstr>
      </vt:variant>
      <vt:variant>
        <vt:i4>1572914</vt:i4>
      </vt:variant>
      <vt:variant>
        <vt:i4>626</vt:i4>
      </vt:variant>
      <vt:variant>
        <vt:i4>0</vt:i4>
      </vt:variant>
      <vt:variant>
        <vt:i4>5</vt:i4>
      </vt:variant>
      <vt:variant>
        <vt:lpwstr/>
      </vt:variant>
      <vt:variant>
        <vt:lpwstr>_Toc160548749</vt:lpwstr>
      </vt:variant>
      <vt:variant>
        <vt:i4>1572914</vt:i4>
      </vt:variant>
      <vt:variant>
        <vt:i4>620</vt:i4>
      </vt:variant>
      <vt:variant>
        <vt:i4>0</vt:i4>
      </vt:variant>
      <vt:variant>
        <vt:i4>5</vt:i4>
      </vt:variant>
      <vt:variant>
        <vt:lpwstr/>
      </vt:variant>
      <vt:variant>
        <vt:lpwstr>_Toc160548748</vt:lpwstr>
      </vt:variant>
      <vt:variant>
        <vt:i4>1572914</vt:i4>
      </vt:variant>
      <vt:variant>
        <vt:i4>614</vt:i4>
      </vt:variant>
      <vt:variant>
        <vt:i4>0</vt:i4>
      </vt:variant>
      <vt:variant>
        <vt:i4>5</vt:i4>
      </vt:variant>
      <vt:variant>
        <vt:lpwstr/>
      </vt:variant>
      <vt:variant>
        <vt:lpwstr>_Toc160548747</vt:lpwstr>
      </vt:variant>
      <vt:variant>
        <vt:i4>1572914</vt:i4>
      </vt:variant>
      <vt:variant>
        <vt:i4>608</vt:i4>
      </vt:variant>
      <vt:variant>
        <vt:i4>0</vt:i4>
      </vt:variant>
      <vt:variant>
        <vt:i4>5</vt:i4>
      </vt:variant>
      <vt:variant>
        <vt:lpwstr/>
      </vt:variant>
      <vt:variant>
        <vt:lpwstr>_Toc160548746</vt:lpwstr>
      </vt:variant>
      <vt:variant>
        <vt:i4>1572914</vt:i4>
      </vt:variant>
      <vt:variant>
        <vt:i4>602</vt:i4>
      </vt:variant>
      <vt:variant>
        <vt:i4>0</vt:i4>
      </vt:variant>
      <vt:variant>
        <vt:i4>5</vt:i4>
      </vt:variant>
      <vt:variant>
        <vt:lpwstr/>
      </vt:variant>
      <vt:variant>
        <vt:lpwstr>_Toc160548745</vt:lpwstr>
      </vt:variant>
      <vt:variant>
        <vt:i4>1572914</vt:i4>
      </vt:variant>
      <vt:variant>
        <vt:i4>596</vt:i4>
      </vt:variant>
      <vt:variant>
        <vt:i4>0</vt:i4>
      </vt:variant>
      <vt:variant>
        <vt:i4>5</vt:i4>
      </vt:variant>
      <vt:variant>
        <vt:lpwstr/>
      </vt:variant>
      <vt:variant>
        <vt:lpwstr>_Toc160548744</vt:lpwstr>
      </vt:variant>
      <vt:variant>
        <vt:i4>1572914</vt:i4>
      </vt:variant>
      <vt:variant>
        <vt:i4>590</vt:i4>
      </vt:variant>
      <vt:variant>
        <vt:i4>0</vt:i4>
      </vt:variant>
      <vt:variant>
        <vt:i4>5</vt:i4>
      </vt:variant>
      <vt:variant>
        <vt:lpwstr/>
      </vt:variant>
      <vt:variant>
        <vt:lpwstr>_Toc160548743</vt:lpwstr>
      </vt:variant>
      <vt:variant>
        <vt:i4>1572914</vt:i4>
      </vt:variant>
      <vt:variant>
        <vt:i4>584</vt:i4>
      </vt:variant>
      <vt:variant>
        <vt:i4>0</vt:i4>
      </vt:variant>
      <vt:variant>
        <vt:i4>5</vt:i4>
      </vt:variant>
      <vt:variant>
        <vt:lpwstr/>
      </vt:variant>
      <vt:variant>
        <vt:lpwstr>_Toc160548742</vt:lpwstr>
      </vt:variant>
      <vt:variant>
        <vt:i4>1572914</vt:i4>
      </vt:variant>
      <vt:variant>
        <vt:i4>578</vt:i4>
      </vt:variant>
      <vt:variant>
        <vt:i4>0</vt:i4>
      </vt:variant>
      <vt:variant>
        <vt:i4>5</vt:i4>
      </vt:variant>
      <vt:variant>
        <vt:lpwstr/>
      </vt:variant>
      <vt:variant>
        <vt:lpwstr>_Toc160548741</vt:lpwstr>
      </vt:variant>
      <vt:variant>
        <vt:i4>1572914</vt:i4>
      </vt:variant>
      <vt:variant>
        <vt:i4>572</vt:i4>
      </vt:variant>
      <vt:variant>
        <vt:i4>0</vt:i4>
      </vt:variant>
      <vt:variant>
        <vt:i4>5</vt:i4>
      </vt:variant>
      <vt:variant>
        <vt:lpwstr/>
      </vt:variant>
      <vt:variant>
        <vt:lpwstr>_Toc160548740</vt:lpwstr>
      </vt:variant>
      <vt:variant>
        <vt:i4>2031666</vt:i4>
      </vt:variant>
      <vt:variant>
        <vt:i4>566</vt:i4>
      </vt:variant>
      <vt:variant>
        <vt:i4>0</vt:i4>
      </vt:variant>
      <vt:variant>
        <vt:i4>5</vt:i4>
      </vt:variant>
      <vt:variant>
        <vt:lpwstr/>
      </vt:variant>
      <vt:variant>
        <vt:lpwstr>_Toc160548739</vt:lpwstr>
      </vt:variant>
      <vt:variant>
        <vt:i4>2031666</vt:i4>
      </vt:variant>
      <vt:variant>
        <vt:i4>560</vt:i4>
      </vt:variant>
      <vt:variant>
        <vt:i4>0</vt:i4>
      </vt:variant>
      <vt:variant>
        <vt:i4>5</vt:i4>
      </vt:variant>
      <vt:variant>
        <vt:lpwstr/>
      </vt:variant>
      <vt:variant>
        <vt:lpwstr>_Toc160548738</vt:lpwstr>
      </vt:variant>
      <vt:variant>
        <vt:i4>2031666</vt:i4>
      </vt:variant>
      <vt:variant>
        <vt:i4>554</vt:i4>
      </vt:variant>
      <vt:variant>
        <vt:i4>0</vt:i4>
      </vt:variant>
      <vt:variant>
        <vt:i4>5</vt:i4>
      </vt:variant>
      <vt:variant>
        <vt:lpwstr/>
      </vt:variant>
      <vt:variant>
        <vt:lpwstr>_Toc160548737</vt:lpwstr>
      </vt:variant>
      <vt:variant>
        <vt:i4>2031666</vt:i4>
      </vt:variant>
      <vt:variant>
        <vt:i4>548</vt:i4>
      </vt:variant>
      <vt:variant>
        <vt:i4>0</vt:i4>
      </vt:variant>
      <vt:variant>
        <vt:i4>5</vt:i4>
      </vt:variant>
      <vt:variant>
        <vt:lpwstr/>
      </vt:variant>
      <vt:variant>
        <vt:lpwstr>_Toc160548736</vt:lpwstr>
      </vt:variant>
      <vt:variant>
        <vt:i4>2031666</vt:i4>
      </vt:variant>
      <vt:variant>
        <vt:i4>542</vt:i4>
      </vt:variant>
      <vt:variant>
        <vt:i4>0</vt:i4>
      </vt:variant>
      <vt:variant>
        <vt:i4>5</vt:i4>
      </vt:variant>
      <vt:variant>
        <vt:lpwstr/>
      </vt:variant>
      <vt:variant>
        <vt:lpwstr>_Toc160548735</vt:lpwstr>
      </vt:variant>
      <vt:variant>
        <vt:i4>2031666</vt:i4>
      </vt:variant>
      <vt:variant>
        <vt:i4>536</vt:i4>
      </vt:variant>
      <vt:variant>
        <vt:i4>0</vt:i4>
      </vt:variant>
      <vt:variant>
        <vt:i4>5</vt:i4>
      </vt:variant>
      <vt:variant>
        <vt:lpwstr/>
      </vt:variant>
      <vt:variant>
        <vt:lpwstr>_Toc160548734</vt:lpwstr>
      </vt:variant>
      <vt:variant>
        <vt:i4>2031666</vt:i4>
      </vt:variant>
      <vt:variant>
        <vt:i4>530</vt:i4>
      </vt:variant>
      <vt:variant>
        <vt:i4>0</vt:i4>
      </vt:variant>
      <vt:variant>
        <vt:i4>5</vt:i4>
      </vt:variant>
      <vt:variant>
        <vt:lpwstr/>
      </vt:variant>
      <vt:variant>
        <vt:lpwstr>_Toc160548733</vt:lpwstr>
      </vt:variant>
      <vt:variant>
        <vt:i4>2031666</vt:i4>
      </vt:variant>
      <vt:variant>
        <vt:i4>524</vt:i4>
      </vt:variant>
      <vt:variant>
        <vt:i4>0</vt:i4>
      </vt:variant>
      <vt:variant>
        <vt:i4>5</vt:i4>
      </vt:variant>
      <vt:variant>
        <vt:lpwstr/>
      </vt:variant>
      <vt:variant>
        <vt:lpwstr>_Toc160548732</vt:lpwstr>
      </vt:variant>
      <vt:variant>
        <vt:i4>2031666</vt:i4>
      </vt:variant>
      <vt:variant>
        <vt:i4>518</vt:i4>
      </vt:variant>
      <vt:variant>
        <vt:i4>0</vt:i4>
      </vt:variant>
      <vt:variant>
        <vt:i4>5</vt:i4>
      </vt:variant>
      <vt:variant>
        <vt:lpwstr/>
      </vt:variant>
      <vt:variant>
        <vt:lpwstr>_Toc160548731</vt:lpwstr>
      </vt:variant>
      <vt:variant>
        <vt:i4>2031666</vt:i4>
      </vt:variant>
      <vt:variant>
        <vt:i4>512</vt:i4>
      </vt:variant>
      <vt:variant>
        <vt:i4>0</vt:i4>
      </vt:variant>
      <vt:variant>
        <vt:i4>5</vt:i4>
      </vt:variant>
      <vt:variant>
        <vt:lpwstr/>
      </vt:variant>
      <vt:variant>
        <vt:lpwstr>_Toc160548730</vt:lpwstr>
      </vt:variant>
      <vt:variant>
        <vt:i4>1966130</vt:i4>
      </vt:variant>
      <vt:variant>
        <vt:i4>506</vt:i4>
      </vt:variant>
      <vt:variant>
        <vt:i4>0</vt:i4>
      </vt:variant>
      <vt:variant>
        <vt:i4>5</vt:i4>
      </vt:variant>
      <vt:variant>
        <vt:lpwstr/>
      </vt:variant>
      <vt:variant>
        <vt:lpwstr>_Toc160548729</vt:lpwstr>
      </vt:variant>
      <vt:variant>
        <vt:i4>1966130</vt:i4>
      </vt:variant>
      <vt:variant>
        <vt:i4>500</vt:i4>
      </vt:variant>
      <vt:variant>
        <vt:i4>0</vt:i4>
      </vt:variant>
      <vt:variant>
        <vt:i4>5</vt:i4>
      </vt:variant>
      <vt:variant>
        <vt:lpwstr/>
      </vt:variant>
      <vt:variant>
        <vt:lpwstr>_Toc160548728</vt:lpwstr>
      </vt:variant>
      <vt:variant>
        <vt:i4>1966130</vt:i4>
      </vt:variant>
      <vt:variant>
        <vt:i4>494</vt:i4>
      </vt:variant>
      <vt:variant>
        <vt:i4>0</vt:i4>
      </vt:variant>
      <vt:variant>
        <vt:i4>5</vt:i4>
      </vt:variant>
      <vt:variant>
        <vt:lpwstr/>
      </vt:variant>
      <vt:variant>
        <vt:lpwstr>_Toc160548727</vt:lpwstr>
      </vt:variant>
      <vt:variant>
        <vt:i4>1966130</vt:i4>
      </vt:variant>
      <vt:variant>
        <vt:i4>488</vt:i4>
      </vt:variant>
      <vt:variant>
        <vt:i4>0</vt:i4>
      </vt:variant>
      <vt:variant>
        <vt:i4>5</vt:i4>
      </vt:variant>
      <vt:variant>
        <vt:lpwstr/>
      </vt:variant>
      <vt:variant>
        <vt:lpwstr>_Toc160548726</vt:lpwstr>
      </vt:variant>
      <vt:variant>
        <vt:i4>1966130</vt:i4>
      </vt:variant>
      <vt:variant>
        <vt:i4>482</vt:i4>
      </vt:variant>
      <vt:variant>
        <vt:i4>0</vt:i4>
      </vt:variant>
      <vt:variant>
        <vt:i4>5</vt:i4>
      </vt:variant>
      <vt:variant>
        <vt:lpwstr/>
      </vt:variant>
      <vt:variant>
        <vt:lpwstr>_Toc160548725</vt:lpwstr>
      </vt:variant>
      <vt:variant>
        <vt:i4>1966130</vt:i4>
      </vt:variant>
      <vt:variant>
        <vt:i4>476</vt:i4>
      </vt:variant>
      <vt:variant>
        <vt:i4>0</vt:i4>
      </vt:variant>
      <vt:variant>
        <vt:i4>5</vt:i4>
      </vt:variant>
      <vt:variant>
        <vt:lpwstr/>
      </vt:variant>
      <vt:variant>
        <vt:lpwstr>_Toc160548724</vt:lpwstr>
      </vt:variant>
      <vt:variant>
        <vt:i4>1966130</vt:i4>
      </vt:variant>
      <vt:variant>
        <vt:i4>470</vt:i4>
      </vt:variant>
      <vt:variant>
        <vt:i4>0</vt:i4>
      </vt:variant>
      <vt:variant>
        <vt:i4>5</vt:i4>
      </vt:variant>
      <vt:variant>
        <vt:lpwstr/>
      </vt:variant>
      <vt:variant>
        <vt:lpwstr>_Toc160548723</vt:lpwstr>
      </vt:variant>
      <vt:variant>
        <vt:i4>1966130</vt:i4>
      </vt:variant>
      <vt:variant>
        <vt:i4>464</vt:i4>
      </vt:variant>
      <vt:variant>
        <vt:i4>0</vt:i4>
      </vt:variant>
      <vt:variant>
        <vt:i4>5</vt:i4>
      </vt:variant>
      <vt:variant>
        <vt:lpwstr/>
      </vt:variant>
      <vt:variant>
        <vt:lpwstr>_Toc160548722</vt:lpwstr>
      </vt:variant>
      <vt:variant>
        <vt:i4>1966130</vt:i4>
      </vt:variant>
      <vt:variant>
        <vt:i4>458</vt:i4>
      </vt:variant>
      <vt:variant>
        <vt:i4>0</vt:i4>
      </vt:variant>
      <vt:variant>
        <vt:i4>5</vt:i4>
      </vt:variant>
      <vt:variant>
        <vt:lpwstr/>
      </vt:variant>
      <vt:variant>
        <vt:lpwstr>_Toc160548721</vt:lpwstr>
      </vt:variant>
      <vt:variant>
        <vt:i4>1966130</vt:i4>
      </vt:variant>
      <vt:variant>
        <vt:i4>452</vt:i4>
      </vt:variant>
      <vt:variant>
        <vt:i4>0</vt:i4>
      </vt:variant>
      <vt:variant>
        <vt:i4>5</vt:i4>
      </vt:variant>
      <vt:variant>
        <vt:lpwstr/>
      </vt:variant>
      <vt:variant>
        <vt:lpwstr>_Toc160548720</vt:lpwstr>
      </vt:variant>
      <vt:variant>
        <vt:i4>1900594</vt:i4>
      </vt:variant>
      <vt:variant>
        <vt:i4>446</vt:i4>
      </vt:variant>
      <vt:variant>
        <vt:i4>0</vt:i4>
      </vt:variant>
      <vt:variant>
        <vt:i4>5</vt:i4>
      </vt:variant>
      <vt:variant>
        <vt:lpwstr/>
      </vt:variant>
      <vt:variant>
        <vt:lpwstr>_Toc160548719</vt:lpwstr>
      </vt:variant>
      <vt:variant>
        <vt:i4>1900594</vt:i4>
      </vt:variant>
      <vt:variant>
        <vt:i4>440</vt:i4>
      </vt:variant>
      <vt:variant>
        <vt:i4>0</vt:i4>
      </vt:variant>
      <vt:variant>
        <vt:i4>5</vt:i4>
      </vt:variant>
      <vt:variant>
        <vt:lpwstr/>
      </vt:variant>
      <vt:variant>
        <vt:lpwstr>_Toc160548718</vt:lpwstr>
      </vt:variant>
      <vt:variant>
        <vt:i4>1900594</vt:i4>
      </vt:variant>
      <vt:variant>
        <vt:i4>434</vt:i4>
      </vt:variant>
      <vt:variant>
        <vt:i4>0</vt:i4>
      </vt:variant>
      <vt:variant>
        <vt:i4>5</vt:i4>
      </vt:variant>
      <vt:variant>
        <vt:lpwstr/>
      </vt:variant>
      <vt:variant>
        <vt:lpwstr>_Toc160548717</vt:lpwstr>
      </vt:variant>
      <vt:variant>
        <vt:i4>1900594</vt:i4>
      </vt:variant>
      <vt:variant>
        <vt:i4>428</vt:i4>
      </vt:variant>
      <vt:variant>
        <vt:i4>0</vt:i4>
      </vt:variant>
      <vt:variant>
        <vt:i4>5</vt:i4>
      </vt:variant>
      <vt:variant>
        <vt:lpwstr/>
      </vt:variant>
      <vt:variant>
        <vt:lpwstr>_Toc160548716</vt:lpwstr>
      </vt:variant>
      <vt:variant>
        <vt:i4>1900594</vt:i4>
      </vt:variant>
      <vt:variant>
        <vt:i4>422</vt:i4>
      </vt:variant>
      <vt:variant>
        <vt:i4>0</vt:i4>
      </vt:variant>
      <vt:variant>
        <vt:i4>5</vt:i4>
      </vt:variant>
      <vt:variant>
        <vt:lpwstr/>
      </vt:variant>
      <vt:variant>
        <vt:lpwstr>_Toc160548715</vt:lpwstr>
      </vt:variant>
      <vt:variant>
        <vt:i4>1900594</vt:i4>
      </vt:variant>
      <vt:variant>
        <vt:i4>416</vt:i4>
      </vt:variant>
      <vt:variant>
        <vt:i4>0</vt:i4>
      </vt:variant>
      <vt:variant>
        <vt:i4>5</vt:i4>
      </vt:variant>
      <vt:variant>
        <vt:lpwstr/>
      </vt:variant>
      <vt:variant>
        <vt:lpwstr>_Toc160548714</vt:lpwstr>
      </vt:variant>
      <vt:variant>
        <vt:i4>1900594</vt:i4>
      </vt:variant>
      <vt:variant>
        <vt:i4>410</vt:i4>
      </vt:variant>
      <vt:variant>
        <vt:i4>0</vt:i4>
      </vt:variant>
      <vt:variant>
        <vt:i4>5</vt:i4>
      </vt:variant>
      <vt:variant>
        <vt:lpwstr/>
      </vt:variant>
      <vt:variant>
        <vt:lpwstr>_Toc160548713</vt:lpwstr>
      </vt:variant>
      <vt:variant>
        <vt:i4>1900594</vt:i4>
      </vt:variant>
      <vt:variant>
        <vt:i4>404</vt:i4>
      </vt:variant>
      <vt:variant>
        <vt:i4>0</vt:i4>
      </vt:variant>
      <vt:variant>
        <vt:i4>5</vt:i4>
      </vt:variant>
      <vt:variant>
        <vt:lpwstr/>
      </vt:variant>
      <vt:variant>
        <vt:lpwstr>_Toc160548712</vt:lpwstr>
      </vt:variant>
      <vt:variant>
        <vt:i4>1900594</vt:i4>
      </vt:variant>
      <vt:variant>
        <vt:i4>398</vt:i4>
      </vt:variant>
      <vt:variant>
        <vt:i4>0</vt:i4>
      </vt:variant>
      <vt:variant>
        <vt:i4>5</vt:i4>
      </vt:variant>
      <vt:variant>
        <vt:lpwstr/>
      </vt:variant>
      <vt:variant>
        <vt:lpwstr>_Toc160548711</vt:lpwstr>
      </vt:variant>
      <vt:variant>
        <vt:i4>1900594</vt:i4>
      </vt:variant>
      <vt:variant>
        <vt:i4>392</vt:i4>
      </vt:variant>
      <vt:variant>
        <vt:i4>0</vt:i4>
      </vt:variant>
      <vt:variant>
        <vt:i4>5</vt:i4>
      </vt:variant>
      <vt:variant>
        <vt:lpwstr/>
      </vt:variant>
      <vt:variant>
        <vt:lpwstr>_Toc160548710</vt:lpwstr>
      </vt:variant>
      <vt:variant>
        <vt:i4>1835058</vt:i4>
      </vt:variant>
      <vt:variant>
        <vt:i4>386</vt:i4>
      </vt:variant>
      <vt:variant>
        <vt:i4>0</vt:i4>
      </vt:variant>
      <vt:variant>
        <vt:i4>5</vt:i4>
      </vt:variant>
      <vt:variant>
        <vt:lpwstr/>
      </vt:variant>
      <vt:variant>
        <vt:lpwstr>_Toc160548709</vt:lpwstr>
      </vt:variant>
      <vt:variant>
        <vt:i4>1835058</vt:i4>
      </vt:variant>
      <vt:variant>
        <vt:i4>380</vt:i4>
      </vt:variant>
      <vt:variant>
        <vt:i4>0</vt:i4>
      </vt:variant>
      <vt:variant>
        <vt:i4>5</vt:i4>
      </vt:variant>
      <vt:variant>
        <vt:lpwstr/>
      </vt:variant>
      <vt:variant>
        <vt:lpwstr>_Toc160548708</vt:lpwstr>
      </vt:variant>
      <vt:variant>
        <vt:i4>1835058</vt:i4>
      </vt:variant>
      <vt:variant>
        <vt:i4>374</vt:i4>
      </vt:variant>
      <vt:variant>
        <vt:i4>0</vt:i4>
      </vt:variant>
      <vt:variant>
        <vt:i4>5</vt:i4>
      </vt:variant>
      <vt:variant>
        <vt:lpwstr/>
      </vt:variant>
      <vt:variant>
        <vt:lpwstr>_Toc160548707</vt:lpwstr>
      </vt:variant>
      <vt:variant>
        <vt:i4>1835058</vt:i4>
      </vt:variant>
      <vt:variant>
        <vt:i4>368</vt:i4>
      </vt:variant>
      <vt:variant>
        <vt:i4>0</vt:i4>
      </vt:variant>
      <vt:variant>
        <vt:i4>5</vt:i4>
      </vt:variant>
      <vt:variant>
        <vt:lpwstr/>
      </vt:variant>
      <vt:variant>
        <vt:lpwstr>_Toc160548706</vt:lpwstr>
      </vt:variant>
      <vt:variant>
        <vt:i4>1835058</vt:i4>
      </vt:variant>
      <vt:variant>
        <vt:i4>362</vt:i4>
      </vt:variant>
      <vt:variant>
        <vt:i4>0</vt:i4>
      </vt:variant>
      <vt:variant>
        <vt:i4>5</vt:i4>
      </vt:variant>
      <vt:variant>
        <vt:lpwstr/>
      </vt:variant>
      <vt:variant>
        <vt:lpwstr>_Toc160548705</vt:lpwstr>
      </vt:variant>
      <vt:variant>
        <vt:i4>1835058</vt:i4>
      </vt:variant>
      <vt:variant>
        <vt:i4>356</vt:i4>
      </vt:variant>
      <vt:variant>
        <vt:i4>0</vt:i4>
      </vt:variant>
      <vt:variant>
        <vt:i4>5</vt:i4>
      </vt:variant>
      <vt:variant>
        <vt:lpwstr/>
      </vt:variant>
      <vt:variant>
        <vt:lpwstr>_Toc160548704</vt:lpwstr>
      </vt:variant>
      <vt:variant>
        <vt:i4>1835058</vt:i4>
      </vt:variant>
      <vt:variant>
        <vt:i4>350</vt:i4>
      </vt:variant>
      <vt:variant>
        <vt:i4>0</vt:i4>
      </vt:variant>
      <vt:variant>
        <vt:i4>5</vt:i4>
      </vt:variant>
      <vt:variant>
        <vt:lpwstr/>
      </vt:variant>
      <vt:variant>
        <vt:lpwstr>_Toc160548703</vt:lpwstr>
      </vt:variant>
      <vt:variant>
        <vt:i4>1835058</vt:i4>
      </vt:variant>
      <vt:variant>
        <vt:i4>344</vt:i4>
      </vt:variant>
      <vt:variant>
        <vt:i4>0</vt:i4>
      </vt:variant>
      <vt:variant>
        <vt:i4>5</vt:i4>
      </vt:variant>
      <vt:variant>
        <vt:lpwstr/>
      </vt:variant>
      <vt:variant>
        <vt:lpwstr>_Toc160548702</vt:lpwstr>
      </vt:variant>
      <vt:variant>
        <vt:i4>1835058</vt:i4>
      </vt:variant>
      <vt:variant>
        <vt:i4>338</vt:i4>
      </vt:variant>
      <vt:variant>
        <vt:i4>0</vt:i4>
      </vt:variant>
      <vt:variant>
        <vt:i4>5</vt:i4>
      </vt:variant>
      <vt:variant>
        <vt:lpwstr/>
      </vt:variant>
      <vt:variant>
        <vt:lpwstr>_Toc160548701</vt:lpwstr>
      </vt:variant>
      <vt:variant>
        <vt:i4>1835058</vt:i4>
      </vt:variant>
      <vt:variant>
        <vt:i4>332</vt:i4>
      </vt:variant>
      <vt:variant>
        <vt:i4>0</vt:i4>
      </vt:variant>
      <vt:variant>
        <vt:i4>5</vt:i4>
      </vt:variant>
      <vt:variant>
        <vt:lpwstr/>
      </vt:variant>
      <vt:variant>
        <vt:lpwstr>_Toc160548700</vt:lpwstr>
      </vt:variant>
      <vt:variant>
        <vt:i4>1376307</vt:i4>
      </vt:variant>
      <vt:variant>
        <vt:i4>326</vt:i4>
      </vt:variant>
      <vt:variant>
        <vt:i4>0</vt:i4>
      </vt:variant>
      <vt:variant>
        <vt:i4>5</vt:i4>
      </vt:variant>
      <vt:variant>
        <vt:lpwstr/>
      </vt:variant>
      <vt:variant>
        <vt:lpwstr>_Toc160548699</vt:lpwstr>
      </vt:variant>
      <vt:variant>
        <vt:i4>1376307</vt:i4>
      </vt:variant>
      <vt:variant>
        <vt:i4>320</vt:i4>
      </vt:variant>
      <vt:variant>
        <vt:i4>0</vt:i4>
      </vt:variant>
      <vt:variant>
        <vt:i4>5</vt:i4>
      </vt:variant>
      <vt:variant>
        <vt:lpwstr/>
      </vt:variant>
      <vt:variant>
        <vt:lpwstr>_Toc160548698</vt:lpwstr>
      </vt:variant>
      <vt:variant>
        <vt:i4>1376307</vt:i4>
      </vt:variant>
      <vt:variant>
        <vt:i4>314</vt:i4>
      </vt:variant>
      <vt:variant>
        <vt:i4>0</vt:i4>
      </vt:variant>
      <vt:variant>
        <vt:i4>5</vt:i4>
      </vt:variant>
      <vt:variant>
        <vt:lpwstr/>
      </vt:variant>
      <vt:variant>
        <vt:lpwstr>_Toc160548697</vt:lpwstr>
      </vt:variant>
      <vt:variant>
        <vt:i4>1376307</vt:i4>
      </vt:variant>
      <vt:variant>
        <vt:i4>308</vt:i4>
      </vt:variant>
      <vt:variant>
        <vt:i4>0</vt:i4>
      </vt:variant>
      <vt:variant>
        <vt:i4>5</vt:i4>
      </vt:variant>
      <vt:variant>
        <vt:lpwstr/>
      </vt:variant>
      <vt:variant>
        <vt:lpwstr>_Toc160548696</vt:lpwstr>
      </vt:variant>
      <vt:variant>
        <vt:i4>1376307</vt:i4>
      </vt:variant>
      <vt:variant>
        <vt:i4>302</vt:i4>
      </vt:variant>
      <vt:variant>
        <vt:i4>0</vt:i4>
      </vt:variant>
      <vt:variant>
        <vt:i4>5</vt:i4>
      </vt:variant>
      <vt:variant>
        <vt:lpwstr/>
      </vt:variant>
      <vt:variant>
        <vt:lpwstr>_Toc160548695</vt:lpwstr>
      </vt:variant>
      <vt:variant>
        <vt:i4>1376307</vt:i4>
      </vt:variant>
      <vt:variant>
        <vt:i4>296</vt:i4>
      </vt:variant>
      <vt:variant>
        <vt:i4>0</vt:i4>
      </vt:variant>
      <vt:variant>
        <vt:i4>5</vt:i4>
      </vt:variant>
      <vt:variant>
        <vt:lpwstr/>
      </vt:variant>
      <vt:variant>
        <vt:lpwstr>_Toc160548694</vt:lpwstr>
      </vt:variant>
      <vt:variant>
        <vt:i4>1376307</vt:i4>
      </vt:variant>
      <vt:variant>
        <vt:i4>290</vt:i4>
      </vt:variant>
      <vt:variant>
        <vt:i4>0</vt:i4>
      </vt:variant>
      <vt:variant>
        <vt:i4>5</vt:i4>
      </vt:variant>
      <vt:variant>
        <vt:lpwstr/>
      </vt:variant>
      <vt:variant>
        <vt:lpwstr>_Toc160548693</vt:lpwstr>
      </vt:variant>
      <vt:variant>
        <vt:i4>1376307</vt:i4>
      </vt:variant>
      <vt:variant>
        <vt:i4>284</vt:i4>
      </vt:variant>
      <vt:variant>
        <vt:i4>0</vt:i4>
      </vt:variant>
      <vt:variant>
        <vt:i4>5</vt:i4>
      </vt:variant>
      <vt:variant>
        <vt:lpwstr/>
      </vt:variant>
      <vt:variant>
        <vt:lpwstr>_Toc160548692</vt:lpwstr>
      </vt:variant>
      <vt:variant>
        <vt:i4>1376307</vt:i4>
      </vt:variant>
      <vt:variant>
        <vt:i4>278</vt:i4>
      </vt:variant>
      <vt:variant>
        <vt:i4>0</vt:i4>
      </vt:variant>
      <vt:variant>
        <vt:i4>5</vt:i4>
      </vt:variant>
      <vt:variant>
        <vt:lpwstr/>
      </vt:variant>
      <vt:variant>
        <vt:lpwstr>_Toc160548691</vt:lpwstr>
      </vt:variant>
      <vt:variant>
        <vt:i4>1376307</vt:i4>
      </vt:variant>
      <vt:variant>
        <vt:i4>272</vt:i4>
      </vt:variant>
      <vt:variant>
        <vt:i4>0</vt:i4>
      </vt:variant>
      <vt:variant>
        <vt:i4>5</vt:i4>
      </vt:variant>
      <vt:variant>
        <vt:lpwstr/>
      </vt:variant>
      <vt:variant>
        <vt:lpwstr>_Toc160548690</vt:lpwstr>
      </vt:variant>
      <vt:variant>
        <vt:i4>1310771</vt:i4>
      </vt:variant>
      <vt:variant>
        <vt:i4>266</vt:i4>
      </vt:variant>
      <vt:variant>
        <vt:i4>0</vt:i4>
      </vt:variant>
      <vt:variant>
        <vt:i4>5</vt:i4>
      </vt:variant>
      <vt:variant>
        <vt:lpwstr/>
      </vt:variant>
      <vt:variant>
        <vt:lpwstr>_Toc160548689</vt:lpwstr>
      </vt:variant>
      <vt:variant>
        <vt:i4>1310771</vt:i4>
      </vt:variant>
      <vt:variant>
        <vt:i4>260</vt:i4>
      </vt:variant>
      <vt:variant>
        <vt:i4>0</vt:i4>
      </vt:variant>
      <vt:variant>
        <vt:i4>5</vt:i4>
      </vt:variant>
      <vt:variant>
        <vt:lpwstr/>
      </vt:variant>
      <vt:variant>
        <vt:lpwstr>_Toc160548688</vt:lpwstr>
      </vt:variant>
      <vt:variant>
        <vt:i4>1310771</vt:i4>
      </vt:variant>
      <vt:variant>
        <vt:i4>254</vt:i4>
      </vt:variant>
      <vt:variant>
        <vt:i4>0</vt:i4>
      </vt:variant>
      <vt:variant>
        <vt:i4>5</vt:i4>
      </vt:variant>
      <vt:variant>
        <vt:lpwstr/>
      </vt:variant>
      <vt:variant>
        <vt:lpwstr>_Toc160548687</vt:lpwstr>
      </vt:variant>
      <vt:variant>
        <vt:i4>1310771</vt:i4>
      </vt:variant>
      <vt:variant>
        <vt:i4>248</vt:i4>
      </vt:variant>
      <vt:variant>
        <vt:i4>0</vt:i4>
      </vt:variant>
      <vt:variant>
        <vt:i4>5</vt:i4>
      </vt:variant>
      <vt:variant>
        <vt:lpwstr/>
      </vt:variant>
      <vt:variant>
        <vt:lpwstr>_Toc160548686</vt:lpwstr>
      </vt:variant>
      <vt:variant>
        <vt:i4>1310771</vt:i4>
      </vt:variant>
      <vt:variant>
        <vt:i4>242</vt:i4>
      </vt:variant>
      <vt:variant>
        <vt:i4>0</vt:i4>
      </vt:variant>
      <vt:variant>
        <vt:i4>5</vt:i4>
      </vt:variant>
      <vt:variant>
        <vt:lpwstr/>
      </vt:variant>
      <vt:variant>
        <vt:lpwstr>_Toc160548685</vt:lpwstr>
      </vt:variant>
      <vt:variant>
        <vt:i4>1310771</vt:i4>
      </vt:variant>
      <vt:variant>
        <vt:i4>236</vt:i4>
      </vt:variant>
      <vt:variant>
        <vt:i4>0</vt:i4>
      </vt:variant>
      <vt:variant>
        <vt:i4>5</vt:i4>
      </vt:variant>
      <vt:variant>
        <vt:lpwstr/>
      </vt:variant>
      <vt:variant>
        <vt:lpwstr>_Toc160548684</vt:lpwstr>
      </vt:variant>
      <vt:variant>
        <vt:i4>1310771</vt:i4>
      </vt:variant>
      <vt:variant>
        <vt:i4>230</vt:i4>
      </vt:variant>
      <vt:variant>
        <vt:i4>0</vt:i4>
      </vt:variant>
      <vt:variant>
        <vt:i4>5</vt:i4>
      </vt:variant>
      <vt:variant>
        <vt:lpwstr/>
      </vt:variant>
      <vt:variant>
        <vt:lpwstr>_Toc160548683</vt:lpwstr>
      </vt:variant>
      <vt:variant>
        <vt:i4>1310771</vt:i4>
      </vt:variant>
      <vt:variant>
        <vt:i4>224</vt:i4>
      </vt:variant>
      <vt:variant>
        <vt:i4>0</vt:i4>
      </vt:variant>
      <vt:variant>
        <vt:i4>5</vt:i4>
      </vt:variant>
      <vt:variant>
        <vt:lpwstr/>
      </vt:variant>
      <vt:variant>
        <vt:lpwstr>_Toc160548682</vt:lpwstr>
      </vt:variant>
      <vt:variant>
        <vt:i4>1310771</vt:i4>
      </vt:variant>
      <vt:variant>
        <vt:i4>218</vt:i4>
      </vt:variant>
      <vt:variant>
        <vt:i4>0</vt:i4>
      </vt:variant>
      <vt:variant>
        <vt:i4>5</vt:i4>
      </vt:variant>
      <vt:variant>
        <vt:lpwstr/>
      </vt:variant>
      <vt:variant>
        <vt:lpwstr>_Toc160548681</vt:lpwstr>
      </vt:variant>
      <vt:variant>
        <vt:i4>1310771</vt:i4>
      </vt:variant>
      <vt:variant>
        <vt:i4>212</vt:i4>
      </vt:variant>
      <vt:variant>
        <vt:i4>0</vt:i4>
      </vt:variant>
      <vt:variant>
        <vt:i4>5</vt:i4>
      </vt:variant>
      <vt:variant>
        <vt:lpwstr/>
      </vt:variant>
      <vt:variant>
        <vt:lpwstr>_Toc160548680</vt:lpwstr>
      </vt:variant>
      <vt:variant>
        <vt:i4>1769523</vt:i4>
      </vt:variant>
      <vt:variant>
        <vt:i4>206</vt:i4>
      </vt:variant>
      <vt:variant>
        <vt:i4>0</vt:i4>
      </vt:variant>
      <vt:variant>
        <vt:i4>5</vt:i4>
      </vt:variant>
      <vt:variant>
        <vt:lpwstr/>
      </vt:variant>
      <vt:variant>
        <vt:lpwstr>_Toc160548679</vt:lpwstr>
      </vt:variant>
      <vt:variant>
        <vt:i4>1769523</vt:i4>
      </vt:variant>
      <vt:variant>
        <vt:i4>200</vt:i4>
      </vt:variant>
      <vt:variant>
        <vt:i4>0</vt:i4>
      </vt:variant>
      <vt:variant>
        <vt:i4>5</vt:i4>
      </vt:variant>
      <vt:variant>
        <vt:lpwstr/>
      </vt:variant>
      <vt:variant>
        <vt:lpwstr>_Toc160548678</vt:lpwstr>
      </vt:variant>
      <vt:variant>
        <vt:i4>1769523</vt:i4>
      </vt:variant>
      <vt:variant>
        <vt:i4>194</vt:i4>
      </vt:variant>
      <vt:variant>
        <vt:i4>0</vt:i4>
      </vt:variant>
      <vt:variant>
        <vt:i4>5</vt:i4>
      </vt:variant>
      <vt:variant>
        <vt:lpwstr/>
      </vt:variant>
      <vt:variant>
        <vt:lpwstr>_Toc160548677</vt:lpwstr>
      </vt:variant>
      <vt:variant>
        <vt:i4>1769523</vt:i4>
      </vt:variant>
      <vt:variant>
        <vt:i4>188</vt:i4>
      </vt:variant>
      <vt:variant>
        <vt:i4>0</vt:i4>
      </vt:variant>
      <vt:variant>
        <vt:i4>5</vt:i4>
      </vt:variant>
      <vt:variant>
        <vt:lpwstr/>
      </vt:variant>
      <vt:variant>
        <vt:lpwstr>_Toc160548676</vt:lpwstr>
      </vt:variant>
      <vt:variant>
        <vt:i4>1769523</vt:i4>
      </vt:variant>
      <vt:variant>
        <vt:i4>182</vt:i4>
      </vt:variant>
      <vt:variant>
        <vt:i4>0</vt:i4>
      </vt:variant>
      <vt:variant>
        <vt:i4>5</vt:i4>
      </vt:variant>
      <vt:variant>
        <vt:lpwstr/>
      </vt:variant>
      <vt:variant>
        <vt:lpwstr>_Toc160548675</vt:lpwstr>
      </vt:variant>
      <vt:variant>
        <vt:i4>1769523</vt:i4>
      </vt:variant>
      <vt:variant>
        <vt:i4>176</vt:i4>
      </vt:variant>
      <vt:variant>
        <vt:i4>0</vt:i4>
      </vt:variant>
      <vt:variant>
        <vt:i4>5</vt:i4>
      </vt:variant>
      <vt:variant>
        <vt:lpwstr/>
      </vt:variant>
      <vt:variant>
        <vt:lpwstr>_Toc160548674</vt:lpwstr>
      </vt:variant>
      <vt:variant>
        <vt:i4>1769523</vt:i4>
      </vt:variant>
      <vt:variant>
        <vt:i4>170</vt:i4>
      </vt:variant>
      <vt:variant>
        <vt:i4>0</vt:i4>
      </vt:variant>
      <vt:variant>
        <vt:i4>5</vt:i4>
      </vt:variant>
      <vt:variant>
        <vt:lpwstr/>
      </vt:variant>
      <vt:variant>
        <vt:lpwstr>_Toc160548673</vt:lpwstr>
      </vt:variant>
      <vt:variant>
        <vt:i4>1769523</vt:i4>
      </vt:variant>
      <vt:variant>
        <vt:i4>164</vt:i4>
      </vt:variant>
      <vt:variant>
        <vt:i4>0</vt:i4>
      </vt:variant>
      <vt:variant>
        <vt:i4>5</vt:i4>
      </vt:variant>
      <vt:variant>
        <vt:lpwstr/>
      </vt:variant>
      <vt:variant>
        <vt:lpwstr>_Toc160548672</vt:lpwstr>
      </vt:variant>
      <vt:variant>
        <vt:i4>1769523</vt:i4>
      </vt:variant>
      <vt:variant>
        <vt:i4>158</vt:i4>
      </vt:variant>
      <vt:variant>
        <vt:i4>0</vt:i4>
      </vt:variant>
      <vt:variant>
        <vt:i4>5</vt:i4>
      </vt:variant>
      <vt:variant>
        <vt:lpwstr/>
      </vt:variant>
      <vt:variant>
        <vt:lpwstr>_Toc160548671</vt:lpwstr>
      </vt:variant>
      <vt:variant>
        <vt:i4>1769523</vt:i4>
      </vt:variant>
      <vt:variant>
        <vt:i4>152</vt:i4>
      </vt:variant>
      <vt:variant>
        <vt:i4>0</vt:i4>
      </vt:variant>
      <vt:variant>
        <vt:i4>5</vt:i4>
      </vt:variant>
      <vt:variant>
        <vt:lpwstr/>
      </vt:variant>
      <vt:variant>
        <vt:lpwstr>_Toc160548670</vt:lpwstr>
      </vt:variant>
      <vt:variant>
        <vt:i4>1703987</vt:i4>
      </vt:variant>
      <vt:variant>
        <vt:i4>146</vt:i4>
      </vt:variant>
      <vt:variant>
        <vt:i4>0</vt:i4>
      </vt:variant>
      <vt:variant>
        <vt:i4>5</vt:i4>
      </vt:variant>
      <vt:variant>
        <vt:lpwstr/>
      </vt:variant>
      <vt:variant>
        <vt:lpwstr>_Toc160548669</vt:lpwstr>
      </vt:variant>
      <vt:variant>
        <vt:i4>1703987</vt:i4>
      </vt:variant>
      <vt:variant>
        <vt:i4>140</vt:i4>
      </vt:variant>
      <vt:variant>
        <vt:i4>0</vt:i4>
      </vt:variant>
      <vt:variant>
        <vt:i4>5</vt:i4>
      </vt:variant>
      <vt:variant>
        <vt:lpwstr/>
      </vt:variant>
      <vt:variant>
        <vt:lpwstr>_Toc160548668</vt:lpwstr>
      </vt:variant>
      <vt:variant>
        <vt:i4>1703987</vt:i4>
      </vt:variant>
      <vt:variant>
        <vt:i4>134</vt:i4>
      </vt:variant>
      <vt:variant>
        <vt:i4>0</vt:i4>
      </vt:variant>
      <vt:variant>
        <vt:i4>5</vt:i4>
      </vt:variant>
      <vt:variant>
        <vt:lpwstr/>
      </vt:variant>
      <vt:variant>
        <vt:lpwstr>_Toc160548667</vt:lpwstr>
      </vt:variant>
      <vt:variant>
        <vt:i4>1703987</vt:i4>
      </vt:variant>
      <vt:variant>
        <vt:i4>128</vt:i4>
      </vt:variant>
      <vt:variant>
        <vt:i4>0</vt:i4>
      </vt:variant>
      <vt:variant>
        <vt:i4>5</vt:i4>
      </vt:variant>
      <vt:variant>
        <vt:lpwstr/>
      </vt:variant>
      <vt:variant>
        <vt:lpwstr>_Toc160548666</vt:lpwstr>
      </vt:variant>
      <vt:variant>
        <vt:i4>1703987</vt:i4>
      </vt:variant>
      <vt:variant>
        <vt:i4>122</vt:i4>
      </vt:variant>
      <vt:variant>
        <vt:i4>0</vt:i4>
      </vt:variant>
      <vt:variant>
        <vt:i4>5</vt:i4>
      </vt:variant>
      <vt:variant>
        <vt:lpwstr/>
      </vt:variant>
      <vt:variant>
        <vt:lpwstr>_Toc160548665</vt:lpwstr>
      </vt:variant>
      <vt:variant>
        <vt:i4>1703987</vt:i4>
      </vt:variant>
      <vt:variant>
        <vt:i4>116</vt:i4>
      </vt:variant>
      <vt:variant>
        <vt:i4>0</vt:i4>
      </vt:variant>
      <vt:variant>
        <vt:i4>5</vt:i4>
      </vt:variant>
      <vt:variant>
        <vt:lpwstr/>
      </vt:variant>
      <vt:variant>
        <vt:lpwstr>_Toc160548664</vt:lpwstr>
      </vt:variant>
      <vt:variant>
        <vt:i4>1703987</vt:i4>
      </vt:variant>
      <vt:variant>
        <vt:i4>110</vt:i4>
      </vt:variant>
      <vt:variant>
        <vt:i4>0</vt:i4>
      </vt:variant>
      <vt:variant>
        <vt:i4>5</vt:i4>
      </vt:variant>
      <vt:variant>
        <vt:lpwstr/>
      </vt:variant>
      <vt:variant>
        <vt:lpwstr>_Toc160548663</vt:lpwstr>
      </vt:variant>
      <vt:variant>
        <vt:i4>1703987</vt:i4>
      </vt:variant>
      <vt:variant>
        <vt:i4>104</vt:i4>
      </vt:variant>
      <vt:variant>
        <vt:i4>0</vt:i4>
      </vt:variant>
      <vt:variant>
        <vt:i4>5</vt:i4>
      </vt:variant>
      <vt:variant>
        <vt:lpwstr/>
      </vt:variant>
      <vt:variant>
        <vt:lpwstr>_Toc160548662</vt:lpwstr>
      </vt:variant>
      <vt:variant>
        <vt:i4>1703987</vt:i4>
      </vt:variant>
      <vt:variant>
        <vt:i4>98</vt:i4>
      </vt:variant>
      <vt:variant>
        <vt:i4>0</vt:i4>
      </vt:variant>
      <vt:variant>
        <vt:i4>5</vt:i4>
      </vt:variant>
      <vt:variant>
        <vt:lpwstr/>
      </vt:variant>
      <vt:variant>
        <vt:lpwstr>_Toc160548661</vt:lpwstr>
      </vt:variant>
      <vt:variant>
        <vt:i4>1703987</vt:i4>
      </vt:variant>
      <vt:variant>
        <vt:i4>92</vt:i4>
      </vt:variant>
      <vt:variant>
        <vt:i4>0</vt:i4>
      </vt:variant>
      <vt:variant>
        <vt:i4>5</vt:i4>
      </vt:variant>
      <vt:variant>
        <vt:lpwstr/>
      </vt:variant>
      <vt:variant>
        <vt:lpwstr>_Toc160548660</vt:lpwstr>
      </vt:variant>
      <vt:variant>
        <vt:i4>1638451</vt:i4>
      </vt:variant>
      <vt:variant>
        <vt:i4>86</vt:i4>
      </vt:variant>
      <vt:variant>
        <vt:i4>0</vt:i4>
      </vt:variant>
      <vt:variant>
        <vt:i4>5</vt:i4>
      </vt:variant>
      <vt:variant>
        <vt:lpwstr/>
      </vt:variant>
      <vt:variant>
        <vt:lpwstr>_Toc160548659</vt:lpwstr>
      </vt:variant>
      <vt:variant>
        <vt:i4>1638451</vt:i4>
      </vt:variant>
      <vt:variant>
        <vt:i4>80</vt:i4>
      </vt:variant>
      <vt:variant>
        <vt:i4>0</vt:i4>
      </vt:variant>
      <vt:variant>
        <vt:i4>5</vt:i4>
      </vt:variant>
      <vt:variant>
        <vt:lpwstr/>
      </vt:variant>
      <vt:variant>
        <vt:lpwstr>_Toc160548658</vt:lpwstr>
      </vt:variant>
      <vt:variant>
        <vt:i4>1638451</vt:i4>
      </vt:variant>
      <vt:variant>
        <vt:i4>74</vt:i4>
      </vt:variant>
      <vt:variant>
        <vt:i4>0</vt:i4>
      </vt:variant>
      <vt:variant>
        <vt:i4>5</vt:i4>
      </vt:variant>
      <vt:variant>
        <vt:lpwstr/>
      </vt:variant>
      <vt:variant>
        <vt:lpwstr>_Toc160548657</vt:lpwstr>
      </vt:variant>
      <vt:variant>
        <vt:i4>1638451</vt:i4>
      </vt:variant>
      <vt:variant>
        <vt:i4>68</vt:i4>
      </vt:variant>
      <vt:variant>
        <vt:i4>0</vt:i4>
      </vt:variant>
      <vt:variant>
        <vt:i4>5</vt:i4>
      </vt:variant>
      <vt:variant>
        <vt:lpwstr/>
      </vt:variant>
      <vt:variant>
        <vt:lpwstr>_Toc160548656</vt:lpwstr>
      </vt:variant>
      <vt:variant>
        <vt:i4>1638451</vt:i4>
      </vt:variant>
      <vt:variant>
        <vt:i4>62</vt:i4>
      </vt:variant>
      <vt:variant>
        <vt:i4>0</vt:i4>
      </vt:variant>
      <vt:variant>
        <vt:i4>5</vt:i4>
      </vt:variant>
      <vt:variant>
        <vt:lpwstr/>
      </vt:variant>
      <vt:variant>
        <vt:lpwstr>_Toc160548655</vt:lpwstr>
      </vt:variant>
      <vt:variant>
        <vt:i4>1638451</vt:i4>
      </vt:variant>
      <vt:variant>
        <vt:i4>56</vt:i4>
      </vt:variant>
      <vt:variant>
        <vt:i4>0</vt:i4>
      </vt:variant>
      <vt:variant>
        <vt:i4>5</vt:i4>
      </vt:variant>
      <vt:variant>
        <vt:lpwstr/>
      </vt:variant>
      <vt:variant>
        <vt:lpwstr>_Toc160548654</vt:lpwstr>
      </vt:variant>
      <vt:variant>
        <vt:i4>1638451</vt:i4>
      </vt:variant>
      <vt:variant>
        <vt:i4>50</vt:i4>
      </vt:variant>
      <vt:variant>
        <vt:i4>0</vt:i4>
      </vt:variant>
      <vt:variant>
        <vt:i4>5</vt:i4>
      </vt:variant>
      <vt:variant>
        <vt:lpwstr/>
      </vt:variant>
      <vt:variant>
        <vt:lpwstr>_Toc160548653</vt:lpwstr>
      </vt:variant>
      <vt:variant>
        <vt:i4>1638451</vt:i4>
      </vt:variant>
      <vt:variant>
        <vt:i4>44</vt:i4>
      </vt:variant>
      <vt:variant>
        <vt:i4>0</vt:i4>
      </vt:variant>
      <vt:variant>
        <vt:i4>5</vt:i4>
      </vt:variant>
      <vt:variant>
        <vt:lpwstr/>
      </vt:variant>
      <vt:variant>
        <vt:lpwstr>_Toc160548652</vt:lpwstr>
      </vt:variant>
      <vt:variant>
        <vt:i4>1638451</vt:i4>
      </vt:variant>
      <vt:variant>
        <vt:i4>38</vt:i4>
      </vt:variant>
      <vt:variant>
        <vt:i4>0</vt:i4>
      </vt:variant>
      <vt:variant>
        <vt:i4>5</vt:i4>
      </vt:variant>
      <vt:variant>
        <vt:lpwstr/>
      </vt:variant>
      <vt:variant>
        <vt:lpwstr>_Toc160548651</vt:lpwstr>
      </vt:variant>
      <vt:variant>
        <vt:i4>1638451</vt:i4>
      </vt:variant>
      <vt:variant>
        <vt:i4>32</vt:i4>
      </vt:variant>
      <vt:variant>
        <vt:i4>0</vt:i4>
      </vt:variant>
      <vt:variant>
        <vt:i4>5</vt:i4>
      </vt:variant>
      <vt:variant>
        <vt:lpwstr/>
      </vt:variant>
      <vt:variant>
        <vt:lpwstr>_Toc160548650</vt:lpwstr>
      </vt:variant>
      <vt:variant>
        <vt:i4>1572915</vt:i4>
      </vt:variant>
      <vt:variant>
        <vt:i4>26</vt:i4>
      </vt:variant>
      <vt:variant>
        <vt:i4>0</vt:i4>
      </vt:variant>
      <vt:variant>
        <vt:i4>5</vt:i4>
      </vt:variant>
      <vt:variant>
        <vt:lpwstr/>
      </vt:variant>
      <vt:variant>
        <vt:lpwstr>_Toc160548649</vt:lpwstr>
      </vt:variant>
      <vt:variant>
        <vt:i4>1572915</vt:i4>
      </vt:variant>
      <vt:variant>
        <vt:i4>20</vt:i4>
      </vt:variant>
      <vt:variant>
        <vt:i4>0</vt:i4>
      </vt:variant>
      <vt:variant>
        <vt:i4>5</vt:i4>
      </vt:variant>
      <vt:variant>
        <vt:lpwstr/>
      </vt:variant>
      <vt:variant>
        <vt:lpwstr>_Toc160548648</vt:lpwstr>
      </vt:variant>
      <vt:variant>
        <vt:i4>1572915</vt:i4>
      </vt:variant>
      <vt:variant>
        <vt:i4>14</vt:i4>
      </vt:variant>
      <vt:variant>
        <vt:i4>0</vt:i4>
      </vt:variant>
      <vt:variant>
        <vt:i4>5</vt:i4>
      </vt:variant>
      <vt:variant>
        <vt:lpwstr/>
      </vt:variant>
      <vt:variant>
        <vt:lpwstr>_Toc160548647</vt:lpwstr>
      </vt:variant>
      <vt:variant>
        <vt:i4>1572915</vt:i4>
      </vt:variant>
      <vt:variant>
        <vt:i4>8</vt:i4>
      </vt:variant>
      <vt:variant>
        <vt:i4>0</vt:i4>
      </vt:variant>
      <vt:variant>
        <vt:i4>5</vt:i4>
      </vt:variant>
      <vt:variant>
        <vt:lpwstr/>
      </vt:variant>
      <vt:variant>
        <vt:lpwstr>_Toc160548646</vt:lpwstr>
      </vt:variant>
      <vt:variant>
        <vt:i4>1572915</vt:i4>
      </vt:variant>
      <vt:variant>
        <vt:i4>2</vt:i4>
      </vt:variant>
      <vt:variant>
        <vt:i4>0</vt:i4>
      </vt:variant>
      <vt:variant>
        <vt:i4>5</vt:i4>
      </vt:variant>
      <vt:variant>
        <vt:lpwstr/>
      </vt:variant>
      <vt:variant>
        <vt:lpwstr>_Toc160548645</vt:lpwstr>
      </vt:variant>
      <vt:variant>
        <vt:i4>1245256</vt:i4>
      </vt:variant>
      <vt:variant>
        <vt:i4>0</vt:i4>
      </vt:variant>
      <vt:variant>
        <vt:i4>0</vt:i4>
      </vt:variant>
      <vt:variant>
        <vt:i4>5</vt:i4>
      </vt:variant>
      <vt:variant>
        <vt:lpwstr>https://www.federalregister.gov/documents/2023/01/04/2022-28073/the-violence-against-women-act-reauthorization-act-of-2022-overview-of-applicability-to-hud-programs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Bolcome</dc:creator>
  <cp:keywords/>
  <dc:description/>
  <cp:lastModifiedBy>Harris, Ricardo</cp:lastModifiedBy>
  <cp:revision>2</cp:revision>
  <dcterms:created xsi:type="dcterms:W3CDTF">2025-08-07T18:12:00Z</dcterms:created>
  <dcterms:modified xsi:type="dcterms:W3CDTF">2025-08-07T18:12:00Z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0x010100AE1E4AE9E16127448C06A2E0C4D48359</vt:lpwstr>
  </property>
  <property fmtid="{D5CDD505-2E9C-101B-9397-08002B2CF9AE}" pid="3" name="MediaServiceImageTags">
    <vt:lpwstr/>
  </property>
</Properties>
</file>